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7DA0" w14:textId="15BC2A5C" w:rsidR="00EB7047" w:rsidRPr="00EB7047" w:rsidRDefault="00EB7047" w:rsidP="00EB7047">
      <w:pPr>
        <w:overflowPunct/>
        <w:autoSpaceDE/>
        <w:autoSpaceDN/>
        <w:adjustRightInd/>
        <w:spacing w:after="0"/>
        <w:jc w:val="left"/>
        <w:textAlignment w:val="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EB7047" w14:paraId="2110B5AC" w14:textId="77777777" w:rsidTr="00CE5DE8">
        <w:tc>
          <w:tcPr>
            <w:tcW w:w="9016" w:type="dxa"/>
            <w:shd w:val="clear" w:color="auto" w:fill="auto"/>
          </w:tcPr>
          <w:p w14:paraId="2C21A055" w14:textId="6EB1BBC0" w:rsidR="00EB7047" w:rsidRPr="00CE5DE8" w:rsidRDefault="00EB7047" w:rsidP="00CE5DE8">
            <w:pPr>
              <w:keepNext/>
              <w:jc w:val="left"/>
              <w:rPr>
                <w:rFonts w:ascii="Times New Roman" w:hAnsi="Times New Roman" w:cs="Times New Roman"/>
              </w:rPr>
            </w:pPr>
            <w:r w:rsidRPr="00CE5DE8">
              <w:rPr>
                <w:rFonts w:ascii="Arial" w:eastAsia="Arial" w:hAnsi="Arial"/>
                <w:b/>
                <w:color w:val="000000"/>
              </w:rPr>
              <w:t>PLEASE RETAIN A COPY OF THIS SCHEDULE AS THIS FORMS PART OF YOUR CALL-OFF CONTRACT</w:t>
            </w:r>
          </w:p>
        </w:tc>
      </w:tr>
    </w:tbl>
    <w:p w14:paraId="00000001" w14:textId="6F0302E1" w:rsidR="001C7CC5" w:rsidRDefault="001C7CC5">
      <w:pPr>
        <w:keepNext/>
        <w:pBdr>
          <w:top w:val="nil"/>
          <w:left w:val="nil"/>
          <w:bottom w:val="nil"/>
          <w:right w:val="nil"/>
          <w:between w:val="nil"/>
        </w:pBdr>
        <w:spacing w:after="0"/>
        <w:jc w:val="left"/>
        <w:rPr>
          <w:rFonts w:ascii="Arial" w:eastAsia="Arial" w:hAnsi="Arial"/>
          <w:b/>
          <w:color w:val="000000"/>
          <w:sz w:val="32"/>
          <w:szCs w:val="32"/>
        </w:rPr>
      </w:pPr>
    </w:p>
    <w:p w14:paraId="6192553E" w14:textId="77777777" w:rsidR="00EB7047" w:rsidRDefault="00EB7047">
      <w:pPr>
        <w:keepNext/>
        <w:pBdr>
          <w:top w:val="nil"/>
          <w:left w:val="nil"/>
          <w:bottom w:val="nil"/>
          <w:right w:val="nil"/>
          <w:between w:val="nil"/>
        </w:pBdr>
        <w:spacing w:after="0"/>
        <w:jc w:val="left"/>
        <w:rPr>
          <w:rFonts w:ascii="Arial" w:eastAsia="Arial" w:hAnsi="Arial"/>
          <w:b/>
          <w:color w:val="000000"/>
          <w:sz w:val="32"/>
          <w:szCs w:val="32"/>
        </w:rPr>
      </w:pPr>
    </w:p>
    <w:p w14:paraId="00000002" w14:textId="77777777" w:rsidR="001C7CC5" w:rsidRDefault="00A72A62">
      <w:pPr>
        <w:keepNext/>
        <w:pBdr>
          <w:top w:val="nil"/>
          <w:left w:val="nil"/>
          <w:bottom w:val="nil"/>
          <w:right w:val="nil"/>
          <w:between w:val="nil"/>
        </w:pBdr>
        <w:jc w:val="left"/>
        <w:rPr>
          <w:rFonts w:ascii="Arial" w:eastAsia="Arial" w:hAnsi="Arial"/>
          <w:b/>
          <w:color w:val="000000"/>
          <w:sz w:val="36"/>
          <w:szCs w:val="36"/>
        </w:rPr>
      </w:pPr>
      <w:r>
        <w:rPr>
          <w:rFonts w:ascii="Arial" w:eastAsia="Arial" w:hAnsi="Arial"/>
          <w:b/>
          <w:color w:val="000000"/>
          <w:sz w:val="36"/>
          <w:szCs w:val="36"/>
        </w:rPr>
        <w:t>Call-Off Schedule 11 (Installation Works)</w:t>
      </w:r>
    </w:p>
    <w:p w14:paraId="00000003" w14:textId="77777777" w:rsidR="001C7CC5" w:rsidRDefault="00A72A62">
      <w:pPr>
        <w:keepNext/>
        <w:keepLines/>
        <w:numPr>
          <w:ilvl w:val="0"/>
          <w:numId w:val="1"/>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When this Schedule should be used</w:t>
      </w:r>
    </w:p>
    <w:p w14:paraId="00000004" w14:textId="77777777" w:rsidR="001C7CC5" w:rsidRDefault="00A72A62">
      <w:pPr>
        <w:keepLines/>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This Schedule is designed to provide additional provisions necessary to facilitate the provision Deliverables requiring installation by the Supplier.</w:t>
      </w:r>
    </w:p>
    <w:p w14:paraId="00000005" w14:textId="77777777" w:rsidR="001C7CC5" w:rsidRDefault="00A72A62">
      <w:pPr>
        <w:keepNext/>
        <w:numPr>
          <w:ilvl w:val="0"/>
          <w:numId w:val="1"/>
        </w:numPr>
        <w:pBdr>
          <w:top w:val="nil"/>
          <w:left w:val="nil"/>
          <w:bottom w:val="nil"/>
          <w:right w:val="nil"/>
          <w:between w:val="nil"/>
        </w:pBdr>
        <w:tabs>
          <w:tab w:val="left" w:pos="1134"/>
        </w:tabs>
        <w:spacing w:before="120" w:after="120"/>
        <w:jc w:val="left"/>
        <w:rPr>
          <w:rFonts w:ascii="Arial" w:eastAsia="Arial" w:hAnsi="Arial"/>
          <w:b/>
          <w:color w:val="000000"/>
          <w:sz w:val="24"/>
          <w:szCs w:val="24"/>
        </w:rPr>
      </w:pPr>
      <w:bookmarkStart w:id="0" w:name="_heading=h.gjdgxs" w:colFirst="0" w:colLast="0"/>
      <w:bookmarkEnd w:id="0"/>
      <w:r>
        <w:rPr>
          <w:rFonts w:ascii="Arial" w:eastAsia="Arial" w:hAnsi="Arial"/>
          <w:b/>
          <w:color w:val="000000"/>
          <w:sz w:val="24"/>
          <w:szCs w:val="24"/>
        </w:rPr>
        <w:t xml:space="preserve">How things must be installed   </w:t>
      </w:r>
    </w:p>
    <w:p w14:paraId="00000006"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 xml:space="preserve">Where the Supplier reasonably believes, it has completed the Installation Works it shall notify the Buyer in writing. Following receipt of such notice, the Buyer shall inspect the Installation Works and shall, by giving written notice to the Supplier: </w:t>
      </w:r>
    </w:p>
    <w:p w14:paraId="00000007" w14:textId="77777777" w:rsidR="001C7CC5" w:rsidRDefault="00A72A62">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 xml:space="preserve">accept the Installation Works, or </w:t>
      </w:r>
    </w:p>
    <w:p w14:paraId="00000008" w14:textId="77777777" w:rsidR="001C7CC5" w:rsidRDefault="00A72A62">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reject the Installation Works and provide reasons to the Supplier if, in the Buyer’s reasonable opinion, the Installation Works do not meet the requirements set out in the Call-Off Order Form (or elsewhere in this Contract).</w:t>
      </w:r>
    </w:p>
    <w:p w14:paraId="00000009"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If the Buyer rejects the Installation Works in accordance with Paragraph 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14:paraId="0000000A"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Installation Works shall be deemed to be completed when the Supplier receives a notice issued by the Buyer in accordance with Paragraph 2.2.1 Notwithstanding the acceptance of any Installation Works in accordance with Paragraph 2.2),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14:paraId="0000000B" w14:textId="77777777" w:rsidR="001C7CC5" w:rsidRDefault="00A72A62">
      <w:pPr>
        <w:numPr>
          <w:ilvl w:val="1"/>
          <w:numId w:val="1"/>
        </w:numPr>
        <w:pBdr>
          <w:top w:val="nil"/>
          <w:left w:val="nil"/>
          <w:bottom w:val="nil"/>
          <w:right w:val="nil"/>
          <w:between w:val="nil"/>
        </w:pBdr>
        <w:jc w:val="left"/>
        <w:rPr>
          <w:rFonts w:ascii="Arial" w:eastAsia="Arial" w:hAnsi="Arial"/>
          <w:color w:val="000000"/>
          <w:sz w:val="24"/>
          <w:szCs w:val="24"/>
        </w:rPr>
      </w:pPr>
      <w:r>
        <w:rPr>
          <w:rFonts w:ascii="Arial" w:eastAsia="Arial" w:hAnsi="Arial"/>
          <w:color w:val="000000"/>
          <w:sz w:val="24"/>
          <w:szCs w:val="24"/>
        </w:rPr>
        <w:t>Throughout the Contract Period, the Supplier shall have at all times all licences, approvals and consents necessary to enable the Supplier and the Supplier Staff to carry out the Installation Works</w:t>
      </w:r>
      <w:r>
        <w:rPr>
          <w:rFonts w:ascii="Arial" w:eastAsia="Arial" w:hAnsi="Arial"/>
          <w:sz w:val="24"/>
          <w:szCs w:val="24"/>
        </w:rPr>
        <w:t>.</w:t>
      </w:r>
    </w:p>
    <w:p w14:paraId="0000000C"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sz w:val="24"/>
          <w:szCs w:val="24"/>
        </w:rPr>
      </w:pPr>
      <w:r>
        <w:rPr>
          <w:rFonts w:ascii="Arial" w:eastAsia="Arial" w:hAnsi="Arial"/>
          <w:sz w:val="24"/>
          <w:szCs w:val="24"/>
        </w:rPr>
        <w:t xml:space="preserve">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w:t>
      </w:r>
      <w:r>
        <w:rPr>
          <w:rFonts w:ascii="Arial" w:eastAsia="Arial" w:hAnsi="Arial"/>
          <w:sz w:val="24"/>
          <w:szCs w:val="24"/>
        </w:rPr>
        <w:lastRenderedPageBreak/>
        <w:t>termination, expiry or abandonment of this Call Off Contract and in accordance with Call Off Schedule 10 (Exit Management).</w:t>
      </w:r>
    </w:p>
    <w:p w14:paraId="0000000D" w14:textId="77777777" w:rsidR="001C7CC5" w:rsidRDefault="001C7CC5">
      <w:pPr>
        <w:pBdr>
          <w:top w:val="nil"/>
          <w:left w:val="nil"/>
          <w:bottom w:val="nil"/>
          <w:right w:val="nil"/>
          <w:between w:val="nil"/>
        </w:pBdr>
        <w:tabs>
          <w:tab w:val="left" w:pos="1134"/>
        </w:tabs>
        <w:spacing w:before="120" w:after="120"/>
        <w:ind w:left="360"/>
        <w:jc w:val="left"/>
        <w:rPr>
          <w:rFonts w:ascii="Arial" w:eastAsia="Arial" w:hAnsi="Arial"/>
          <w:sz w:val="24"/>
          <w:szCs w:val="24"/>
        </w:rPr>
      </w:pPr>
    </w:p>
    <w:p w14:paraId="0000000E" w14:textId="77777777" w:rsidR="001C7CC5" w:rsidRDefault="001C7CC5">
      <w:pPr>
        <w:pBdr>
          <w:top w:val="nil"/>
          <w:left w:val="nil"/>
          <w:bottom w:val="nil"/>
          <w:right w:val="nil"/>
          <w:between w:val="nil"/>
        </w:pBdr>
        <w:tabs>
          <w:tab w:val="left" w:pos="1134"/>
        </w:tabs>
        <w:spacing w:before="120" w:after="120"/>
        <w:ind w:left="360"/>
        <w:jc w:val="left"/>
        <w:rPr>
          <w:rFonts w:ascii="Arial" w:eastAsia="Arial" w:hAnsi="Arial"/>
          <w:sz w:val="24"/>
          <w:szCs w:val="24"/>
        </w:rPr>
      </w:pPr>
    </w:p>
    <w:p w14:paraId="0000000F"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sz w:val="24"/>
          <w:szCs w:val="24"/>
        </w:rPr>
      </w:pPr>
      <w:r>
        <w:rPr>
          <w:rFonts w:ascii="Arial" w:eastAsia="Arial" w:hAnsi="Arial"/>
          <w:sz w:val="24"/>
          <w:szCs w:val="24"/>
        </w:rPr>
        <w:t>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w:t>
      </w:r>
    </w:p>
    <w:p w14:paraId="00000010"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sz w:val="24"/>
          <w:szCs w:val="24"/>
        </w:rPr>
      </w:pPr>
      <w:r>
        <w:rPr>
          <w:rFonts w:ascii="Arial" w:eastAsia="Arial" w:hAnsi="Arial"/>
          <w:sz w:val="24"/>
          <w:szCs w:val="24"/>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00000011"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sz w:val="24"/>
          <w:szCs w:val="24"/>
        </w:rPr>
      </w:pPr>
      <w:r>
        <w:rPr>
          <w:rFonts w:ascii="Arial" w:eastAsia="Arial" w:hAnsi="Arial"/>
          <w:sz w:val="24"/>
          <w:szCs w:val="24"/>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00000012"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sz w:val="24"/>
          <w:szCs w:val="24"/>
        </w:rPr>
      </w:pPr>
      <w:r>
        <w:rPr>
          <w:rFonts w:ascii="Arial" w:eastAsia="Arial" w:hAnsi="Arial"/>
          <w:sz w:val="24"/>
          <w:szCs w:val="24"/>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00000013" w14:textId="77777777" w:rsidR="001C7CC5" w:rsidRDefault="00A72A62">
      <w:pPr>
        <w:numPr>
          <w:ilvl w:val="1"/>
          <w:numId w:val="1"/>
        </w:numPr>
        <w:pBdr>
          <w:top w:val="nil"/>
          <w:left w:val="nil"/>
          <w:bottom w:val="nil"/>
          <w:right w:val="nil"/>
          <w:between w:val="nil"/>
        </w:pBdr>
        <w:tabs>
          <w:tab w:val="left" w:pos="1134"/>
        </w:tabs>
        <w:spacing w:before="120" w:after="120"/>
        <w:jc w:val="left"/>
        <w:rPr>
          <w:rFonts w:ascii="Arial" w:eastAsia="Arial" w:hAnsi="Arial"/>
          <w:sz w:val="24"/>
          <w:szCs w:val="24"/>
        </w:rPr>
      </w:pPr>
      <w:r>
        <w:rPr>
          <w:rFonts w:ascii="Arial" w:eastAsia="Arial" w:hAnsi="Arial"/>
          <w:sz w:val="24"/>
          <w:szCs w:val="24"/>
        </w:rPr>
        <w:t>The Customer shall afford the Supplier upon Approval (the decision to Approve or not will not be unreasonably withheld or delayed) an opportunity to inspect its physical security arrangements.</w:t>
      </w:r>
    </w:p>
    <w:p w14:paraId="00000014" w14:textId="77777777" w:rsidR="001C7CC5" w:rsidRDefault="001C7CC5">
      <w:pPr>
        <w:pBdr>
          <w:top w:val="nil"/>
          <w:left w:val="nil"/>
          <w:bottom w:val="nil"/>
          <w:right w:val="nil"/>
          <w:between w:val="nil"/>
        </w:pBdr>
        <w:tabs>
          <w:tab w:val="left" w:pos="1134"/>
        </w:tabs>
        <w:spacing w:before="120" w:after="120"/>
        <w:ind w:left="936"/>
        <w:jc w:val="left"/>
        <w:rPr>
          <w:rFonts w:ascii="Arial" w:eastAsia="Arial" w:hAnsi="Arial"/>
          <w:sz w:val="24"/>
          <w:szCs w:val="24"/>
        </w:rPr>
      </w:pPr>
    </w:p>
    <w:p w14:paraId="00000015" w14:textId="77777777" w:rsidR="001C7CC5" w:rsidRDefault="001C7CC5">
      <w:pPr>
        <w:rPr>
          <w:rFonts w:ascii="Arial" w:eastAsia="Arial" w:hAnsi="Arial"/>
          <w:sz w:val="24"/>
          <w:szCs w:val="24"/>
        </w:rPr>
        <w:sectPr w:rsidR="001C7C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680" w:gutter="0"/>
          <w:pgNumType w:start="1"/>
          <w:cols w:space="720"/>
        </w:sectPr>
      </w:pPr>
    </w:p>
    <w:p w14:paraId="00000016" w14:textId="77777777" w:rsidR="001C7CC5" w:rsidRDefault="001C7CC5">
      <w:pPr>
        <w:rPr>
          <w:rFonts w:ascii="Arial" w:eastAsia="Arial" w:hAnsi="Arial"/>
          <w:sz w:val="24"/>
          <w:szCs w:val="24"/>
        </w:rPr>
      </w:pPr>
      <w:bookmarkStart w:id="6" w:name="_heading=h.tyjcwt" w:colFirst="0" w:colLast="0"/>
      <w:bookmarkEnd w:id="6"/>
    </w:p>
    <w:sectPr w:rsidR="001C7CC5">
      <w:pgSz w:w="11906" w:h="16838"/>
      <w:pgMar w:top="1440" w:right="1440" w:bottom="1440" w:left="1440" w:header="708"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2C63" w14:textId="77777777" w:rsidR="00CE5DE8" w:rsidRDefault="00CE5DE8">
      <w:pPr>
        <w:spacing w:after="0"/>
      </w:pPr>
      <w:r>
        <w:separator/>
      </w:r>
    </w:p>
  </w:endnote>
  <w:endnote w:type="continuationSeparator" w:id="0">
    <w:p w14:paraId="73C94BE2" w14:textId="77777777" w:rsidR="00CE5DE8" w:rsidRDefault="00CE5DE8">
      <w:pPr>
        <w:spacing w:after="0"/>
      </w:pPr>
      <w:r>
        <w:continuationSeparator/>
      </w:r>
    </w:p>
  </w:endnote>
  <w:endnote w:type="continuationNotice" w:id="1">
    <w:p w14:paraId="61DAEE32" w14:textId="77777777" w:rsidR="006031BB" w:rsidRDefault="006031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8BD9" w14:textId="77777777" w:rsidR="00CE5DE8" w:rsidRDefault="00CE5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CE5DE8" w:rsidRDefault="00CE5DE8">
    <w:pPr>
      <w:tabs>
        <w:tab w:val="center" w:pos="4513"/>
        <w:tab w:val="right" w:pos="9026"/>
      </w:tabs>
      <w:spacing w:after="0"/>
    </w:pPr>
  </w:p>
  <w:p w14:paraId="0000001C" w14:textId="49FF4A99" w:rsidR="00CE5DE8" w:rsidRDefault="00CE5DE8">
    <w:pPr>
      <w:tabs>
        <w:tab w:val="center" w:pos="4513"/>
        <w:tab w:val="right" w:pos="9026"/>
      </w:tabs>
      <w:spacing w:after="0"/>
    </w:pPr>
    <w:r>
      <w:t>Framework Ref: RM</w:t>
    </w:r>
    <w:r>
      <w:rPr>
        <w:rFonts w:ascii="Arial" w:eastAsia="Arial" w:hAnsi="Arial"/>
        <w:sz w:val="20"/>
        <w:szCs w:val="20"/>
      </w:rPr>
      <w:t>6174</w:t>
    </w:r>
    <w:bookmarkStart w:id="4" w:name="_GoBack"/>
    <w:bookmarkEnd w:id="4"/>
  </w:p>
  <w:p w14:paraId="0000001D" w14:textId="77777777" w:rsidR="00CE5DE8" w:rsidRDefault="00CE5DE8">
    <w:pPr>
      <w:tabs>
        <w:tab w:val="center" w:pos="4513"/>
        <w:tab w:val="right" w:pos="9026"/>
      </w:tabs>
      <w:spacing w:after="0"/>
    </w:pPr>
    <w:r>
      <w:t>Project Version: v1.0</w:t>
    </w:r>
    <w:r>
      <w:tab/>
    </w:r>
    <w:r>
      <w:tab/>
      <w:t xml:space="preserve"> </w:t>
    </w:r>
    <w:bookmarkStart w:id="5" w:name="bookmark=id.3dy6vkm" w:colFirst="0" w:colLast="0"/>
    <w:bookmarkEnd w:id="5"/>
    <w:r>
      <w:t>1</w:t>
    </w:r>
  </w:p>
  <w:p w14:paraId="0000001E" w14:textId="77777777" w:rsidR="00CE5DE8" w:rsidRDefault="00CE5DE8">
    <w:pPr>
      <w:spacing w:after="0"/>
    </w:pPr>
    <w:r>
      <w:t>Model Version: v3.0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34C4" w14:textId="77777777" w:rsidR="00CE5DE8" w:rsidRDefault="00CE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7E4E" w14:textId="77777777" w:rsidR="00CE5DE8" w:rsidRDefault="00CE5DE8">
      <w:pPr>
        <w:spacing w:after="0"/>
      </w:pPr>
      <w:r>
        <w:separator/>
      </w:r>
    </w:p>
  </w:footnote>
  <w:footnote w:type="continuationSeparator" w:id="0">
    <w:p w14:paraId="3885BAFA" w14:textId="77777777" w:rsidR="00CE5DE8" w:rsidRDefault="00CE5DE8">
      <w:pPr>
        <w:spacing w:after="0"/>
      </w:pPr>
      <w:r>
        <w:continuationSeparator/>
      </w:r>
    </w:p>
  </w:footnote>
  <w:footnote w:type="continuationNotice" w:id="1">
    <w:p w14:paraId="7680793C" w14:textId="77777777" w:rsidR="006031BB" w:rsidRDefault="006031B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02E8" w14:textId="77777777" w:rsidR="00CE5DE8" w:rsidRDefault="00CE5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77777777" w:rsidR="00CE5DE8" w:rsidRDefault="00CE5DE8">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Schedule 11 (Installation Works)</w:t>
    </w:r>
  </w:p>
  <w:p w14:paraId="00000018" w14:textId="77777777" w:rsidR="00CE5DE8" w:rsidRDefault="00CE5DE8">
    <w:pPr>
      <w:spacing w:after="0"/>
      <w:rPr>
        <w:rFonts w:ascii="Arial" w:eastAsia="Arial" w:hAnsi="Arial"/>
        <w:sz w:val="20"/>
        <w:szCs w:val="20"/>
      </w:rPr>
    </w:pPr>
    <w:r>
      <w:rPr>
        <w:rFonts w:ascii="Arial" w:eastAsia="Arial" w:hAnsi="Arial"/>
        <w:sz w:val="20"/>
        <w:szCs w:val="20"/>
      </w:rPr>
      <w:t>Call-Off Ref:</w:t>
    </w:r>
  </w:p>
  <w:p w14:paraId="00000019" w14:textId="77777777" w:rsidR="00CE5DE8" w:rsidRDefault="00CE5DE8">
    <w:pPr>
      <w:spacing w:after="0"/>
      <w:rPr>
        <w:rFonts w:ascii="Arial" w:eastAsia="Arial" w:hAnsi="Arial"/>
        <w:sz w:val="20"/>
        <w:szCs w:val="20"/>
      </w:rPr>
    </w:pPr>
    <w:r>
      <w:rPr>
        <w:rFonts w:ascii="Arial" w:eastAsia="Arial" w:hAnsi="Arial"/>
        <w:sz w:val="20"/>
        <w:szCs w:val="20"/>
      </w:rPr>
      <w:t>Crown Copyright 2018</w:t>
    </w:r>
  </w:p>
  <w:p w14:paraId="0000001A" w14:textId="77777777" w:rsidR="00CE5DE8" w:rsidRDefault="00CE5DE8">
    <w:pPr>
      <w:spacing w:after="0"/>
      <w:rPr>
        <w:rFonts w:ascii="Arial" w:eastAsia="Arial" w:hAnsi="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59CB3" w14:textId="77777777" w:rsidR="00CE5DE8" w:rsidRDefault="00CE5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77B65"/>
    <w:multiLevelType w:val="multilevel"/>
    <w:tmpl w:val="3230B52E"/>
    <w:lvl w:ilvl="0">
      <w:start w:val="1"/>
      <w:numFmt w:val="decimal"/>
      <w:pStyle w:val="GPSL1Schedule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101C3C"/>
    <w:multiLevelType w:val="multilevel"/>
    <w:tmpl w:val="CA686E70"/>
    <w:lvl w:ilvl="0">
      <w:start w:val="1"/>
      <w:numFmt w:val="decimal"/>
      <w:pStyle w:val="GPSL1CLAUSEHEADING"/>
      <w:lvlText w:val="%1."/>
      <w:lvlJc w:val="left"/>
      <w:pPr>
        <w:ind w:left="360" w:hanging="360"/>
      </w:pPr>
    </w:lvl>
    <w:lvl w:ilvl="1">
      <w:start w:val="1"/>
      <w:numFmt w:val="decimal"/>
      <w:pStyle w:val="GPSL2NumberedBoldHeading"/>
      <w:lvlText w:val="%1.%2."/>
      <w:lvlJc w:val="left"/>
      <w:pPr>
        <w:ind w:left="936" w:hanging="576"/>
      </w:pPr>
      <w:rPr>
        <w:b w:val="0"/>
      </w:rPr>
    </w:lvl>
    <w:lvl w:ilvl="2">
      <w:start w:val="1"/>
      <w:numFmt w:val="decimal"/>
      <w:pStyle w:val="GPSL3numberedclause"/>
      <w:lvlText w:val="%1.%2.%3."/>
      <w:lvlJc w:val="left"/>
      <w:pPr>
        <w:ind w:left="1656" w:hanging="720"/>
      </w:pPr>
    </w:lvl>
    <w:lvl w:ilvl="3">
      <w:start w:val="1"/>
      <w:numFmt w:val="decimal"/>
      <w:pStyle w:val="GPSL4numberedclause"/>
      <w:lvlText w:val="%1.%2.%3.%4."/>
      <w:lvlJc w:val="left"/>
      <w:pPr>
        <w:ind w:left="2592" w:hanging="936"/>
      </w:pPr>
    </w:lvl>
    <w:lvl w:ilvl="4">
      <w:start w:val="1"/>
      <w:numFmt w:val="decimal"/>
      <w:pStyle w:val="GPSL5numberedclause"/>
      <w:lvlText w:val="%1.%2.%3.%4.%5."/>
      <w:lvlJc w:val="left"/>
      <w:pPr>
        <w:ind w:left="2232" w:hanging="792"/>
      </w:pPr>
    </w:lvl>
    <w:lvl w:ilvl="5">
      <w:start w:val="1"/>
      <w:numFmt w:val="decimal"/>
      <w:pStyle w:val="GPSL6numbered"/>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C5"/>
    <w:rsid w:val="001C7CC5"/>
    <w:rsid w:val="006031BB"/>
    <w:rsid w:val="008B29D4"/>
    <w:rsid w:val="00A72A62"/>
    <w:rsid w:val="00CE5DE8"/>
    <w:rsid w:val="00EB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A8A834"/>
  <w15:docId w15:val="{841AAC83-2D37-DE4B-BB72-344BA124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numbered">
    <w:name w:val="GPS L1 Schedule numbered"/>
    <w:basedOn w:val="Normal"/>
    <w:link w:val="GPSL1SchedulenumberedChar1"/>
    <w:qFormat/>
    <w:pPr>
      <w:numPr>
        <w:numId w:val="2"/>
      </w:numPr>
      <w:tabs>
        <w:tab w:val="left" w:pos="851"/>
      </w:tabs>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tabs>
        <w:tab w:val="num" w:pos="720"/>
      </w:tabs>
      <w:overflowPunct/>
      <w:autoSpaceDE/>
      <w:autoSpaceDN/>
      <w:ind w:left="720" w:hanging="720"/>
      <w:textAlignment w:val="auto"/>
    </w:pPr>
    <w:rPr>
      <w:rFonts w:cs="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paragraph" w:customStyle="1" w:styleId="GPsDefinition">
    <w:name w:val="GPs Definition"/>
    <w:basedOn w:val="Normal"/>
    <w:qFormat/>
    <w:pPr>
      <w:tabs>
        <w:tab w:val="left" w:pos="175"/>
        <w:tab w:val="num" w:pos="720"/>
      </w:tabs>
      <w:spacing w:after="120"/>
      <w:ind w:left="720" w:hanging="720"/>
    </w:pPr>
  </w:style>
  <w:style w:type="paragraph" w:customStyle="1" w:styleId="GPSDefinitionL2">
    <w:name w:val="GPS Definition L2"/>
    <w:basedOn w:val="GPsDefinition"/>
    <w:link w:val="GPSDefinitionL2Char"/>
    <w:qFormat/>
    <w:pPr>
      <w:numPr>
        <w:ilvl w:val="1"/>
      </w:numPr>
      <w:tabs>
        <w:tab w:val="num" w:pos="720"/>
      </w:tabs>
      <w:ind w:left="720" w:hanging="720"/>
    </w:pPr>
  </w:style>
  <w:style w:type="paragraph" w:customStyle="1" w:styleId="GPSDefinitionL3">
    <w:name w:val="GPS Definition L3"/>
    <w:basedOn w:val="GPSDefinitionL2"/>
    <w:qFormat/>
    <w:pPr>
      <w:numPr>
        <w:ilvl w:val="2"/>
      </w:numPr>
      <w:tabs>
        <w:tab w:val="num" w:pos="720"/>
      </w:tabs>
      <w:ind w:left="2500" w:hanging="180"/>
    </w:pPr>
  </w:style>
  <w:style w:type="paragraph" w:customStyle="1" w:styleId="GPSDefinitionL4">
    <w:name w:val="GPS Definition L4"/>
    <w:basedOn w:val="GPSDefinitionL3"/>
    <w:qFormat/>
    <w:pPr>
      <w:numPr>
        <w:ilvl w:val="3"/>
      </w:numPr>
      <w:tabs>
        <w:tab w:val="num" w:pos="360"/>
        <w:tab w:val="num" w:pos="720"/>
      </w:tabs>
      <w:ind w:left="3220" w:hanging="180"/>
    </w:pPr>
  </w:style>
  <w:style w:type="paragraph" w:customStyle="1" w:styleId="GPSL3Guidance">
    <w:name w:val="GPS L3 Guidance"/>
    <w:basedOn w:val="GPSL3numberedclause"/>
    <w:link w:val="GPSL3GuidanceChar"/>
    <w:qFormat/>
    <w:pPr>
      <w:numPr>
        <w:ilvl w:val="0"/>
        <w:numId w:val="0"/>
      </w:numPr>
      <w:ind w:left="1985"/>
    </w:pPr>
    <w:rPr>
      <w:b/>
      <w:i/>
    </w:rPr>
  </w:style>
  <w:style w:type="character" w:customStyle="1" w:styleId="GPSDefinitionL2Char">
    <w:name w:val="GPS Definition L2 Char"/>
    <w:link w:val="GPSDefinitionL2"/>
    <w:locked/>
    <w:rPr>
      <w:rFonts w:ascii="Calibri" w:eastAsia="Times New Roman" w:hAnsi="Calibri" w:cs="Arial"/>
    </w:rPr>
  </w:style>
  <w:style w:type="character" w:customStyle="1" w:styleId="GPSL3GuidanceChar">
    <w:name w:val="GPS L3 Guidance Char"/>
    <w:link w:val="GPSL3Guidance"/>
    <w:rPr>
      <w:rFonts w:ascii="Calibri" w:eastAsia="Times New Roman" w:hAnsi="Calibri" w:cs="Arial"/>
      <w:b/>
      <w:i/>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308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cvVnxrtZHDdBwX09pdMbCHTNA==">AMUW2mX1/kUz9aGqwmy+WBic+a0j9KliHjOqnEt6ieqY/imWTNI0h4EgVoALNhqyXYImkIm6rr2gLYpYtR7qfLViSxJSKuE/ei2tL8HWH3omkY0BcadIycP5RY394QrapaWxi7jxdmvQvxyNCjWz7BpJxapOhsKXbCgZHx49ElMPLKDGC9Poj0qCVM+2IdvrOmrdDSbDzJlq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Gowan</cp:lastModifiedBy>
  <cp:revision>3</cp:revision>
  <dcterms:created xsi:type="dcterms:W3CDTF">2018-06-18T13:11:00Z</dcterms:created>
  <dcterms:modified xsi:type="dcterms:W3CDTF">2021-04-01T16:20:00Z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