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Call-Off Schedule 14 (Service Levels)</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this Schedule, the following words shall have the following meanings and they shall supplement Joint Schedule 1 (Definitions):</w:t>
      </w:r>
    </w:p>
    <w:tbl>
      <w:tblPr>
        <w:tblStyle w:val="Table1"/>
        <w:tblW w:w="8363.0" w:type="dxa"/>
        <w:jc w:val="left"/>
        <w:tblInd w:w="959.0" w:type="dxa"/>
        <w:tblLayout w:type="fixed"/>
        <w:tblLook w:val="0400"/>
      </w:tblPr>
      <w:tblGrid>
        <w:gridCol w:w="2410"/>
        <w:gridCol w:w="5953"/>
        <w:tblGridChange w:id="0">
          <w:tblGrid>
            <w:gridCol w:w="2410"/>
            <w:gridCol w:w="5953"/>
          </w:tblGrid>
        </w:tblGridChange>
      </w:tblGrid>
      <w:tr>
        <w:trPr>
          <w:cantSplit w:val="0"/>
          <w:tblHeader w:val="0"/>
        </w:trPr>
        <w:tc>
          <w:tcPr>
            <w:shd w:fill="auto" w:val="clear"/>
          </w:tcPr>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Credits"</w:t>
            </w:r>
          </w:p>
        </w:tc>
        <w:tc>
          <w:tcPr>
            <w:shd w:fill="auto" w:val="clear"/>
          </w:tcPr>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specified in the Annex to Part A of this Schedule being payable by the Supplier to the Buyer in respect of any failure by the Supplier to meet one or more Service Levels;</w:t>
            </w:r>
          </w:p>
        </w:tc>
      </w:tr>
      <w:tr>
        <w:trPr>
          <w:cantSplit w:val="0"/>
          <w:trHeight w:val="359" w:hRule="atLeast"/>
          <w:tblHeader w:val="0"/>
        </w:trPr>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Credit Cap"</w:t>
            </w:r>
          </w:p>
        </w:tc>
        <w:tc>
          <w:tcPr>
            <w:shd w:fill="auto" w:val="clear"/>
          </w:tcPr>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the meaning given to it in the Order Form;</w:t>
            </w:r>
          </w:p>
        </w:tc>
      </w:tr>
      <w:tr>
        <w:trPr>
          <w:cantSplit w:val="0"/>
          <w:tblHeader w:val="0"/>
        </w:trPr>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Failure"</w:t>
            </w:r>
          </w:p>
        </w:tc>
        <w:tc>
          <w:tcPr>
            <w:shd w:fill="auto" w:val="clear"/>
          </w:tcPr>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means a failure to meet the Service Level Performance Measure in respect of a Service Level;</w:t>
            </w:r>
          </w:p>
        </w:tc>
      </w:tr>
      <w:tr>
        <w:trPr>
          <w:cantSplit w:val="0"/>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Performance Measure"</w:t>
            </w:r>
          </w:p>
        </w:tc>
        <w:tc>
          <w:tcPr>
            <w:shd w:fill="auto" w:val="clear"/>
          </w:tcPr>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 and</w:t>
            </w:r>
          </w:p>
        </w:tc>
      </w:tr>
      <w:tr>
        <w:trPr>
          <w:cantSplit w:val="0"/>
          <w:tblHeader w:val="0"/>
        </w:trPr>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10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"Service Level Threshold"</w:t>
            </w:r>
          </w:p>
        </w:tc>
        <w:tc>
          <w:tcPr>
            <w:shd w:fill="auto" w:val="clear"/>
          </w:tcPr>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9"/>
                <w:tab w:val="left" w:pos="-179"/>
              </w:tabs>
              <w:spacing w:after="120" w:before="0" w:line="240" w:lineRule="auto"/>
              <w:ind w:left="170" w:right="0" w:hanging="17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shall be as set out against the relevant Service Level in the Annex to Part A of this Schedule.</w:t>
            </w:r>
          </w:p>
        </w:tc>
      </w:tr>
    </w:tbl>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don’t meet the Service Levels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at all times provide the Deliverables to meet or exceed the Service Level Performance Measure for each Service Level.</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acknowledges that any Service Level Failure shall entitle the Buyer to the rights set out in Part A of this Schedule including the right to any Service Credits and that any Service Credit is a price adjustment and not an estimate of the Loss that may be suffered by the Buyer as a result of the Supplier’s failure to meet any Service Level Performance Measure.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send Performance Monitoring Reports to the Buyer detailing the level of service which was achieved in accordance with the provisions of Part B (Performance Monitoring) of this Schedule.</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Service Credit shall be the Buyer’s exclusive financial remedy for a Service Level Failure except where: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has over the previous (twelve) 12 Month period exceeded the Service Credit Cap; and/or</w:t>
      </w:r>
    </w:p>
    <w:p w:rsidR="00000000" w:rsidDel="00000000" w:rsidP="00000000" w:rsidRDefault="00000000" w:rsidRPr="00000000" w14:paraId="0000001B">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Level Failure:</w:t>
      </w:r>
    </w:p>
    <w:p w:rsidR="00000000" w:rsidDel="00000000" w:rsidP="00000000" w:rsidRDefault="00000000" w:rsidRPr="00000000" w14:paraId="0000001C">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exceeds the relevant Service Level Threshold;</w:t>
      </w:r>
    </w:p>
    <w:p w:rsidR="00000000" w:rsidDel="00000000" w:rsidP="00000000" w:rsidRDefault="00000000" w:rsidRPr="00000000" w14:paraId="0000001D">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has arisen due to a Prohibited Act or wilful Default by the Supplier; </w:t>
      </w:r>
    </w:p>
    <w:p w:rsidR="00000000" w:rsidDel="00000000" w:rsidP="00000000" w:rsidRDefault="00000000" w:rsidRPr="00000000" w14:paraId="0000001E">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corruption or loss of any Government Data; and/or</w:t>
      </w:r>
    </w:p>
    <w:p w:rsidR="00000000" w:rsidDel="00000000" w:rsidP="00000000" w:rsidRDefault="00000000" w:rsidRPr="00000000" w14:paraId="0000001F">
      <w:pPr>
        <w:keepNext w:val="0"/>
        <w:keepLines w:val="0"/>
        <w:pageBreakBefore w:val="0"/>
        <w:widowControl w:val="1"/>
        <w:numPr>
          <w:ilvl w:val="3"/>
          <w:numId w:val="2"/>
        </w:numPr>
        <w:pBdr>
          <w:top w:space="0" w:sz="0" w:val="nil"/>
          <w:left w:space="0" w:sz="0" w:val="nil"/>
          <w:bottom w:space="0" w:sz="0" w:val="nil"/>
          <w:right w:space="0" w:sz="0" w:val="nil"/>
          <w:between w:space="0" w:sz="0" w:val="nil"/>
        </w:pBdr>
        <w:shd w:fill="auto" w:val="clear"/>
        <w:spacing w:after="120" w:before="120" w:line="240" w:lineRule="auto"/>
        <w:ind w:left="288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results in the Buyer being required to make a compensation payment to one or more third parties; and/or</w:t>
      </w:r>
    </w:p>
    <w:p w:rsidR="00000000" w:rsidDel="00000000" w:rsidP="00000000" w:rsidRDefault="00000000" w:rsidRPr="00000000" w14:paraId="0000002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is entitled to or does terminate this Contract pursuant to Clause 10.4 (CCS and Buyer Termination Rights).</w:t>
      </w:r>
    </w:p>
    <w:p w:rsidR="00000000" w:rsidDel="00000000" w:rsidP="00000000" w:rsidRDefault="00000000" w:rsidRPr="00000000" w14:paraId="0000002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more than once in each Contract Year, the Buyer may, on giving the Supplier at least three (3) Months’ notice, change the weighting of Service Level Performance Measure in respect of one or more Service Levels and the Supplier shall not be entitled to object to, or increase the Charges as a result of such changes, provided that:</w:t>
      </w:r>
    </w:p>
    <w:p w:rsidR="00000000" w:rsidDel="00000000" w:rsidP="00000000" w:rsidRDefault="00000000" w:rsidRPr="00000000" w14:paraId="00000022">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total number of Service Levels for which the weighting is to be changed does not exceed the number applicable as at the Start Date; </w:t>
      </w:r>
    </w:p>
    <w:p w:rsidR="00000000" w:rsidDel="00000000" w:rsidP="00000000" w:rsidRDefault="00000000" w:rsidRPr="00000000" w14:paraId="00000023">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principal purpose of the change is to reflect changes in the Buyer's business requirements and/or priorities or to reflect changing industry standards; and</w:t>
      </w:r>
    </w:p>
    <w:p w:rsidR="00000000" w:rsidDel="00000000" w:rsidP="00000000" w:rsidRDefault="00000000" w:rsidRPr="00000000" w14:paraId="0000002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change to the Service Credit Cap.</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Critical Service Level Failure</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 the occurrence of a Critical Service Level Failure:</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Service Credits that would otherwise have accrued during the relevant Service Period shall not accrue; and</w:t>
      </w:r>
    </w:p>
    <w:p w:rsidR="00000000" w:rsidDel="00000000" w:rsidP="00000000" w:rsidRDefault="00000000" w:rsidRPr="00000000" w14:paraId="0000002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(subject to the Service Credit Cap) be entitled to withhold and retain as compensation a sum equal to any Charges which would otherwise have been due to the Supplier in respect of that Service Period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Compensation for Critical Service Level Failure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402"/>
        </w:tabs>
        <w:spacing w:after="22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provided that the operation of this paragraph 3 shall be without prejudice to the right of the Buyer to terminate this Contract and/or to claim damages from the Supplier for material Default.</w:t>
      </w:r>
    </w:p>
    <w:p w:rsidR="00000000" w:rsidDel="00000000" w:rsidP="00000000" w:rsidRDefault="00000000" w:rsidRPr="00000000" w14:paraId="0000002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418" w:right="0" w:hanging="709"/>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issue a credit note to the value of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[[£300] [per vehicle][Order]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per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[Working Day][day][week] that the Delivery of 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ordered Deliverables is overdue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the event that the Deliverables are not delivered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by] [within [x] [Working Days] [days]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date specified in the Order Form,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provided that the value of such credit note shall not exceed [15%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Charges arising from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Order to which the relevant vehicle(s)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relate]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Parties agree that the credit note amount is a genuine pre-estimate of the loss likely to be suffered by the Buyer and does not constitute a penalty.</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18" w:right="0" w:hanging="576"/>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color w:val="000000"/>
          <w:sz w:val="18"/>
          <w:szCs w:val="18"/>
          <w:highlight w:val="yellow"/>
        </w:rPr>
      </w:pP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b w:val="1"/>
          <w:color w:val="000000"/>
          <w:sz w:val="20"/>
          <w:szCs w:val="20"/>
          <w:highlight w:val="yellow"/>
          <w:rtl w:val="0"/>
        </w:rPr>
        <w:t xml:space="preserve">Buyer Guidance: </w:t>
      </w:r>
      <w:r w:rsidDel="00000000" w:rsidR="00000000" w:rsidRPr="00000000">
        <w:rPr>
          <w:rFonts w:ascii="Arial" w:cs="Arial" w:eastAsia="Arial" w:hAnsi="Arial"/>
          <w:color w:val="000000"/>
          <w:sz w:val="20"/>
          <w:szCs w:val="20"/>
          <w:highlight w:val="yellow"/>
          <w:rtl w:val="0"/>
        </w:rPr>
        <w:t xml:space="preserve"> This is an optional liquidated and ascertainable damages provision. If a Buyer wishes to avail of the Clause, </w:t>
      </w:r>
      <w:r w:rsidDel="00000000" w:rsidR="00000000" w:rsidRPr="00000000">
        <w:rPr>
          <w:rFonts w:ascii="Arial" w:cs="Arial" w:eastAsia="Arial" w:hAnsi="Arial"/>
          <w:color w:val="000000"/>
          <w:sz w:val="18"/>
          <w:szCs w:val="18"/>
          <w:highlight w:val="yellow"/>
          <w:rtl w:val="0"/>
        </w:rPr>
        <w:t xml:space="preserve">it will need to tailor the Clause to its particular requirements. For example, to insert the amount that will be</w:t>
      </w:r>
      <w:r w:rsidDel="00000000" w:rsidR="00000000" w:rsidRPr="00000000">
        <w:rPr>
          <w:rFonts w:ascii="Arial" w:cs="Arial" w:eastAsia="Arial" w:hAnsi="Arial"/>
          <w:color w:val="000000"/>
          <w:sz w:val="20"/>
          <w:szCs w:val="20"/>
          <w:highlight w:val="yellow"/>
          <w:rtl w:val="0"/>
        </w:rPr>
        <w:t xml:space="preserve"> </w:t>
      </w:r>
      <w:r w:rsidDel="00000000" w:rsidR="00000000" w:rsidRPr="00000000">
        <w:rPr>
          <w:rFonts w:ascii="Arial" w:cs="Arial" w:eastAsia="Arial" w:hAnsi="Arial"/>
          <w:color w:val="000000"/>
          <w:sz w:val="18"/>
          <w:szCs w:val="18"/>
          <w:highlight w:val="yellow"/>
          <w:rtl w:val="0"/>
        </w:rPr>
        <w:t xml:space="preserve">credited back to the Buyer. This could be per vehicle or per Order. Buyers should also choose the period of unacceptable delay (e.g. day, week or month etc.). If Buyers require to calculate the level of credit by way of daily rate, then they should consider whether it is a working day basis (in which case use Working Day) or a calendar day basis (in which case use “day”) ., The amount of the credit note should be a genuine pre-estimate of loss and proportionate, i.e. set at a level which reflects the Buyer’s reasonable assessment of the loss that would be incurred should Delivery be delayed, and should be brought to the attention of the Supplier at the time of signing the Call-Off Contract. Buyers should take their own advice as to the appropriate level for the credit note amount according to their own circumstances.</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color w:val="000000"/>
          <w:sz w:val="18"/>
          <w:szCs w:val="18"/>
        </w:rPr>
      </w:pPr>
      <w:r w:rsidDel="00000000" w:rsidR="00000000" w:rsidRPr="00000000">
        <w:rPr>
          <w:vertAlign w:val="superscript"/>
          <w:rtl w:val="0"/>
        </w:rPr>
        <w:t xml:space="preserve">2</w:t>
      </w:r>
      <w:r w:rsidDel="00000000" w:rsidR="00000000" w:rsidRPr="00000000">
        <w:rPr>
          <w:rFonts w:ascii="Arial" w:cs="Arial" w:eastAsia="Arial" w:hAnsi="Arial"/>
          <w:color w:val="000000"/>
          <w:sz w:val="18"/>
          <w:szCs w:val="18"/>
          <w:highlight w:val="yellow"/>
          <w:rtl w:val="0"/>
        </w:rPr>
        <w:t xml:space="preserve"> Buyer to insert number of days/Working Days or, alternatively, delete the wording in square brackets.</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color w:val="000000"/>
          <w:sz w:val="18"/>
          <w:szCs w:val="18"/>
        </w:rPr>
      </w:pPr>
      <w:r w:rsidDel="00000000" w:rsidR="00000000" w:rsidRPr="00000000">
        <w:rPr>
          <w:vertAlign w:val="superscript"/>
          <w:rtl w:val="0"/>
        </w:rPr>
        <w:t xml:space="preserve">3</w:t>
      </w:r>
      <w:r w:rsidDel="00000000" w:rsidR="00000000" w:rsidRPr="00000000">
        <w:rPr>
          <w:rtl w:val="0"/>
        </w:rPr>
        <w:t xml:space="preserve"> </w:t>
      </w:r>
      <w:r w:rsidDel="00000000" w:rsidR="00000000" w:rsidRPr="00000000">
        <w:rPr>
          <w:rFonts w:ascii="Arial" w:cs="Arial" w:eastAsia="Arial" w:hAnsi="Arial"/>
          <w:color w:val="000000"/>
          <w:sz w:val="18"/>
          <w:szCs w:val="18"/>
          <w:highlight w:val="yellow"/>
          <w:rtl w:val="0"/>
        </w:rPr>
        <w:t xml:space="preserve">Buyer to consider whether they would like to cap the total liquidated damages. If not, delete the cap reference. If so, insert percentage level of cap which will limit the level of the credit note according to their genuine pre-estimate of the loss they will suffer in the event of late Delivery.</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sz w:val="18"/>
          <w:szCs w:val="18"/>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2"/>
        </w:tabs>
        <w:spacing w:after="120" w:before="240" w:line="240" w:lineRule="auto"/>
        <w:ind w:left="426" w:right="0" w:hanging="36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A: Service Levels and Service Credits </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Levels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level of performance of the Supplier:</w:t>
      </w:r>
    </w:p>
    <w:p w:rsidR="00000000" w:rsidDel="00000000" w:rsidP="00000000" w:rsidRDefault="00000000" w:rsidRPr="00000000" w14:paraId="0000003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or fails to meet any Service Level Performance Measure; or</w:t>
      </w:r>
    </w:p>
    <w:p w:rsidR="00000000" w:rsidDel="00000000" w:rsidP="00000000" w:rsidRDefault="00000000" w:rsidRPr="00000000" w14:paraId="0000003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likely to cause or causes a Critical Service Failure to occur,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immediately notify the Buyer in writing and the Buyer, in its absolute discretion and without limiting any other of its rights, may:</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the Supplier to immediately take all remedial action that is reasonable to mitigate the impact on the Buyer and to rectify or prevent a Service Level Failure or Critical Service Level Failure from taking place or recurring; </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 the Supplier to comply with the Rectification Plan Process; </w:t>
      </w:r>
    </w:p>
    <w:p w:rsidR="00000000" w:rsidDel="00000000" w:rsidP="00000000" w:rsidRDefault="00000000" w:rsidRPr="00000000" w14:paraId="0000003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Service Level Failure has occurred, deduct the applicable Service Level Credits payable by the Supplier to the Buyer; and/or</w:t>
      </w:r>
    </w:p>
    <w:p w:rsidR="00000000" w:rsidDel="00000000" w:rsidP="00000000" w:rsidRDefault="00000000" w:rsidRPr="00000000" w14:paraId="0000003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Critical Service Level Failure has occurred, exercise its right to Compensation for Critical Service Level Failure (including the right to terminate for material Default).</w:t>
      </w:r>
    </w:p>
    <w:p w:rsidR="00000000" w:rsidDel="00000000" w:rsidP="00000000" w:rsidRDefault="00000000" w:rsidRPr="00000000" w14:paraId="0000003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Service Credits</w:t>
      </w:r>
    </w:p>
    <w:p w:rsidR="00000000" w:rsidDel="00000000" w:rsidP="00000000" w:rsidRDefault="00000000" w:rsidRPr="00000000" w14:paraId="0000003C">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shall use the Performance Monitoring Reports supplied by the Supplier to verify the calculation and accuracy of the Service Credits, if any, applicable to each Service Period.</w:t>
      </w:r>
    </w:p>
    <w:p w:rsidR="00000000" w:rsidDel="00000000" w:rsidP="00000000" w:rsidRDefault="00000000" w:rsidRPr="00000000" w14:paraId="0000003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Service Credits are a reduction of the amounts payable in respect of the Deliverables and do not include VAT. The Supplier shall set-off the value of any Service Credits against the appropriate invoice in accordance with calculation formula in the Annex to Part A of this Schedule. </w:t>
      </w:r>
    </w:p>
    <w:p w:rsidR="00000000" w:rsidDel="00000000" w:rsidP="00000000" w:rsidRDefault="00000000" w:rsidRPr="00000000" w14:paraId="0000003E">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Annex A to Part A: Services Levels and Service Credits Table</w:t>
      </w:r>
      <w:r w:rsidDel="00000000" w:rsidR="00000000" w:rsidRPr="00000000">
        <w:rPr>
          <w:rtl w:val="0"/>
        </w:rPr>
      </w:r>
    </w:p>
    <w:p w:rsidR="00000000" w:rsidDel="00000000" w:rsidP="00000000" w:rsidRDefault="00000000" w:rsidRPr="00000000" w14:paraId="0000003F">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highlight w:val="yellow"/>
          <w:rtl w:val="0"/>
        </w:rPr>
        <w:t xml:space="preserve">Guidance Note: </w:t>
      </w:r>
      <w:r w:rsidDel="00000000" w:rsidR="00000000" w:rsidRPr="00000000">
        <w:rPr>
          <w:rFonts w:ascii="Arial" w:cs="Arial" w:eastAsia="Arial" w:hAnsi="Arial"/>
          <w:sz w:val="24"/>
          <w:szCs w:val="24"/>
          <w:rtl w:val="0"/>
        </w:rPr>
        <w:t xml:space="preserve">The following are included by way of example only</w:t>
      </w:r>
      <w:r w:rsidDel="00000000" w:rsidR="00000000" w:rsidRPr="00000000">
        <w:rPr>
          <w:rFonts w:ascii="Arial" w:cs="Arial" w:eastAsia="Arial" w:hAnsi="Arial"/>
          <w:b w:val="1"/>
          <w:i w:val="1"/>
          <w:sz w:val="24"/>
          <w:szCs w:val="24"/>
          <w:rtl w:val="0"/>
        </w:rPr>
        <w:t xml:space="preserve"> </w:t>
      </w:r>
      <w:r w:rsidDel="00000000" w:rsidR="00000000" w:rsidRPr="00000000">
        <w:rPr>
          <w:rFonts w:ascii="Arial" w:cs="Arial" w:eastAsia="Arial" w:hAnsi="Arial"/>
          <w:sz w:val="24"/>
          <w:szCs w:val="24"/>
          <w:rtl w:val="0"/>
        </w:rPr>
        <w:t xml:space="preserve">including Service Levels relating to Social Value (Social Value KPIs).  Procurement-specific Service Levels should be incorporated.  In line with the </w:t>
      </w:r>
      <w:hyperlink r:id="rId8">
        <w:r w:rsidDel="00000000" w:rsidR="00000000" w:rsidRPr="00000000">
          <w:rPr>
            <w:rFonts w:ascii="Arial" w:cs="Arial" w:eastAsia="Arial" w:hAnsi="Arial"/>
            <w:color w:val="0000ff"/>
            <w:sz w:val="24"/>
            <w:szCs w:val="24"/>
            <w:u w:val="single"/>
            <w:rtl w:val="0"/>
          </w:rPr>
          <w:t xml:space="preserve">Sourcing Playbook</w:t>
        </w:r>
      </w:hyperlink>
      <w:r w:rsidDel="00000000" w:rsidR="00000000" w:rsidRPr="00000000">
        <w:rPr>
          <w:rFonts w:ascii="Arial" w:cs="Arial" w:eastAsia="Arial" w:hAnsi="Arial"/>
          <w:sz w:val="24"/>
          <w:szCs w:val="24"/>
          <w:rtl w:val="0"/>
        </w:rPr>
        <w:t xml:space="preserve">, it is HMG’s intention to publish the top KPIs for the Government’s most important contracts. Where this publication requirement applies to this Contract, the Buyer must select at least three Service Levels (KPIs) which shall be publishable and must also select the single most important Social Value KPI, which shall also be publishable (four KPIs in total). Buyers can indicate which are publishable in the table below]</w:t>
      </w:r>
    </w:p>
    <w:tbl>
      <w:tblPr>
        <w:tblStyle w:val="Table2"/>
        <w:tblW w:w="1060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3"/>
        <w:gridCol w:w="1571"/>
        <w:gridCol w:w="1701"/>
        <w:gridCol w:w="1418"/>
        <w:gridCol w:w="2102"/>
        <w:gridCol w:w="2102"/>
        <w:tblGridChange w:id="0">
          <w:tblGrid>
            <w:gridCol w:w="1713"/>
            <w:gridCol w:w="1571"/>
            <w:gridCol w:w="1701"/>
            <w:gridCol w:w="1418"/>
            <w:gridCol w:w="2102"/>
            <w:gridCol w:w="2102"/>
          </w:tblGrid>
        </w:tblGridChange>
      </w:tblGrid>
      <w:tr>
        <w:trPr>
          <w:cantSplit w:val="0"/>
          <w:trHeight w:val="1213" w:hRule="atLeast"/>
          <w:tblHeader w:val="1"/>
        </w:trPr>
        <w:tc>
          <w:tcPr>
            <w:gridSpan w:val="4"/>
            <w:shd w:fill="d9d9d9" w:val="clear"/>
          </w:tcPr>
          <w:p w:rsidR="00000000" w:rsidDel="00000000" w:rsidP="00000000" w:rsidRDefault="00000000" w:rsidRPr="00000000" w14:paraId="00000040">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Levels</w:t>
            </w:r>
          </w:p>
        </w:tc>
        <w:tc>
          <w:tcPr>
            <w:vMerge w:val="restart"/>
            <w:shd w:fill="d9d9d9" w:val="clear"/>
            <w:vAlign w:val="center"/>
          </w:tcPr>
          <w:p w:rsidR="00000000" w:rsidDel="00000000" w:rsidP="00000000" w:rsidRDefault="00000000" w:rsidRPr="00000000" w14:paraId="00000044">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Credit for each Service Period</w:t>
            </w:r>
          </w:p>
          <w:p w:rsidR="00000000" w:rsidDel="00000000" w:rsidP="00000000" w:rsidRDefault="00000000" w:rsidRPr="00000000" w14:paraId="00000045">
            <w:pPr>
              <w:ind w:left="95" w:firstLine="0"/>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6">
            <w:pPr>
              <w:ind w:left="95" w:firstLine="0"/>
              <w:rPr>
                <w:rFonts w:ascii="Arial" w:cs="Arial" w:eastAsia="Arial" w:hAnsi="Arial"/>
                <w:sz w:val="24"/>
                <w:szCs w:val="24"/>
              </w:rPr>
            </w:pPr>
            <w:r w:rsidDel="00000000" w:rsidR="00000000" w:rsidRPr="00000000">
              <w:rPr>
                <w:rtl w:val="0"/>
              </w:rPr>
            </w:r>
          </w:p>
        </w:tc>
      </w:tr>
      <w:tr>
        <w:trPr>
          <w:cantSplit w:val="0"/>
          <w:trHeight w:val="1213" w:hRule="atLeast"/>
          <w:tblHeader w:val="1"/>
        </w:trPr>
        <w:tc>
          <w:tcPr>
            <w:shd w:fill="d9d9d9" w:val="clear"/>
            <w:vAlign w:val="center"/>
          </w:tcPr>
          <w:p w:rsidR="00000000" w:rsidDel="00000000" w:rsidP="00000000" w:rsidRDefault="00000000" w:rsidRPr="00000000" w14:paraId="00000047">
            <w:pPr>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Criterion</w:t>
            </w:r>
          </w:p>
        </w:tc>
        <w:tc>
          <w:tcPr>
            <w:shd w:fill="d9d9d9" w:val="clear"/>
            <w:vAlign w:val="center"/>
          </w:tcPr>
          <w:p w:rsidR="00000000" w:rsidDel="00000000" w:rsidP="00000000" w:rsidRDefault="00000000" w:rsidRPr="00000000" w14:paraId="00000048">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Key Indicator</w:t>
            </w:r>
          </w:p>
        </w:tc>
        <w:tc>
          <w:tcPr>
            <w:shd w:fill="d9d9d9" w:val="clear"/>
            <w:vAlign w:val="center"/>
          </w:tcPr>
          <w:p w:rsidR="00000000" w:rsidDel="00000000" w:rsidP="00000000" w:rsidRDefault="00000000" w:rsidRPr="00000000" w14:paraId="00000049">
            <w:pPr>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Performance Measure</w:t>
            </w:r>
          </w:p>
        </w:tc>
        <w:tc>
          <w:tcPr>
            <w:shd w:fill="d9d9d9" w:val="clear"/>
          </w:tcPr>
          <w:p w:rsidR="00000000" w:rsidDel="00000000" w:rsidP="00000000" w:rsidRDefault="00000000" w:rsidRPr="00000000" w14:paraId="0000004A">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Service Level Threshold</w:t>
            </w:r>
          </w:p>
        </w:tc>
        <w:tc>
          <w:tcPr>
            <w:vMerge w:val="continue"/>
            <w:shd w:fill="d9d9d9" w:val="clear"/>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c>
        <w:tc>
          <w:tcPr>
            <w:shd w:fill="d9d9d9" w:val="clear"/>
          </w:tcPr>
          <w:p w:rsidR="00000000" w:rsidDel="00000000" w:rsidP="00000000" w:rsidRDefault="00000000" w:rsidRPr="00000000" w14:paraId="0000004C">
            <w:pPr>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Publishable KPI</w:t>
            </w:r>
          </w:p>
        </w:tc>
      </w:tr>
      <w:tr>
        <w:trPr>
          <w:cantSplit w:val="0"/>
          <w:trHeight w:val="1474" w:hRule="atLeast"/>
          <w:tblHeader w:val="0"/>
        </w:trPr>
        <w:tc>
          <w:tcPr/>
          <w:p w:rsidR="00000000" w:rsidDel="00000000" w:rsidP="00000000" w:rsidRDefault="00000000" w:rsidRPr="00000000" w14:paraId="0000004D">
            <w:pPr>
              <w:spacing w:after="120" w:lineRule="auto"/>
              <w:ind w:left="61"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sz w:val="24"/>
                <w:szCs w:val="24"/>
                <w:highlight w:val="yellow"/>
                <w:rtl w:val="0"/>
              </w:rPr>
              <w:t xml:space="preserve">Accurate and timely billing of Buyer</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4E">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4F">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Accuracy /Timelines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0">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1">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2">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3">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4">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5">
            <w:pPr>
              <w:spacing w:after="120" w:lineRule="auto"/>
              <w:ind w:left="95" w:firstLine="0"/>
              <w:rPr>
                <w:rFonts w:ascii="Arial" w:cs="Arial" w:eastAsia="Arial" w:hAnsi="Arial"/>
                <w:sz w:val="24"/>
                <w:szCs w:val="24"/>
              </w:rPr>
            </w:pPr>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474" w:hRule="atLeast"/>
          <w:tblHeader w:val="0"/>
        </w:trPr>
        <w:tc>
          <w:tcPr/>
          <w:p w:rsidR="00000000" w:rsidDel="00000000" w:rsidP="00000000" w:rsidRDefault="00000000" w:rsidRPr="00000000" w14:paraId="00000056">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Access to Buyer support</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7">
            <w:pPr>
              <w:spacing w:after="120" w:lineRule="auto"/>
              <w:ind w:left="61"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8">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Availability</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9">
            <w:pPr>
              <w:spacing w:after="120" w:lineRule="auto"/>
              <w:ind w:left="95"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A">
            <w:pPr>
              <w:spacing w:after="120" w:lineRule="auto"/>
              <w:ind w:left="95" w:firstLine="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B">
            <w:pPr>
              <w:spacing w:after="12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at least 98% at all times</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C">
            <w:pPr>
              <w:spacing w:after="12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5D">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5E">
            <w:pPr>
              <w:spacing w:after="120" w:lineRule="auto"/>
              <w:ind w:left="9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0.5% Service Credit gained for each percentage under the specified Service Level Performance Measure</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5F">
            <w:pPr>
              <w:spacing w:after="120" w:lineRule="auto"/>
              <w:ind w:left="95" w:firstLine="0"/>
              <w:rPr>
                <w:rFonts w:ascii="Arial" w:cs="Arial" w:eastAsia="Arial" w:hAnsi="Arial"/>
                <w:sz w:val="24"/>
                <w:szCs w:val="24"/>
              </w:rPr>
            </w:pPr>
            <w:r w:rsidDel="00000000" w:rsidR="00000000" w:rsidRPr="00000000">
              <w:rPr>
                <w:rFonts w:ascii="Arial" w:cs="Arial" w:eastAsia="Arial" w:hAnsi="Arial"/>
                <w:rtl w:val="0"/>
              </w:rPr>
              <w:t xml:space="preserve">[Yes/No]</w:t>
            </w:r>
            <w:r w:rsidDel="00000000" w:rsidR="00000000" w:rsidRPr="00000000">
              <w:rPr>
                <w:rtl w:val="0"/>
              </w:rPr>
            </w:r>
          </w:p>
        </w:tc>
      </w:tr>
      <w:tr>
        <w:trPr>
          <w:cantSplit w:val="0"/>
          <w:trHeight w:val="1165" w:hRule="atLeast"/>
          <w:tblHeader w:val="0"/>
        </w:trPr>
        <w:tc>
          <w:tcPr/>
          <w:p w:rsidR="00000000" w:rsidDel="00000000" w:rsidP="00000000" w:rsidRDefault="00000000" w:rsidRPr="00000000" w14:paraId="00000060">
            <w:pPr>
              <w:spacing w:after="120" w:lineRule="auto"/>
              <w:ind w:left="61"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highlight w:val="yellow"/>
                <w:rtl w:val="0"/>
              </w:rPr>
              <w:t xml:space="preserve">KPI</w:t>
            </w: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61">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2">
            <w:pPr>
              <w:spacing w:after="120" w:lineRule="auto"/>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3">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4">
            <w:pPr>
              <w:spacing w:after="120" w:lineRule="auto"/>
              <w:ind w:left="95" w:firstLine="0"/>
              <w:rPr>
                <w:rFonts w:ascii="Arial" w:cs="Arial" w:eastAsia="Arial" w:hAnsi="Arial"/>
                <w:sz w:val="24"/>
                <w:szCs w:val="24"/>
              </w:rPr>
            </w:pPr>
            <w:r w:rsidDel="00000000" w:rsidR="00000000" w:rsidRPr="00000000">
              <w:rPr>
                <w:rFonts w:ascii="Arial" w:cs="Arial" w:eastAsia="Arial" w:hAnsi="Arial"/>
                <w:highlight w:val="yellow"/>
                <w:rtl w:val="0"/>
              </w:rPr>
              <w:t xml:space="preserve">[  ]</w:t>
            </w:r>
            <w:r w:rsidDel="00000000" w:rsidR="00000000" w:rsidRPr="00000000">
              <w:rPr>
                <w:rtl w:val="0"/>
              </w:rPr>
            </w:r>
          </w:p>
        </w:tc>
        <w:tc>
          <w:tcPr/>
          <w:p w:rsidR="00000000" w:rsidDel="00000000" w:rsidP="00000000" w:rsidRDefault="00000000" w:rsidRPr="00000000" w14:paraId="00000065">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6">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1]</w:t>
            </w:r>
            <w:r w:rsidDel="00000000" w:rsidR="00000000" w:rsidRPr="00000000">
              <w:rPr>
                <w:rtl w:val="0"/>
              </w:rPr>
            </w:r>
          </w:p>
        </w:tc>
        <w:tc>
          <w:tcPr/>
          <w:p w:rsidR="00000000" w:rsidDel="00000000" w:rsidP="00000000" w:rsidRDefault="00000000" w:rsidRPr="00000000" w14:paraId="00000067">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8">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9">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A">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B">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6C">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2]</w:t>
            </w:r>
            <w:r w:rsidDel="00000000" w:rsidR="00000000" w:rsidRPr="00000000">
              <w:rPr>
                <w:rtl w:val="0"/>
              </w:rPr>
            </w:r>
          </w:p>
        </w:tc>
        <w:tc>
          <w:tcPr/>
          <w:p w:rsidR="00000000" w:rsidDel="00000000" w:rsidP="00000000" w:rsidRDefault="00000000" w:rsidRPr="00000000" w14:paraId="0000006D">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E">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6F">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0">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1">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r>
        <w:trPr>
          <w:cantSplit w:val="0"/>
          <w:trHeight w:val="1474" w:hRule="atLeast"/>
          <w:tblHeader w:val="0"/>
        </w:trPr>
        <w:tc>
          <w:tcPr/>
          <w:p w:rsidR="00000000" w:rsidDel="00000000" w:rsidP="00000000" w:rsidRDefault="00000000" w:rsidRPr="00000000" w14:paraId="00000072">
            <w:pPr>
              <w:spacing w:after="120" w:lineRule="auto"/>
              <w:ind w:left="61" w:firstLine="0"/>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Social Value KPI 3]</w:t>
            </w:r>
            <w:r w:rsidDel="00000000" w:rsidR="00000000" w:rsidRPr="00000000">
              <w:rPr>
                <w:rtl w:val="0"/>
              </w:rPr>
            </w:r>
          </w:p>
        </w:tc>
        <w:tc>
          <w:tcPr/>
          <w:p w:rsidR="00000000" w:rsidDel="00000000" w:rsidP="00000000" w:rsidRDefault="00000000" w:rsidRPr="00000000" w14:paraId="00000073">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4">
            <w:pPr>
              <w:spacing w:after="120" w:lineRule="auto"/>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5">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6">
            <w:pPr>
              <w:spacing w:after="120" w:lineRule="auto"/>
              <w:ind w:left="95" w:firstLine="0"/>
              <w:rPr>
                <w:rFonts w:ascii="Arial" w:cs="Arial" w:eastAsia="Arial" w:hAnsi="Arial"/>
                <w:highlight w:val="yellow"/>
              </w:rPr>
            </w:pPr>
            <w:r w:rsidDel="00000000" w:rsidR="00000000" w:rsidRPr="00000000">
              <w:rPr>
                <w:rFonts w:ascii="Arial" w:cs="Arial" w:eastAsia="Arial" w:hAnsi="Arial"/>
                <w:highlight w:val="yellow"/>
                <w:rtl w:val="0"/>
              </w:rPr>
              <w:t xml:space="preserve">[  ]</w:t>
            </w:r>
          </w:p>
        </w:tc>
        <w:tc>
          <w:tcPr/>
          <w:p w:rsidR="00000000" w:rsidDel="00000000" w:rsidP="00000000" w:rsidRDefault="00000000" w:rsidRPr="00000000" w14:paraId="00000077">
            <w:pPr>
              <w:spacing w:after="120" w:lineRule="auto"/>
              <w:ind w:left="95" w:firstLine="0"/>
              <w:rPr>
                <w:rFonts w:ascii="Arial" w:cs="Arial" w:eastAsia="Arial" w:hAnsi="Arial"/>
              </w:rPr>
            </w:pPr>
            <w:r w:rsidDel="00000000" w:rsidR="00000000" w:rsidRPr="00000000">
              <w:rPr>
                <w:rFonts w:ascii="Arial" w:cs="Arial" w:eastAsia="Arial" w:hAnsi="Arial"/>
                <w:rtl w:val="0"/>
              </w:rPr>
              <w:t xml:space="preserve">[Yes/No]</w:t>
            </w:r>
          </w:p>
        </w:tc>
      </w:tr>
    </w:tbl>
    <w:p w:rsidR="00000000" w:rsidDel="00000000" w:rsidP="00000000" w:rsidRDefault="00000000" w:rsidRPr="00000000" w14:paraId="00000078">
      <w:pPr>
        <w:ind w:left="709" w:firstLine="0"/>
        <w:rPr>
          <w:rFonts w:ascii="Arial" w:cs="Arial" w:eastAsia="Arial" w:hAnsi="Arial"/>
          <w:sz w:val="24"/>
          <w:szCs w:val="24"/>
          <w:highlight w:val="green"/>
        </w:rPr>
      </w:pPr>
      <w:r w:rsidDel="00000000" w:rsidR="00000000" w:rsidRPr="00000000">
        <w:rPr>
          <w:rtl w:val="0"/>
        </w:rPr>
      </w:r>
    </w:p>
    <w:p w:rsidR="00000000" w:rsidDel="00000000" w:rsidP="00000000" w:rsidRDefault="00000000" w:rsidRPr="00000000" w14:paraId="00000079">
      <w:pPr>
        <w:ind w:left="709"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Service Credits shall be calculated on the basis of the following formula:</w:t>
      </w:r>
    </w:p>
    <w:p w:rsidR="00000000" w:rsidDel="00000000" w:rsidP="00000000" w:rsidRDefault="00000000" w:rsidRPr="00000000" w14:paraId="0000007A">
      <w:pPr>
        <w:ind w:left="709" w:firstLine="0"/>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[Example:</w:t>
      </w:r>
    </w:p>
    <w:tbl>
      <w:tblPr>
        <w:tblStyle w:val="Table3"/>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03"/>
        <w:gridCol w:w="568"/>
        <w:gridCol w:w="4111"/>
        <w:tblGridChange w:id="0">
          <w:tblGrid>
            <w:gridCol w:w="5103"/>
            <w:gridCol w:w="568"/>
            <w:gridCol w:w="4111"/>
          </w:tblGrid>
        </w:tblGridChange>
      </w:tblGrid>
      <w:tr>
        <w:trPr>
          <w:cantSplit w:val="0"/>
          <w:tblHeader w:val="0"/>
        </w:trPr>
        <w:tc>
          <w:tcPr/>
          <w:p w:rsidR="00000000" w:rsidDel="00000000" w:rsidP="00000000" w:rsidRDefault="00000000" w:rsidRPr="00000000" w14:paraId="0000007B">
            <w:pPr>
              <w:rPr>
                <w:rFonts w:ascii="Arial" w:cs="Arial" w:eastAsia="Arial" w:hAnsi="Arial"/>
                <w:sz w:val="24"/>
                <w:szCs w:val="24"/>
              </w:rPr>
            </w:pPr>
            <w:r w:rsidDel="00000000" w:rsidR="00000000" w:rsidRPr="00000000">
              <w:rPr>
                <w:rFonts w:ascii="Arial" w:cs="Arial" w:eastAsia="Arial" w:hAnsi="Arial"/>
                <w:sz w:val="24"/>
                <w:szCs w:val="24"/>
                <w:rtl w:val="0"/>
              </w:rPr>
              <w:t xml:space="preserve">Formula: x% (Service Level Performance Measure) - x% (actual Service Level performance)  </w:t>
            </w:r>
          </w:p>
        </w:tc>
        <w:tc>
          <w:tcPr/>
          <w:p w:rsidR="00000000" w:rsidDel="00000000" w:rsidP="00000000" w:rsidRDefault="00000000" w:rsidRPr="00000000" w14:paraId="0000007C">
            <w:pPr>
              <w:ind w:left="3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7D">
            <w:pPr>
              <w:ind w:left="34"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x% of the Charges payable to the Buyer as Service Credits to be deducted from the next Invoice payable by the Buyer</w:t>
            </w:r>
          </w:p>
        </w:tc>
      </w:tr>
      <w:tr>
        <w:trPr>
          <w:cantSplit w:val="0"/>
          <w:tblHeader w:val="0"/>
        </w:trPr>
        <w:tc>
          <w:tcPr/>
          <w:p w:rsidR="00000000" w:rsidDel="00000000" w:rsidP="00000000" w:rsidRDefault="00000000" w:rsidRPr="00000000" w14:paraId="0000007E">
            <w:pPr>
              <w:rPr>
                <w:rFonts w:ascii="Arial" w:cs="Arial" w:eastAsia="Arial" w:hAnsi="Arial"/>
                <w:sz w:val="24"/>
                <w:szCs w:val="24"/>
              </w:rPr>
            </w:pPr>
            <w:r w:rsidDel="00000000" w:rsidR="00000000" w:rsidRPr="00000000">
              <w:rPr>
                <w:rFonts w:ascii="Arial" w:cs="Arial" w:eastAsia="Arial" w:hAnsi="Arial"/>
                <w:sz w:val="24"/>
                <w:szCs w:val="24"/>
                <w:rtl w:val="0"/>
              </w:rPr>
              <w:t xml:space="preserve">Worked example: 98% (e.g. Service Level Performance Measure requirement for accurate and timely billing Service Level) - 75% (e.g. actual performance achieved against this Service Level in a Service Period)</w:t>
            </w:r>
          </w:p>
        </w:tc>
        <w:tc>
          <w:tcPr/>
          <w:p w:rsidR="00000000" w:rsidDel="00000000" w:rsidP="00000000" w:rsidRDefault="00000000" w:rsidRPr="00000000" w14:paraId="0000007F">
            <w:pPr>
              <w:ind w:left="3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p w:rsidR="00000000" w:rsidDel="00000000" w:rsidP="00000000" w:rsidRDefault="00000000" w:rsidRPr="00000000" w14:paraId="00000080">
            <w:pPr>
              <w:ind w:left="145"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23% of the Charges payable to the Buyer as Service Credits to be deducted from the next Invoice payable by the Buyer]</w:t>
            </w:r>
          </w:p>
        </w:tc>
      </w:tr>
    </w:tbl>
    <w:p w:rsidR="00000000" w:rsidDel="00000000" w:rsidP="00000000" w:rsidRDefault="00000000" w:rsidRPr="00000000" w14:paraId="0000008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Bold" w:cs="Arial Bold" w:eastAsia="Arial Bold" w:hAnsi="Arial Bold"/>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Fonts w:ascii="Arial Bold" w:cs="Arial Bold" w:eastAsia="Arial Bold" w:hAnsi="Arial Bold"/>
          <w:b w:val="1"/>
          <w:i w:val="0"/>
          <w:smallCaps w:val="0"/>
          <w:strike w:val="0"/>
          <w:color w:val="000000"/>
          <w:sz w:val="36"/>
          <w:szCs w:val="36"/>
          <w:u w:val="none"/>
          <w:shd w:fill="auto" w:val="clear"/>
          <w:vertAlign w:val="baseline"/>
          <w:rtl w:val="0"/>
        </w:rPr>
        <w:t xml:space="preserve">Part B: Performance Monitoring </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Performance Monitoring and Performance Review</w:t>
      </w:r>
    </w:p>
    <w:p w:rsidR="00000000" w:rsidDel="00000000" w:rsidP="00000000" w:rsidRDefault="00000000" w:rsidRPr="00000000" w14:paraId="0000008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twenty (20) Working Days of the Start Date the Supplier shall provide the Buyer with details of how the process in respect of the monitoring and reporting of Service Levels will operate between the Parties and the Parties will endeavour to agree such process as soon as reasonably possible.</w:t>
      </w:r>
    </w:p>
    <w:p w:rsidR="00000000" w:rsidDel="00000000" w:rsidP="00000000" w:rsidRDefault="00000000" w:rsidRPr="00000000" w14:paraId="00000084">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the Buyer with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Monitoring Reports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 accordance with the process and timescales agreed pursuant to paragraph 1.1 of Part B of this Schedule which shall contain, as a minimum, the following information in respect of the relevant Service Period just ended:</w:t>
      </w:r>
    </w:p>
    <w:p w:rsidR="00000000" w:rsidDel="00000000" w:rsidP="00000000" w:rsidRDefault="00000000" w:rsidRPr="00000000" w14:paraId="00000085">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each Service Level, the actual performance achieved over the Service Level for the relevant Service Period;</w:t>
      </w:r>
    </w:p>
    <w:p w:rsidR="00000000" w:rsidDel="00000000" w:rsidP="00000000" w:rsidRDefault="00000000" w:rsidRPr="00000000" w14:paraId="00000086">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summary of all failures to achieve Service Levels that occurred during that Service Period;</w:t>
      </w:r>
    </w:p>
    <w:p w:rsidR="00000000" w:rsidDel="00000000" w:rsidP="00000000" w:rsidRDefault="00000000" w:rsidRPr="00000000" w14:paraId="00000087">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any Critical Service Level Failures;</w:t>
      </w:r>
    </w:p>
    <w:p w:rsidR="00000000" w:rsidDel="00000000" w:rsidP="00000000" w:rsidRDefault="00000000" w:rsidRPr="00000000" w14:paraId="0000008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any repeat failures, actions taken to resolve the underlying cause and prevent recurrence;</w:t>
      </w:r>
    </w:p>
    <w:p w:rsidR="00000000" w:rsidDel="00000000" w:rsidP="00000000" w:rsidRDefault="00000000" w:rsidRPr="00000000" w14:paraId="0000008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Service Credits to be applied in respect of the relevant period indicating the failures and Service Levels to which the Service Credits relate; and</w:t>
      </w:r>
    </w:p>
    <w:p w:rsidR="00000000" w:rsidDel="00000000" w:rsidP="00000000" w:rsidRDefault="00000000" w:rsidRPr="00000000" w14:paraId="0000008A">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such other details as the Buyer may reasonably require from time to time.</w:t>
      </w:r>
    </w:p>
    <w:p w:rsidR="00000000" w:rsidDel="00000000" w:rsidP="00000000" w:rsidRDefault="00000000" w:rsidRPr="00000000" w14:paraId="0000008B">
      <w:pPr>
        <w:keepNext w:val="1"/>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Parties shall attend meetings to discuss Performance Monitoring Reports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Performance Review Meetings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a Monthly basis. The Performance Review Meetings will be the forum for the review by the Supplier and the Buyer of the Performance Monitoring Reports.  The Performance Review Meetings shall:</w:t>
      </w:r>
    </w:p>
    <w:p w:rsidR="00000000" w:rsidDel="00000000" w:rsidP="00000000" w:rsidRDefault="00000000" w:rsidRPr="00000000" w14:paraId="0000008C">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place within one (1) week of the Performance Monitoring Reports being issued by the Supplier at such location and time (within normal business hours) as the Buyer shall reasonably require;</w:t>
      </w:r>
    </w:p>
    <w:p w:rsidR="00000000" w:rsidDel="00000000" w:rsidP="00000000" w:rsidRDefault="00000000" w:rsidRPr="00000000" w14:paraId="0000008D">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attended by the Supplier's Representative and the Buyer’s Representative; and</w:t>
      </w:r>
    </w:p>
    <w:p w:rsidR="00000000" w:rsidDel="00000000" w:rsidP="00000000" w:rsidRDefault="00000000" w:rsidRPr="00000000" w14:paraId="0000008E">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fully minuted by the Supplier and the minutes will be circulated by the Supplier to all attendees at the relevant meeting and also to the Buyer’s Representative and any other recipients agreed at the relevant meeting.  </w:t>
      </w:r>
    </w:p>
    <w:p w:rsidR="00000000" w:rsidDel="00000000" w:rsidP="00000000" w:rsidRDefault="00000000" w:rsidRPr="00000000" w14:paraId="0000008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minutes of the preceding Month's Performance Review Meeting will be agreed and signed by both the Supplier's Representative and the Buyer’s Representative at each meeting.</w:t>
      </w:r>
    </w:p>
    <w:p w:rsidR="00000000" w:rsidDel="00000000" w:rsidP="00000000" w:rsidRDefault="00000000" w:rsidRPr="00000000" w14:paraId="00000090">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to the Buyer such documentation as the Buyer may reasonably require in order to verify the level of the performance by the Supplier and the calculations of the amount of Service Credits for any specified Service Period.</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1440" w:right="0" w:hanging="576"/>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142"/>
        </w:tabs>
        <w:spacing w:after="120" w:before="240" w:line="240" w:lineRule="auto"/>
        <w:ind w:left="720" w:right="0" w:hanging="72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Satisfaction Surveys</w:t>
      </w:r>
    </w:p>
    <w:p w:rsidR="00000000" w:rsidDel="00000000" w:rsidP="00000000" w:rsidRDefault="00000000" w:rsidRPr="00000000" w14:paraId="0000009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Buyer may undertake satisfaction surveys in respect of the Supplier's provision of the Deliverables. The Buyer shall be entitled to notify the Supplier of any aspects of their performance of the provision of the Deliverables which the responses to the Satisfaction Surveys reasonably suggest are not in accordance with this Contract.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936" w:right="0" w:hanging="576"/>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sectPr>
      <w:headerReference r:id="rId9" w:type="default"/>
      <w:footerReference r:id="rId10" w:type="default"/>
      <w:footerReference r:id="rId11" w:type="firs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RM6244</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v3.2</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tabs>
        <w:tab w:val="center" w:pos="4513"/>
        <w:tab w:val="right" w:pos="9026"/>
      </w:tabs>
      <w:spacing w:after="0" w:line="240" w:lineRule="auto"/>
      <w:jc w:val="both"/>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Framework Ref: RM</w:t>
      <w:tab/>
      <w:t xml:space="preserve">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Version : v2.9</w:t>
      <w:tab/>
      <w:tab/>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color w:val="000000"/>
          <w:sz w:val="18"/>
          <w:szCs w:val="18"/>
          <w:highlight w:val="yellow"/>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b w:val="1"/>
          <w:color w:val="000000"/>
          <w:sz w:val="20"/>
          <w:szCs w:val="20"/>
          <w:highlight w:val="yellow"/>
          <w:rtl w:val="0"/>
        </w:rPr>
        <w:t xml:space="preserve">Buyer Guidance: </w:t>
      </w:r>
      <w:r w:rsidDel="00000000" w:rsidR="00000000" w:rsidRPr="00000000">
        <w:rPr>
          <w:rFonts w:ascii="Arial" w:cs="Arial" w:eastAsia="Arial" w:hAnsi="Arial"/>
          <w:color w:val="000000"/>
          <w:sz w:val="20"/>
          <w:szCs w:val="20"/>
          <w:highlight w:val="yellow"/>
          <w:rtl w:val="0"/>
        </w:rPr>
        <w:t xml:space="preserve"> This is an optional liquidated and ascertainable damages provision. If a Buyer wishes to avail of the Clause, </w:t>
      </w:r>
      <w:r w:rsidDel="00000000" w:rsidR="00000000" w:rsidRPr="00000000">
        <w:rPr>
          <w:rFonts w:ascii="Arial" w:cs="Arial" w:eastAsia="Arial" w:hAnsi="Arial"/>
          <w:color w:val="000000"/>
          <w:sz w:val="18"/>
          <w:szCs w:val="18"/>
          <w:highlight w:val="yellow"/>
          <w:rtl w:val="0"/>
        </w:rPr>
        <w:t xml:space="preserve">it will need to tailor the Clause to its particular requirements. For example, to insert the amount that will be</w:t>
      </w:r>
      <w:r w:rsidDel="00000000" w:rsidR="00000000" w:rsidRPr="00000000">
        <w:rPr>
          <w:rFonts w:ascii="Arial" w:cs="Arial" w:eastAsia="Arial" w:hAnsi="Arial"/>
          <w:color w:val="000000"/>
          <w:sz w:val="20"/>
          <w:szCs w:val="20"/>
          <w:highlight w:val="yellow"/>
          <w:rtl w:val="0"/>
        </w:rPr>
        <w:t xml:space="preserve"> </w:t>
      </w:r>
      <w:r w:rsidDel="00000000" w:rsidR="00000000" w:rsidRPr="00000000">
        <w:rPr>
          <w:rFonts w:ascii="Arial" w:cs="Arial" w:eastAsia="Arial" w:hAnsi="Arial"/>
          <w:color w:val="000000"/>
          <w:sz w:val="18"/>
          <w:szCs w:val="18"/>
          <w:highlight w:val="yellow"/>
          <w:rtl w:val="0"/>
        </w:rPr>
        <w:t xml:space="preserve">credited back to the Buyer. This could be per vehicle or per Order. Buyers should also choose the period of unacceptable delay (e.g. day, week or month etc.). If Buyers require to calculate the level of credit by way of daily rate, then they should consider whether it is a working day basis (in which case use Working Day) or a calendar day basis (in which case use “day”) ., The amount of the credit note should be a genuine pre-estimate of loss and proportionate, i.e. set at a level which reflects the Buyer’s reasonable assessment of the loss that would be incurred should Delivery be delayed, and should be brought to the attention of the Supplier at the time of signing the Call-Off Contract. Buyers should take their own advice as to the appropriate level for the credit note amount according to their own circumstances.</w:t>
      </w:r>
    </w:p>
  </w:footnote>
  <w:footnote w:id="1">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ind w:left="142" w:firstLine="0"/>
        <w:rPr>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highlight w:val="yellow"/>
          <w:rtl w:val="0"/>
        </w:rPr>
        <w:t xml:space="preserve"> Buyer to insert number of days/Working Days or, alternatively, delete the wording in square brackets.</w:t>
      </w:r>
      <w:r w:rsidDel="00000000" w:rsidR="00000000" w:rsidRPr="00000000">
        <w:rPr>
          <w:rFonts w:ascii="Arial" w:cs="Arial" w:eastAsia="Arial" w:hAnsi="Arial"/>
          <w:color w:val="000000"/>
          <w:sz w:val="18"/>
          <w:szCs w:val="18"/>
          <w:rtl w:val="0"/>
        </w:rPr>
        <w:t xml:space="preserve">]</w:t>
      </w:r>
      <w:r w:rsidDel="00000000" w:rsidR="00000000" w:rsidRPr="00000000">
        <w:rPr>
          <w:rtl w:val="0"/>
        </w:rPr>
      </w:r>
    </w:p>
  </w:footnote>
  <w:footnote w:id="2">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142" w:firstLine="0"/>
        <w:rPr>
          <w:rFonts w:ascii="Arial" w:cs="Arial" w:eastAsia="Arial" w:hAnsi="Arial"/>
          <w:color w:val="000000"/>
          <w:sz w:val="18"/>
          <w:szCs w:val="18"/>
        </w:rPr>
      </w:pPr>
      <w:r w:rsidDel="00000000" w:rsidR="00000000" w:rsidRPr="00000000">
        <w:rPr>
          <w:rStyle w:val="FootnoteReference"/>
          <w:vertAlign w:val="superscript"/>
        </w:rPr>
        <w:footnoteRef/>
      </w:r>
      <w:r w:rsidDel="00000000" w:rsidR="00000000" w:rsidRPr="00000000">
        <w:rPr>
          <w:rFonts w:ascii="Arial" w:cs="Arial" w:eastAsia="Arial" w:hAnsi="Arial"/>
          <w:color w:val="000000"/>
          <w:sz w:val="18"/>
          <w:szCs w:val="18"/>
          <w:highlight w:val="yellow"/>
          <w:rtl w:val="0"/>
        </w:rPr>
        <w:t xml:space="preserve">[</w:t>
      </w:r>
      <w:r w:rsidDel="00000000" w:rsidR="00000000" w:rsidRPr="00000000">
        <w:rPr>
          <w:rFonts w:ascii="Arial" w:cs="Arial" w:eastAsia="Arial" w:hAnsi="Arial"/>
          <w:b w:val="1"/>
          <w:color w:val="000000"/>
          <w:sz w:val="18"/>
          <w:szCs w:val="18"/>
          <w:highlight w:val="yellow"/>
          <w:rtl w:val="0"/>
        </w:rPr>
        <w:t xml:space="preserve">Buyer Guidance</w:t>
      </w:r>
      <w:r w:rsidDel="00000000" w:rsidR="00000000" w:rsidRPr="00000000">
        <w:rPr>
          <w:rFonts w:ascii="Arial" w:cs="Arial" w:eastAsia="Arial" w:hAnsi="Arial"/>
          <w:color w:val="000000"/>
          <w:sz w:val="18"/>
          <w:szCs w:val="18"/>
          <w:highlight w:val="yellow"/>
          <w:rtl w:val="0"/>
        </w:rPr>
        <w:t xml:space="preserve">:  Buyer to consider whether they would like to cap the total liquidated damages. If not, delete the cap reference. If so, insert percentage level of cap which will limit the level of the credit note according to their genuine pre-estimate of the loss they will suffer in the event of late Delivery.</w:t>
      </w:r>
      <w:r w:rsidDel="00000000" w:rsidR="00000000" w:rsidRPr="00000000">
        <w:rPr>
          <w:rFonts w:ascii="Arial" w:cs="Arial" w:eastAsia="Arial" w:hAnsi="Arial"/>
          <w:color w:val="000000"/>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Call-Off Schedule 14 (Service Levels)</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Call-Off Ref:</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Calibri" w:cs="Calibri" w:eastAsia="Calibri" w:hAnsi="Calibri"/>
        <w:b w:val="1"/>
        <w:i w:val="0"/>
        <w:smallCaps w:val="0"/>
        <w:strike w:val="0"/>
        <w:color w:val="000000"/>
        <w:sz w:val="22"/>
        <w:szCs w:val="22"/>
        <w:u w:val="none"/>
        <w:vertAlign w:val="baseline"/>
      </w:rPr>
    </w:lvl>
    <w:lvl w:ilvl="1">
      <w:start w:val="1"/>
      <w:numFmt w:val="lowerLetter"/>
      <w:lvlText w:val="%2)"/>
      <w:lvlJc w:val="left"/>
      <w:pPr>
        <w:ind w:left="1440" w:hanging="720"/>
      </w:pPr>
      <w:rPr>
        <w:b w:val="0"/>
        <w:i w:val="0"/>
        <w:smallCaps w:val="0"/>
        <w:strike w:val="0"/>
        <w:color w:val="000000"/>
        <w:sz w:val="22"/>
        <w:szCs w:val="22"/>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3">
    <w:lvl w:ilvl="0">
      <w:start w:val="1"/>
      <w:numFmt w:val="decimal"/>
      <w:lvlText w:val="%1"/>
      <w:lvlJc w:val="left"/>
      <w:pPr>
        <w:ind w:left="170" w:hanging="170"/>
      </w:pPr>
      <w:rPr>
        <w:rFonts w:ascii="Arial" w:cs="Arial" w:eastAsia="Arial" w:hAnsi="Arial"/>
        <w:sz w:val="22"/>
        <w:szCs w:val="22"/>
      </w:rPr>
    </w:lvl>
    <w:lvl w:ilvl="1">
      <w:start w:val="1"/>
      <w:numFmt w:val="lowerLetter"/>
      <w:lvlText w:val="%2)"/>
      <w:lvlJc w:val="left"/>
      <w:pPr>
        <w:ind w:left="720" w:hanging="360"/>
      </w:pPr>
      <w:rPr>
        <w:rFonts w:ascii="Calibri" w:cs="Calibri" w:eastAsia="Calibri" w:hAnsi="Calibri"/>
        <w:b w:val="0"/>
        <w:i w:val="0"/>
        <w:smallCaps w:val="0"/>
        <w:strike w:val="0"/>
        <w:color w:val="000000"/>
        <w:u w:val="none"/>
        <w:vertAlign w:val="baseline"/>
      </w:rPr>
    </w:lvl>
    <w:lvl w:ilvl="2">
      <w:start w:val="1"/>
      <w:numFmt w:val="lowerRoman"/>
      <w:lvlText w:val="%3)"/>
      <w:lvlJc w:val="left"/>
      <w:pPr>
        <w:ind w:left="1080" w:hanging="360"/>
      </w:pPr>
      <w:rPr>
        <w:rFonts w:ascii="Arial" w:cs="Arial" w:eastAsia="Arial" w:hAnsi="Arial"/>
        <w:sz w:val="22"/>
        <w:szCs w:val="22"/>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4">
    <w:lvl w:ilvl="0">
      <w:start w:val="1"/>
      <w:numFmt w:val="decimal"/>
      <w:lvlText w:val="%1."/>
      <w:lvlJc w:val="left"/>
      <w:pPr>
        <w:ind w:left="720" w:hanging="72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440" w:hanging="72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160"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80"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3600" w:hanging="72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Times New Roman" w:eastAsia="Calibri" w:hAnsi="Calibri"/>
    </w:rPr>
  </w:style>
  <w:style w:type="paragraph" w:styleId="Heading1">
    <w:name w:val="heading 1"/>
    <w:basedOn w:val="Normal"/>
    <w:next w:val="Normal"/>
    <w:link w:val="Heading1Char"/>
    <w:uiPriority w:val="9"/>
    <w:qFormat w:val="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CLAUSEHEADING" w:customStyle="1">
    <w:name w:val="GPS L1 CLAUSE HEADING"/>
    <w:basedOn w:val="Normal"/>
    <w:next w:val="Normal"/>
    <w:link w:val="GPSL1CLAUSEHEADINGChar"/>
    <w:uiPriority w:val="99"/>
    <w:qFormat w:val="1"/>
    <w:pPr>
      <w:numPr>
        <w:numId w:val="1"/>
      </w:numPr>
      <w:tabs>
        <w:tab w:val="left" w:pos="142"/>
      </w:tabs>
      <w:adjustRightInd w:val="0"/>
      <w:spacing w:after="120" w:before="240" w:line="240" w:lineRule="auto"/>
      <w:ind w:left="360" w:hanging="360"/>
      <w:jc w:val="both"/>
      <w:outlineLvl w:val="1"/>
    </w:pPr>
    <w:rPr>
      <w:rFonts w:cs="Arial" w:eastAsia="STZhongsong"/>
      <w:b w:val="1"/>
      <w:caps w:val="1"/>
      <w:lang w:eastAsia="zh-CN"/>
    </w:rPr>
  </w:style>
  <w:style w:type="paragraph" w:styleId="GPSL3numberedclause" w:customStyle="1">
    <w:name w:val="GPS L3 numbered clause"/>
    <w:basedOn w:val="Normal"/>
    <w:link w:val="GPSL3numberedclauseChar"/>
    <w:qFormat w:val="1"/>
    <w:pPr>
      <w:numPr>
        <w:ilvl w:val="2"/>
        <w:numId w:val="1"/>
      </w:numPr>
      <w:adjustRightInd w:val="0"/>
      <w:spacing w:after="120" w:before="120" w:line="240" w:lineRule="auto"/>
      <w:jc w:val="both"/>
    </w:pPr>
    <w:rPr>
      <w:rFonts w:cs="Arial" w:eastAsia="Times New Roman"/>
      <w:lang w:eastAsia="zh-CN"/>
    </w:rPr>
  </w:style>
  <w:style w:type="paragraph" w:styleId="GPSL4numberedclause" w:customStyle="1">
    <w:name w:val="GPS L4 numbered clause"/>
    <w:basedOn w:val="GPSL3numberedclause"/>
    <w:link w:val="GPSL4numberedclauseChar"/>
    <w:qFormat w:val="1"/>
    <w:pPr>
      <w:numPr>
        <w:ilvl w:val="3"/>
      </w:numPr>
      <w:ind w:left="2592" w:hanging="936"/>
    </w:pPr>
  </w:style>
  <w:style w:type="paragraph" w:styleId="GPSL5numberedclause" w:customStyle="1">
    <w:name w:val="GPS L5 numbered clause"/>
    <w:basedOn w:val="GPSL4numberedclause"/>
    <w:link w:val="GPSL5numberedclauseChar"/>
    <w:qFormat w:val="1"/>
    <w:pPr>
      <w:numPr>
        <w:ilvl w:val="4"/>
      </w:numPr>
    </w:pPr>
  </w:style>
  <w:style w:type="paragraph" w:styleId="GPSL2NumberedBoldHeading" w:customStyle="1">
    <w:name w:val="GPS L2 Numbered Bold Heading"/>
    <w:basedOn w:val="Normal"/>
    <w:qFormat w:val="1"/>
    <w:pPr>
      <w:numPr>
        <w:ilvl w:val="1"/>
        <w:numId w:val="1"/>
      </w:numPr>
      <w:adjustRightInd w:val="0"/>
      <w:spacing w:after="120" w:before="120" w:line="240" w:lineRule="auto"/>
      <w:ind w:left="936" w:hanging="576"/>
      <w:jc w:val="both"/>
    </w:pPr>
    <w:rPr>
      <w:rFonts w:cs="Arial" w:eastAsia="Times New Roman"/>
      <w:lang w:eastAsia="zh-CN"/>
    </w:rPr>
  </w:style>
  <w:style w:type="paragraph" w:styleId="GPSL6numbered" w:customStyle="1">
    <w:name w:val="GPS L6 numbered"/>
    <w:basedOn w:val="GPSL5numberedclause"/>
    <w:uiPriority w:val="99"/>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paragraph" w:styleId="GPSL2numberedclause" w:customStyle="1">
    <w:name w:val="GPS L2 numbered clause"/>
    <w:basedOn w:val="Normal"/>
    <w:link w:val="GPSL2numberedclauseChar1"/>
    <w:qFormat w:val="1"/>
    <w:pPr>
      <w:tabs>
        <w:tab w:val="left" w:pos="1134"/>
      </w:tabs>
      <w:adjustRightInd w:val="0"/>
      <w:spacing w:after="120" w:before="120" w:line="240" w:lineRule="auto"/>
      <w:ind w:left="1134" w:hanging="567"/>
      <w:jc w:val="both"/>
    </w:pPr>
    <w:rPr>
      <w:rFonts w:cs="Arial" w:eastAsia="Times New Roman"/>
      <w:lang w:eastAsia="zh-CN"/>
    </w:rPr>
  </w:style>
  <w:style w:type="character" w:styleId="GPSL2numberedclauseChar1" w:customStyle="1">
    <w:name w:val="GPS L2 numbered clause Char1"/>
    <w:link w:val="GPSL2numberedclause"/>
    <w:rPr>
      <w:rFonts w:ascii="Calibri" w:cs="Arial" w:eastAsia="Times New Roman" w:hAnsi="Calibri"/>
      <w:lang w:eastAsia="zh-CN"/>
    </w:rPr>
  </w:style>
  <w:style w:type="character" w:styleId="GPSL4numberedclauseChar" w:customStyle="1">
    <w:name w:val="GPS L4 numbered clause Char"/>
    <w:link w:val="GPSL4numberedclause"/>
    <w:rPr>
      <w:rFonts w:ascii="Calibri" w:cs="Arial" w:eastAsia="Times New Roman" w:hAnsi="Calibri"/>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rFonts w:ascii="Calibri" w:cs="Times New Roman" w:eastAsia="Calibri" w:hAnsi="Calibri"/>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rFonts w:ascii="Calibri" w:cs="Times New Roman" w:eastAsia="Calibri" w:hAnsi="Calibri"/>
      <w:b w:val="1"/>
      <w:bCs w:val="1"/>
      <w:sz w:val="20"/>
      <w:szCs w:val="20"/>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eastAsia="Calibri" w:hAnsi="Tahoma"/>
      <w:sz w:val="16"/>
      <w:szCs w:val="16"/>
    </w:rPr>
  </w:style>
  <w:style w:type="paragraph" w:styleId="GPSmacrorestart" w:customStyle="1">
    <w:name w:val="GPS macro restart"/>
    <w:basedOn w:val="Normal"/>
    <w:qFormat w:val="1"/>
    <w:pPr>
      <w:overflowPunct w:val="0"/>
      <w:autoSpaceDE w:val="0"/>
      <w:autoSpaceDN w:val="0"/>
      <w:adjustRightInd w:val="0"/>
      <w:spacing w:after="0" w:line="240" w:lineRule="auto"/>
      <w:jc w:val="both"/>
      <w:textAlignment w:val="baseline"/>
    </w:pPr>
    <w:rPr>
      <w:rFonts w:ascii="Arial" w:cs="Arial" w:eastAsia="Times New Roman" w:hAnsi="Arial"/>
      <w:color w:val="ffffff"/>
      <w:sz w:val="16"/>
      <w:szCs w:val="16"/>
    </w:rPr>
  </w:style>
  <w:style w:type="character" w:styleId="GPSL1CLAUSEHEADINGChar" w:customStyle="1">
    <w:name w:val="GPS L1 CLAUSE HEADING Char"/>
    <w:link w:val="GPSL1CLAUSEHEADING"/>
    <w:rPr>
      <w:rFonts w:ascii="Calibri" w:cs="Arial" w:eastAsia="STZhongsong" w:hAnsi="Calibri"/>
      <w:b w:val="1"/>
      <w:caps w:val="1"/>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paragraph" w:styleId="GPsDefinition" w:customStyle="1">
    <w:name w:val="GPs Definition"/>
    <w:basedOn w:val="Normal"/>
    <w:qFormat w:val="1"/>
    <w:pPr>
      <w:numPr>
        <w:numId w:val="2"/>
      </w:numPr>
      <w:tabs>
        <w:tab w:val="left" w:pos="-9"/>
      </w:tabs>
      <w:overflowPunct w:val="0"/>
      <w:autoSpaceDE w:val="0"/>
      <w:autoSpaceDN w:val="0"/>
      <w:adjustRightInd w:val="0"/>
      <w:spacing w:after="120" w:line="240" w:lineRule="auto"/>
      <w:jc w:val="both"/>
      <w:textAlignment w:val="baseline"/>
    </w:pPr>
    <w:rPr>
      <w:rFonts w:ascii="Arial" w:cs="Arial" w:eastAsia="Times New Roman" w:hAnsi="Arial"/>
    </w:rPr>
  </w:style>
  <w:style w:type="paragraph" w:styleId="GPSDefinitionL2" w:customStyle="1">
    <w:name w:val="GPS Definition L2"/>
    <w:basedOn w:val="GPsDefinition"/>
    <w:qFormat w:val="1"/>
    <w:pPr>
      <w:numPr>
        <w:ilvl w:val="1"/>
      </w:numPr>
      <w:tabs>
        <w:tab w:val="clear" w:pos="-9"/>
        <w:tab w:val="left" w:pos="144"/>
      </w:tabs>
      <w:ind w:hanging="545"/>
    </w:pPr>
  </w:style>
  <w:style w:type="paragraph" w:styleId="GPSDefinitionL3" w:customStyle="1">
    <w:name w:val="GPS Definition L3"/>
    <w:basedOn w:val="GPSDefinitionL2"/>
    <w:qFormat w:val="1"/>
    <w:pPr>
      <w:numPr>
        <w:ilvl w:val="2"/>
      </w:numPr>
    </w:pPr>
  </w:style>
  <w:style w:type="paragraph" w:styleId="GPSDefinitionL4" w:customStyle="1">
    <w:name w:val="GPS Definition L4"/>
    <w:basedOn w:val="GPSDefinitionL3"/>
    <w:qFormat w:val="1"/>
    <w:pPr>
      <w:numPr>
        <w:ilvl w:val="3"/>
      </w:numPr>
    </w:pPr>
  </w:style>
  <w:style w:type="paragraph" w:styleId="GPSSchAnnexname" w:customStyle="1">
    <w:name w:val="GPS Sch Annex name"/>
    <w:basedOn w:val="GPSSchTitleandNumber"/>
    <w:link w:val="GPSSchAnnexnameChar"/>
    <w:qFormat w:val="1"/>
    <w:pPr>
      <w:outlineLvl w:val="1"/>
    </w:pPr>
    <w:rPr>
      <w:rFonts w:ascii="Calibri" w:hAnsi="Calibri"/>
      <w:sz w:val="20"/>
    </w:rPr>
  </w:style>
  <w:style w:type="paragraph" w:styleId="GPSL1SCHEDULEHeading" w:customStyle="1">
    <w:name w:val="GPS L1 SCHEDULE Heading"/>
    <w:basedOn w:val="GPSL1CLAUSEHEADING"/>
    <w:link w:val="GPSL1SCHEDULEHeadingChar"/>
    <w:qFormat w:val="1"/>
    <w:pPr>
      <w:numPr>
        <w:numId w:val="0"/>
      </w:numPr>
      <w:tabs>
        <w:tab w:val="clear" w:pos="142"/>
        <w:tab w:val="left" w:pos="0"/>
      </w:tabs>
      <w:ind w:left="360" w:hanging="360"/>
      <w:outlineLvl w:val="9"/>
    </w:pPr>
  </w:style>
  <w:style w:type="character" w:styleId="GPSSchAnnexnameChar" w:customStyle="1">
    <w:name w:val="GPS Sch Annex name Char"/>
    <w:link w:val="GPSSchAnnexname"/>
    <w:rPr>
      <w:rFonts w:ascii="Calibri" w:cs="Times New Roman" w:eastAsia="STZhongsong" w:hAnsi="Calibri"/>
      <w:b w:val="1"/>
      <w:caps w:val="1"/>
      <w:sz w:val="20"/>
      <w:lang w:eastAsia="zh-CN"/>
    </w:rPr>
  </w:style>
  <w:style w:type="paragraph" w:styleId="GPSSchPart" w:customStyle="1">
    <w:name w:val="GPS Sch Part"/>
    <w:basedOn w:val="GPSSchAnnexname"/>
    <w:link w:val="GPSSchPartChar"/>
    <w:qFormat w:val="1"/>
    <w:pPr>
      <w:outlineLvl w:val="9"/>
    </w:pPr>
  </w:style>
  <w:style w:type="character" w:styleId="GPSL1SCHEDULEHeadingChar" w:customStyle="1">
    <w:name w:val="GPS L1 SCHEDULE Heading Char"/>
    <w:link w:val="GPSL1SCHEDULEHeading"/>
    <w:rPr>
      <w:rFonts w:ascii="Calibri" w:cs="Arial" w:eastAsia="STZhongsong" w:hAnsi="Calibri"/>
      <w:b w:val="1"/>
      <w:caps w:val="1"/>
      <w:lang w:eastAsia="zh-CN"/>
    </w:rPr>
  </w:style>
  <w:style w:type="character" w:styleId="GPSSchPartChar" w:customStyle="1">
    <w:name w:val="GPS Sch Part Char"/>
    <w:link w:val="GPSSchPart"/>
    <w:rPr>
      <w:rFonts w:ascii="Calibri" w:cs="Times New Roman" w:eastAsia="STZhongsong" w:hAnsi="Calibri"/>
      <w:b w:val="1"/>
      <w:caps w:val="1"/>
      <w:sz w:val="20"/>
      <w:lang w:eastAsia="zh-CN"/>
    </w:rPr>
  </w:style>
  <w:style w:type="paragraph" w:styleId="BodyTextIndent">
    <w:name w:val="Body Text Indent"/>
    <w:basedOn w:val="Normal"/>
    <w:link w:val="BodyTextIndentChar"/>
    <w:pPr>
      <w:numPr>
        <w:numId w:val="5"/>
      </w:numPr>
      <w:adjustRightInd w:val="0"/>
      <w:spacing w:after="240" w:line="240" w:lineRule="auto"/>
      <w:jc w:val="both"/>
    </w:pPr>
    <w:rPr>
      <w:rFonts w:eastAsia="Times New Roman"/>
      <w:lang w:eastAsia="zh-CN"/>
    </w:rPr>
  </w:style>
  <w:style w:type="character" w:styleId="BodyTextIndentChar" w:customStyle="1">
    <w:name w:val="Body Text Indent Char"/>
    <w:basedOn w:val="DefaultParagraphFont"/>
    <w:link w:val="BodyTextIndent"/>
    <w:rPr>
      <w:rFonts w:ascii="Calibri" w:cs="Times New Roman"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paragraph" w:styleId="GPSL2Indent" w:customStyle="1">
    <w:name w:val="GPS L2 Indent"/>
    <w:basedOn w:val="Normal"/>
    <w:link w:val="GPSL2IndentChar"/>
    <w:qFormat w:val="1"/>
    <w:pPr>
      <w:tabs>
        <w:tab w:val="left" w:pos="3402"/>
      </w:tabs>
      <w:overflowPunct w:val="0"/>
      <w:autoSpaceDE w:val="0"/>
      <w:autoSpaceDN w:val="0"/>
      <w:adjustRightInd w:val="0"/>
      <w:spacing w:after="220" w:line="240" w:lineRule="auto"/>
      <w:ind w:left="1134"/>
      <w:jc w:val="both"/>
      <w:textAlignment w:val="baseline"/>
    </w:pPr>
    <w:rPr>
      <w:rFonts w:cs="Arial" w:eastAsia="Times New Roman"/>
      <w:szCs w:val="24"/>
    </w:rPr>
  </w:style>
  <w:style w:type="character" w:styleId="GPSL2IndentChar" w:customStyle="1">
    <w:name w:val="GPS L2 Indent Char"/>
    <w:link w:val="GPSL2Indent"/>
    <w:rPr>
      <w:rFonts w:ascii="Calibri" w:cs="Arial" w:eastAsia="Times New Roman" w:hAnsi="Calibri"/>
      <w:szCs w:val="24"/>
    </w:rPr>
  </w:style>
  <w:style w:type="paragraph" w:styleId="GPSDefinitionTerm" w:customStyle="1">
    <w:name w:val="GPS Definition Term"/>
    <w:basedOn w:val="Normal"/>
    <w:qFormat w:val="1"/>
    <w:pPr>
      <w:overflowPunct w:val="0"/>
      <w:autoSpaceDE w:val="0"/>
      <w:autoSpaceDN w:val="0"/>
      <w:adjustRightInd w:val="0"/>
      <w:spacing w:after="120" w:line="240" w:lineRule="auto"/>
      <w:ind w:left="-108"/>
      <w:textAlignment w:val="baseline"/>
    </w:pPr>
    <w:rPr>
      <w:rFonts w:ascii="Arial" w:cs="Arial" w:eastAsia="Times New Roman" w:hAnsi="Arial"/>
      <w:b w:val="1"/>
    </w:rPr>
  </w:style>
  <w:style w:type="table" w:styleId="TableGrid">
    <w:name w:val="Table Grid"/>
    <w:basedOn w:val="TableNormal"/>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customStyle="1">
    <w:name w:val="Footnote Text Char"/>
    <w:basedOn w:val="DefaultParagraphFont"/>
    <w:link w:val="FootnoteText"/>
    <w:uiPriority w:val="99"/>
    <w:semiHidden w:val="1"/>
    <w:rPr>
      <w:rFonts w:ascii="Calibri" w:cs="Times New Roman" w:eastAsia="Calibri" w:hAnsi="Calibri"/>
      <w:sz w:val="20"/>
      <w:szCs w:val="20"/>
    </w:rPr>
  </w:style>
  <w:style w:type="character" w:styleId="FootnoteReference">
    <w:name w:val="footnote reference"/>
    <w:basedOn w:val="DefaultParagraphFont"/>
    <w:unhideWhenUsed w:val="1"/>
    <w:rPr>
      <w:vertAlign w:val="superscript"/>
    </w:rPr>
  </w:style>
  <w:style w:type="character" w:styleId="Heading1Char" w:customStyle="1">
    <w:name w:val="Heading 1 Char"/>
    <w:basedOn w:val="DefaultParagraphFont"/>
    <w:link w:val="Heading1"/>
    <w:uiPriority w:val="9"/>
    <w:rPr>
      <w:rFonts w:asciiTheme="majorHAnsi" w:cstheme="majorBidi" w:eastAsiaTheme="majorEastAsia" w:hAnsiTheme="majorHAnsi"/>
      <w:b w:val="1"/>
      <w:bCs w:val="1"/>
      <w:color w:val="365f91" w:themeColor="accent1" w:themeShade="0000BF"/>
      <w:sz w:val="28"/>
      <w:szCs w:val="28"/>
    </w:rPr>
  </w:style>
  <w:style w:type="character" w:styleId="Heading2Char" w:customStyle="1">
    <w:name w:val="Heading 2 Char"/>
    <w:basedOn w:val="DefaultParagraphFont"/>
    <w:link w:val="Heading2"/>
    <w:uiPriority w:val="9"/>
    <w:rPr>
      <w:rFonts w:asciiTheme="majorHAnsi" w:cstheme="majorBidi" w:eastAsiaTheme="majorEastAsia" w:hAnsiTheme="majorHAnsi"/>
      <w:b w:val="1"/>
      <w:bCs w:val="1"/>
      <w:color w:val="4f81bd" w:themeColor="accent1"/>
      <w:sz w:val="26"/>
      <w:szCs w:val="26"/>
    </w:rPr>
  </w:style>
  <w:style w:type="paragraph" w:styleId="DefinitionNumbering1" w:customStyle="1">
    <w:name w:val="Definition Numbering 1"/>
    <w:basedOn w:val="Normal"/>
    <w:pPr>
      <w:adjustRightInd w:val="0"/>
      <w:spacing w:after="240" w:line="240" w:lineRule="auto"/>
      <w:jc w:val="both"/>
      <w:outlineLvl w:val="0"/>
    </w:pPr>
    <w:rPr>
      <w:rFonts w:ascii="Times New Roman" w:eastAsia="STZhongsong" w:hAnsi="Times New Roman"/>
      <w:szCs w:val="20"/>
      <w:lang w:eastAsia="zh-CN"/>
    </w:rPr>
  </w:style>
  <w:style w:type="paragraph" w:styleId="Revision">
    <w:name w:val="Revision"/>
    <w:hidden w:val="1"/>
    <w:uiPriority w:val="99"/>
    <w:semiHidden w:val="1"/>
    <w:rsid w:val="00CB349E"/>
    <w:pPr>
      <w:spacing w:after="0" w:line="240" w:lineRule="auto"/>
    </w:pPr>
    <w:rPr>
      <w:rFonts w:ascii="Calibri" w:cs="Times New Roman" w:eastAsia="Calibri" w:hAnsi="Calibri"/>
    </w:rPr>
  </w:style>
  <w:style w:type="character" w:styleId="Hyperlink">
    <w:name w:val="Hyperlink"/>
    <w:uiPriority w:val="99"/>
    <w:rsid w:val="0079190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gov.uk/government/publications/the-sourcing-and-consultancy-play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oIHyGAC8xIgFKY6wb2bDwOaTww==">AMUW2mXGIEgmvQYU7IHxAdzpkgo3wxMyUVWZa/4zuAZkRo6Hg58fD4KDllYIZ2WZdI6xyEVjWELuVhhoxsVeOBs1Uq4dLH75V36Kwfe1CcuDskG8TO8rresFBb2r3Nh5Y00hqqCGUnhy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2022-02-10T23:15:00Z</dcterms:created>
  <dc:creator>Peter Hanlon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