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2">
      <w:pPr>
        <w:pStyle w:val="Heading1"/>
        <w:numPr>
          <w:ilvl w:val="0"/>
          <w:numId w:val="1"/>
        </w:numPr>
        <w:tabs>
          <w:tab w:val="left" w:pos="1559"/>
          <w:tab w:val="left" w:pos="2268"/>
          <w:tab w:val="left" w:pos="2977"/>
          <w:tab w:val="left" w:pos="3686"/>
          <w:tab w:val="left" w:pos="4394"/>
          <w:tab w:val="right" w:pos="8789"/>
        </w:tabs>
        <w:spacing w:after="120" w:before="120" w:line="240" w:lineRule="auto"/>
        <w:ind w:left="641" w:hanging="35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Definitions</w:t>
      </w:r>
    </w:p>
    <w:p w:rsidR="00000000" w:rsidDel="00000000" w:rsidP="00000000" w:rsidRDefault="00000000" w:rsidRPr="00000000" w14:paraId="00000003">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9"/>
        <w:gridCol w:w="6170"/>
        <w:tblGridChange w:id="0">
          <w:tblGrid>
            <w:gridCol w:w="2739"/>
            <w:gridCol w:w="6170"/>
          </w:tblGrid>
        </w:tblGridChange>
      </w:tblGrid>
      <w:tr>
        <w:trPr>
          <w:cantSplit w:val="0"/>
          <w:tblHeader w:val="0"/>
        </w:trPr>
        <w:tc>
          <w:tcPr>
            <w:shd w:fill="auto" w:val="clear"/>
          </w:tcPr>
          <w:p w:rsidR="00000000" w:rsidDel="00000000" w:rsidP="00000000" w:rsidRDefault="00000000" w:rsidRPr="00000000" w14:paraId="00000004">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5">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rPr>
          <w:cantSplit w:val="0"/>
          <w:tblHeader w:val="0"/>
        </w:trP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7">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8">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9">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Management</w:t>
      </w:r>
    </w:p>
    <w:p w:rsidR="00000000" w:rsidDel="00000000" w:rsidP="00000000" w:rsidRDefault="00000000" w:rsidRPr="00000000" w14:paraId="0000000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D">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ROLE OF THE SUPPLIER CONTRACT MANAGER</w:t>
      </w:r>
    </w:p>
    <w:p w:rsidR="00000000" w:rsidDel="00000000" w:rsidP="00000000" w:rsidRDefault="00000000" w:rsidRPr="00000000" w14:paraId="0000000E">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Supplier's Contract Manager's shall be:</w:t>
      </w:r>
    </w:p>
    <w:p w:rsidR="00000000" w:rsidDel="00000000" w:rsidP="00000000" w:rsidRDefault="00000000" w:rsidRPr="00000000" w14:paraId="0000000F">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0">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Role of the Operational Board</w:t>
      </w:r>
    </w:p>
    <w:p w:rsidR="00000000" w:rsidDel="00000000" w:rsidP="00000000" w:rsidRDefault="00000000" w:rsidRPr="00000000" w14:paraId="00000017">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8">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C">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Rule="auto"/>
        <w:ind w:left="360" w:hanging="360"/>
        <w:jc w:val="left"/>
        <w:rPr>
          <w:b w:val="1"/>
          <w:color w:val="000000"/>
          <w:sz w:val="24"/>
          <w:szCs w:val="24"/>
        </w:rPr>
      </w:pPr>
      <w:r w:rsidDel="00000000" w:rsidR="00000000" w:rsidRPr="00000000">
        <w:rPr>
          <w:b w:val="1"/>
          <w:color w:val="000000"/>
          <w:sz w:val="24"/>
          <w:szCs w:val="24"/>
          <w:rtl w:val="0"/>
        </w:rPr>
        <w:t xml:space="preserve">CONTRACT RISK MANAGEMENT</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Both Parties shall pro-actively manage risks attributed to them under the terms of this Call-Off Contract.</w:t>
      </w:r>
    </w:p>
    <w:p w:rsidR="00000000" w:rsidDel="00000000" w:rsidP="00000000" w:rsidRDefault="00000000" w:rsidRPr="00000000" w14:paraId="0000001E">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color w:val="000000"/>
          <w:sz w:val="24"/>
          <w:szCs w:val="24"/>
        </w:rPr>
      </w:pPr>
      <w:r w:rsidDel="00000000" w:rsidR="00000000" w:rsidRPr="00000000">
        <w:rPr>
          <w:color w:val="000000"/>
          <w:sz w:val="24"/>
          <w:szCs w:val="24"/>
          <w:rtl w:val="0"/>
        </w:rPr>
        <w:t xml:space="preserve">The Supplier shall develop, operate, maintain and amend, as agreed with the Buyer, processes for:</w:t>
      </w:r>
    </w:p>
    <w:p w:rsidR="00000000" w:rsidDel="00000000" w:rsidP="00000000" w:rsidRDefault="00000000" w:rsidRPr="00000000" w14:paraId="0000001F">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tabs>
          <w:tab w:val="left" w:pos="1985"/>
          <w:tab w:val="left" w:pos="1985"/>
          <w:tab w:val="left" w:pos="2127"/>
        </w:tabs>
        <w:spacing w:after="120" w:before="120" w:lineRule="auto"/>
        <w:ind w:left="1656" w:hanging="720"/>
        <w:jc w:val="left"/>
        <w:rPr>
          <w:color w:val="000000"/>
          <w:sz w:val="24"/>
          <w:szCs w:val="24"/>
        </w:rPr>
      </w:pPr>
      <w:r w:rsidDel="00000000" w:rsidR="00000000" w:rsidRPr="00000000">
        <w:rPr>
          <w:sz w:val="24"/>
          <w:szCs w:val="24"/>
          <w:rtl w:val="0"/>
        </w:rPr>
        <w:tab/>
      </w:r>
      <w:r w:rsidDel="00000000" w:rsidR="00000000" w:rsidRPr="00000000">
        <w:rPr>
          <w:color w:val="000000"/>
          <w:sz w:val="24"/>
          <w:szCs w:val="24"/>
          <w:rtl w:val="0"/>
        </w:rPr>
        <w:t xml:space="preserve">the identification and management of issues; and</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pos="1985"/>
          <w:tab w:val="left" w:pos="1980"/>
        </w:tabs>
        <w:spacing w:after="120" w:before="120" w:lineRule="auto"/>
        <w:ind w:left="1980" w:hanging="1044"/>
        <w:jc w:val="left"/>
        <w:rPr>
          <w:color w:val="000000"/>
          <w:sz w:val="24"/>
          <w:szCs w:val="24"/>
        </w:rPr>
      </w:pPr>
      <w:r w:rsidDel="00000000" w:rsidR="00000000" w:rsidRPr="00000000">
        <w:rPr>
          <w:color w:val="000000"/>
          <w:sz w:val="24"/>
          <w:szCs w:val="24"/>
          <w:rtl w:val="0"/>
        </w:rPr>
        <w:t xml:space="preserve">monitoring and controlling project plans.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tabs>
          <w:tab w:val="left" w:pos="936"/>
        </w:tabs>
        <w:spacing w:after="120" w:before="120" w:lineRule="auto"/>
        <w:ind w:left="936" w:hanging="576"/>
        <w:jc w:val="left"/>
        <w:rPr>
          <w:b w:val="1"/>
          <w:color w:val="000000"/>
          <w:sz w:val="24"/>
          <w:szCs w:val="24"/>
        </w:rPr>
      </w:pPr>
      <w:r w:rsidDel="00000000" w:rsidR="00000000" w:rsidRPr="00000000">
        <w:rPr>
          <w:color w:val="000000"/>
          <w:sz w:val="24"/>
          <w:szCs w:val="24"/>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tabs>
          <w:tab w:val="left" w:pos="936"/>
        </w:tabs>
        <w:spacing w:after="100" w:before="100" w:lineRule="auto"/>
        <w:ind w:left="936" w:hanging="576"/>
        <w:jc w:val="left"/>
        <w:rPr>
          <w:color w:val="000000"/>
          <w:sz w:val="24"/>
          <w:szCs w:val="24"/>
        </w:rPr>
      </w:pPr>
      <w:r w:rsidDel="00000000" w:rsidR="00000000" w:rsidRPr="00000000">
        <w:rPr>
          <w:color w:val="000000"/>
          <w:sz w:val="24"/>
          <w:szCs w:val="24"/>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4">
      <w:pPr>
        <w:spacing w:after="200" w:line="276" w:lineRule="auto"/>
        <w:jc w:val="left"/>
        <w:rPr>
          <w:b w:val="1"/>
          <w:sz w:val="36"/>
          <w:szCs w:val="36"/>
        </w:rPr>
      </w:pPr>
      <w:bookmarkStart w:colFirst="0" w:colLast="0" w:name="_heading=h.1fob9te" w:id="1"/>
      <w:bookmarkEnd w:id="1"/>
      <w:r w:rsidDel="00000000" w:rsidR="00000000" w:rsidRPr="00000000">
        <w:rPr>
          <w:b w:val="1"/>
          <w:sz w:val="36"/>
          <w:szCs w:val="36"/>
          <w:rtl w:val="0"/>
        </w:rPr>
        <w:t xml:space="preserve">Annex A: Contract Boards</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60"/>
        </w:tabs>
        <w:spacing w:after="240" w:lineRule="auto"/>
        <w:jc w:val="left"/>
        <w:rPr>
          <w:color w:val="000000"/>
          <w:sz w:val="24"/>
          <w:szCs w:val="24"/>
        </w:rPr>
      </w:pPr>
      <w:r w:rsidDel="00000000" w:rsidR="00000000" w:rsidRPr="00000000">
        <w:rPr>
          <w:color w:val="000000"/>
          <w:sz w:val="24"/>
          <w:szCs w:val="24"/>
          <w:rtl w:val="0"/>
        </w:rPr>
        <w:t xml:space="preserve">The Parties agree to operate the following boards at the locations and at the frequencies set out below:</w:t>
      </w:r>
    </w:p>
    <w:p w:rsidR="00000000" w:rsidDel="00000000" w:rsidP="00000000" w:rsidRDefault="00000000" w:rsidRPr="00000000" w14:paraId="00000026">
      <w:pPr>
        <w:spacing w:after="200" w:line="276" w:lineRule="auto"/>
        <w:ind w:left="360" w:firstLine="0"/>
        <w:jc w:val="left"/>
        <w:rPr>
          <w:sz w:val="24"/>
          <w:szCs w:val="24"/>
        </w:r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2E">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tabs>
        <w:tab w:val="center" w:pos="4513"/>
        <w:tab w:val="right"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13"/>
        <w:tab w:val="right" w:pos="9026"/>
      </w:tabs>
      <w:rPr/>
    </w:pPr>
    <w:r w:rsidDel="00000000" w:rsidR="00000000" w:rsidRPr="00000000">
      <w:rPr>
        <w:rtl w:val="0"/>
      </w:rPr>
      <w:t xml:space="preserve">Framework Ref: RM6244</w:t>
    </w:r>
  </w:p>
  <w:p w:rsidR="00000000" w:rsidDel="00000000" w:rsidP="00000000" w:rsidRDefault="00000000" w:rsidRPr="00000000" w14:paraId="00000031">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tabs>
        <w:tab w:val="center" w:pos="4513"/>
        <w:tab w:val="right" w:pos="9026"/>
      </w:tabs>
      <w:rPr/>
    </w:pPr>
    <w:bookmarkStart w:colFirst="0" w:colLast="0" w:name="_heading=h.tyjcwt" w:id="2"/>
    <w:bookmarkEnd w:id="2"/>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b w:val="1"/>
        <w:color w:val="000000"/>
        <w:rtl w:val="0"/>
      </w:rPr>
      <w:t xml:space="preserve">Call-Off Schedule 15 (Call-Off Contract Management)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color w:val="000000"/>
        <w:rtl w:val="0"/>
      </w:rPr>
      <w:t xml:space="preserve">Call-Off Ref:</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after="120" w:lineRule="auto"/>
      <w:jc w:val="left"/>
      <w:rPr>
        <w:rFonts w:ascii="Calibri" w:cs="Calibri" w:eastAsia="Calibri" w:hAnsi="Calibri"/>
        <w:color w:val="000000"/>
      </w:rPr>
    </w:pPr>
    <w:r w:rsidDel="00000000" w:rsidR="00000000" w:rsidRPr="00000000">
      <w:rPr>
        <w:color w:val="000000"/>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44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2160" w:hanging="72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2880" w:hanging="72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p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uiPriority w:val="9"/>
    <w:qFormat w:val="1"/>
    <w:pPr>
      <w:keepNext w:val="1"/>
      <w:numPr>
        <w:numId w:val="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uiPriority w:val="9"/>
    <w:unhideWhenUsed w:val="1"/>
    <w:qFormat w:val="1"/>
    <w:pPr>
      <w:numPr>
        <w:ilvl w:val="1"/>
        <w:numId w:val="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uiPriority w:val="9"/>
    <w:unhideWhenUsed w:val="1"/>
    <w:qFormat w:val="1"/>
    <w:pPr>
      <w:numPr>
        <w:ilvl w:val="2"/>
        <w:numId w:val="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val="1"/>
    <w:unhideWhenUsed w:val="1"/>
    <w:qFormat w:val="1"/>
    <w:pPr>
      <w:numPr>
        <w:ilvl w:val="3"/>
        <w:numId w:val="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uiPriority w:val="9"/>
    <w:semiHidden w:val="1"/>
    <w:unhideWhenUsed w:val="1"/>
    <w:qFormat w:val="1"/>
    <w:pPr>
      <w:numPr>
        <w:ilvl w:val="4"/>
        <w:numId w:val="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uiPriority w:val="9"/>
    <w:semiHidden w:val="1"/>
    <w:unhideWhenUsed w:val="1"/>
    <w:qFormat w:val="1"/>
    <w:pPr>
      <w:numPr>
        <w:ilvl w:val="5"/>
        <w:numId w:val="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tabs>
        <w:tab w:val="num" w:pos="720"/>
      </w:tabs>
      <w:ind w:left="720" w:hanging="720"/>
      <w:outlineLvl w:val="0"/>
    </w:pPr>
  </w:style>
  <w:style w:type="paragraph" w:styleId="Bullet2" w:customStyle="1">
    <w:name w:val="Bullet 2"/>
    <w:basedOn w:val="Body"/>
    <w:qFormat w:val="1"/>
    <w:pPr>
      <w:tabs>
        <w:tab w:val="num" w:pos="1440"/>
      </w:tabs>
      <w:ind w:left="1440" w:hanging="720"/>
      <w:outlineLvl w:val="1"/>
    </w:pPr>
  </w:style>
  <w:style w:type="paragraph" w:styleId="Bullet3" w:customStyle="1">
    <w:name w:val="Bullet 3"/>
    <w:basedOn w:val="Body"/>
    <w:qFormat w:val="1"/>
    <w:pPr>
      <w:tabs>
        <w:tab w:val="num" w:pos="2160"/>
      </w:tabs>
      <w:ind w:left="2160" w:hanging="720"/>
      <w:outlineLvl w:val="2"/>
    </w:pPr>
  </w:style>
  <w:style w:type="paragraph" w:styleId="Bullet4" w:customStyle="1">
    <w:name w:val="Bullet 4"/>
    <w:basedOn w:val="Body"/>
    <w:uiPriority w:val="99"/>
    <w:pPr>
      <w:tabs>
        <w:tab w:val="num" w:pos="2880"/>
      </w:tabs>
      <w:ind w:left="2880" w:hanging="720"/>
      <w:outlineLvl w:val="3"/>
    </w:pPr>
  </w:style>
  <w:style w:type="paragraph" w:styleId="Appendix" w:customStyle="1">
    <w:name w:val="Appendix #"/>
    <w:basedOn w:val="Body"/>
    <w:next w:val="SubHeading"/>
    <w:uiPriority w:val="99"/>
    <w:pPr>
      <w:keepNext w:val="1"/>
      <w:keepLines w:val="1"/>
      <w:tabs>
        <w:tab w:val="num" w:pos="1440"/>
      </w:tabs>
      <w:ind w:left="1440" w:hanging="720"/>
      <w:jc w:val="center"/>
    </w:pPr>
    <w:rPr>
      <w:b w:val="1"/>
      <w:bCs w:val="1"/>
    </w:rPr>
  </w:style>
  <w:style w:type="paragraph" w:styleId="MainHeading" w:customStyle="1">
    <w:name w:val="Main Heading"/>
    <w:basedOn w:val="Body"/>
    <w:uiPriority w:val="99"/>
    <w:pPr>
      <w:keepNext w:val="1"/>
      <w:keepLines w:val="1"/>
      <w:tabs>
        <w:tab w:val="num" w:pos="720"/>
      </w:tabs>
      <w:ind w:left="720" w:hanging="720"/>
      <w:jc w:val="center"/>
      <w:outlineLvl w:val="0"/>
    </w:pPr>
    <w:rPr>
      <w:b w:val="1"/>
      <w:bCs w:val="1"/>
      <w:caps w:val="1"/>
      <w:sz w:val="24"/>
      <w:szCs w:val="24"/>
    </w:rPr>
  </w:style>
  <w:style w:type="paragraph" w:styleId="Part" w:customStyle="1">
    <w:name w:val="Part #"/>
    <w:basedOn w:val="Body"/>
    <w:next w:val="SubHeading"/>
    <w:uiPriority w:val="99"/>
    <w:pPr>
      <w:keepNext w:val="1"/>
      <w:keepLines w:val="1"/>
      <w:tabs>
        <w:tab w:val="num" w:pos="2160"/>
      </w:tabs>
      <w:ind w:left="2160" w:hanging="720"/>
      <w:jc w:val="center"/>
    </w:pPr>
  </w:style>
  <w:style w:type="paragraph" w:styleId="Schedule" w:customStyle="1">
    <w:name w:val="Schedule #"/>
    <w:basedOn w:val="Body"/>
    <w:next w:val="SubHeading"/>
    <w:uiPriority w:val="99"/>
    <w:pPr>
      <w:keepNext w:val="1"/>
      <w:keepLines w:val="1"/>
      <w:tabs>
        <w:tab w:val="num" w:pos="720"/>
      </w:tabs>
      <w:ind w:left="720" w:hanging="720"/>
      <w:jc w:val="center"/>
    </w:pPr>
    <w:rPr>
      <w:b w:val="1"/>
      <w:bCs w:val="1"/>
    </w:rPr>
  </w:style>
  <w:style w:type="paragraph" w:styleId="SubHeading" w:customStyle="1">
    <w:name w:val="Sub Heading"/>
    <w:basedOn w:val="Body"/>
    <w:next w:val="Body"/>
    <w:uiPriority w:val="99"/>
    <w:pPr>
      <w:keepNext w:val="1"/>
      <w:keepLines w:val="1"/>
      <w:tabs>
        <w:tab w:val="num" w:pos="720"/>
      </w:tabs>
      <w:ind w:left="720" w:hanging="720"/>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tabs>
        <w:tab w:val="clear" w:pos="709"/>
        <w:tab w:val="num" w:pos="720"/>
      </w:tabs>
      <w:spacing w:before="200"/>
      <w:ind w:left="720" w:hanging="720"/>
    </w:pPr>
    <w:rPr>
      <w:b w:val="1"/>
      <w:caps w:val="1"/>
    </w:rPr>
  </w:style>
  <w:style w:type="paragraph" w:styleId="ScheduleHeading2" w:customStyle="1">
    <w:name w:val="Schedule Heading 2"/>
    <w:basedOn w:val="BodyText"/>
    <w:next w:val="BodyText"/>
    <w:pPr>
      <w:keepNext w:val="1"/>
      <w:tabs>
        <w:tab w:val="num" w:pos="1440"/>
      </w:tabs>
      <w:ind w:left="1440" w:hanging="720"/>
    </w:pPr>
    <w:rPr>
      <w:b w:val="1"/>
    </w:rPr>
  </w:style>
  <w:style w:type="paragraph" w:styleId="ScheduleHeading3" w:customStyle="1">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tabs>
        <w:tab w:val="clear" w:pos="709"/>
        <w:tab w:val="clear" w:pos="1559"/>
        <w:tab w:val="num" w:pos="2880"/>
      </w:tabs>
      <w:ind w:left="2880" w:hanging="720"/>
    </w:pPr>
  </w:style>
  <w:style w:type="paragraph" w:styleId="ScheduleHeading5" w:customStyle="1">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tabs>
        <w:tab w:val="clear" w:pos="709"/>
        <w:tab w:val="clear" w:pos="1559"/>
        <w:tab w:val="clear" w:pos="2268"/>
        <w:tab w:val="clear" w:pos="2977"/>
        <w:tab w:val="num" w:pos="4320"/>
      </w:tabs>
      <w:ind w:left="4320" w:hanging="720"/>
    </w:pPr>
  </w:style>
  <w:style w:type="paragraph" w:styleId="ScheduleHeading7" w:customStyle="1">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tabs>
        <w:tab w:val="num" w:pos="1440"/>
      </w:tabs>
      <w:adjustRightInd w:val="1"/>
      <w:spacing w:after="320" w:line="300" w:lineRule="auto"/>
      <w:ind w:left="1440" w:hanging="720"/>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tabs>
        <w:tab w:val="num" w:pos="2160"/>
      </w:tabs>
      <w:adjustRightInd w:val="1"/>
      <w:spacing w:after="320" w:line="300" w:lineRule="auto"/>
      <w:ind w:left="2160" w:hanging="720"/>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tabs>
        <w:tab w:val="num" w:pos="2880"/>
      </w:tabs>
      <w:adjustRightInd w:val="1"/>
      <w:spacing w:after="320" w:line="300" w:lineRule="auto"/>
      <w:ind w:left="2880" w:hanging="720"/>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tabs>
        <w:tab w:val="num" w:pos="3600"/>
      </w:tabs>
      <w:adjustRightInd w:val="1"/>
      <w:spacing w:after="320" w:line="300" w:lineRule="auto"/>
      <w:ind w:left="3600" w:hanging="720"/>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tabs>
        <w:tab w:val="num" w:pos="720"/>
      </w:tabs>
      <w:adjustRightInd w:val="1"/>
      <w:spacing w:after="320" w:line="300" w:lineRule="auto"/>
      <w:ind w:left="720" w:hanging="720"/>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tabs>
        <w:tab w:val="num" w:pos="720"/>
      </w:tabs>
      <w:spacing w:after="60" w:afterAutospacing="0" w:before="0" w:beforeAutospacing="0" w:line="220" w:lineRule="exact"/>
      <w:ind w:left="720" w:hanging="720"/>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tabs>
        <w:tab w:val="num" w:pos="720"/>
      </w:tabs>
      <w:adjustRightInd w:val="1"/>
      <w:spacing w:before="40" w:line="240" w:lineRule="atLeast"/>
      <w:ind w:left="720" w:hanging="720"/>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tabs>
        <w:tab w:val="clear" w:pos="720"/>
      </w:tabs>
      <w:ind w:left="0" w:right="284" w:firstLine="0"/>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b w:val="1"/>
      <w:bCs w:val="1"/>
      <w:sz w:val="36"/>
      <w:szCs w:val="36"/>
      <w:lang w:eastAsia="en-US"/>
    </w:rPr>
  </w:style>
  <w:style w:type="paragraph" w:styleId="ChapTitle" w:customStyle="1">
    <w:name w:val="ChapTitle"/>
    <w:pPr>
      <w:tabs>
        <w:tab w:val="left" w:pos="567"/>
      </w:tabs>
      <w:spacing w:before="240"/>
    </w:pPr>
    <w:rPr>
      <w:b w:val="1"/>
      <w:bCs w:val="1"/>
      <w:sz w:val="36"/>
      <w:szCs w:val="36"/>
      <w:lang w:eastAsia="en-US"/>
    </w:rPr>
  </w:style>
  <w:style w:type="paragraph" w:styleId="Conclusionbulletlist" w:customStyle="1">
    <w:name w:val="Conclusion bullet list"/>
    <w:basedOn w:val="bulletlist"/>
    <w:semiHidden w:val="1"/>
    <w:pPr>
      <w:tabs>
        <w:tab w:val="clear" w:pos="720"/>
        <w:tab w:val="num" w:pos="2160"/>
      </w:tabs>
      <w:ind w:left="2160"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tabs>
        <w:tab w:val="num" w:pos="720"/>
      </w:tabs>
      <w:adjustRightInd w:val="1"/>
      <w:spacing w:line="240" w:lineRule="atLeast"/>
      <w:ind w:left="720" w:hanging="720"/>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pPr>
    <w:rPr>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color w:val="000000"/>
      <w:lang w:eastAsia="ja-JP" w:val="en-US"/>
    </w:rPr>
  </w:style>
  <w:style w:type="paragraph" w:styleId="DB8Casebody" w:customStyle="1">
    <w:name w:val="DB8.Case body"/>
    <w:semiHidden w:val="1"/>
    <w:pPr>
      <w:spacing w:after="240" w:line="360" w:lineRule="auto"/>
      <w:ind w:left="1106"/>
    </w:pPr>
    <w:rPr>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pPr>
    <w:rPr>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tabs>
        <w:tab w:val="clear" w:pos="720"/>
      </w:tabs>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cs="Times New Roman" w:eastAsia="Times New Roman"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7shCsDDQcMB1rRZqEWlCTLr1lA==">AMUW2mX4Mra3ud830Oag3OhpgfSK0kEMgA6MVKvyuJpTMqDexFyG75KB8nd2ubbpo88O3VW1fSdE/Gn/dOdKfXa48uz34pYRgMCHhu3xHzZkvJj+7Iyoj2mqZm5B/YwsH0jSOl42/mG1Lm74uL1WXP9jhVB94SO2WA==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2019-05-02T14:54:00Z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