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both"/>
        <w:rPr>
          <w:rFonts w:ascii="Arial" w:cs="Arial" w:eastAsia="Arial" w:hAnsi="Arial"/>
          <w:b w:val="1"/>
          <w:sz w:val="36"/>
          <w:szCs w:val="36"/>
        </w:rPr>
      </w:pPr>
      <w:r w:rsidDel="00000000" w:rsidR="00000000" w:rsidRPr="00000000">
        <w:rPr>
          <w:rtl w:val="0"/>
        </w:rPr>
      </w:r>
    </w:p>
    <w:tbl>
      <w:tblPr>
        <w:tblStyle w:val="Table1"/>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2">
            <w:pPr>
              <w:widowControl w:val="0"/>
              <w:spacing w:after="0" w:lineRule="auto"/>
              <w:rPr>
                <w:rFonts w:ascii="Arial" w:cs="Arial" w:eastAsia="Arial" w:hAnsi="Arial"/>
                <w:b w:val="1"/>
                <w:highlight w:val="cyan"/>
              </w:rPr>
            </w:pPr>
            <w:r w:rsidDel="00000000" w:rsidR="00000000" w:rsidRPr="00000000">
              <w:rPr>
                <w:rFonts w:ascii="Arial" w:cs="Arial" w:eastAsia="Arial" w:hAnsi="Arial"/>
                <w:b w:val="1"/>
                <w:rtl w:val="0"/>
              </w:rPr>
              <w:t xml:space="preserve">PLEASE RETAIN A COPY OF THIS SCHEDULE AS THIS FORMS PART OF YOUR CALL-OFF CONTRACT</w:t>
            </w:r>
            <w:r w:rsidDel="00000000" w:rsidR="00000000" w:rsidRPr="00000000">
              <w:rPr>
                <w:rtl w:val="0"/>
              </w:rPr>
            </w:r>
          </w:p>
        </w:tc>
      </w:tr>
    </w:tbl>
    <w:p w:rsidR="00000000" w:rsidDel="00000000" w:rsidP="00000000" w:rsidRDefault="00000000" w:rsidRPr="00000000" w14:paraId="00000003">
      <w:pPr>
        <w:spacing w:after="240" w:lineRule="auto"/>
        <w:jc w:val="both"/>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4">
      <w:pPr>
        <w:keepNext w:val="1"/>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17 (MOD Terms) </w:t>
      </w:r>
    </w:p>
    <w:p w:rsidR="00000000" w:rsidDel="00000000" w:rsidP="00000000" w:rsidRDefault="00000000" w:rsidRPr="00000000" w14:paraId="00000005">
      <w:pPr>
        <w:keepNext w:val="1"/>
        <w:numPr>
          <w:ilvl w:val="0"/>
          <w:numId w:val="1"/>
        </w:numPr>
        <w:pBdr>
          <w:top w:space="0" w:sz="0" w:val="nil"/>
          <w:left w:space="0" w:sz="0" w:val="nil"/>
          <w:bottom w:space="0" w:sz="0" w:val="nil"/>
          <w:right w:space="0" w:sz="0" w:val="nil"/>
          <w:between w:space="0" w:sz="0" w:val="nil"/>
        </w:pBdr>
        <w:spacing w:after="240" w:before="120" w:lineRule="auto"/>
        <w:ind w:left="360" w:hanging="360"/>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D</w:t>
      </w:r>
      <w:r w:rsidDel="00000000" w:rsidR="00000000" w:rsidRPr="00000000">
        <w:rPr>
          <w:rFonts w:ascii="Arial Bold" w:cs="Arial Bold" w:eastAsia="Arial Bold" w:hAnsi="Arial Bold"/>
          <w:b w:val="1"/>
          <w:color w:val="000000"/>
          <w:sz w:val="24"/>
          <w:szCs w:val="24"/>
          <w:rtl w:val="0"/>
        </w:rPr>
        <w:t xml:space="preserve">efinitions</w:t>
      </w:r>
      <w:r w:rsidDel="00000000" w:rsidR="00000000" w:rsidRPr="00000000">
        <w:rPr>
          <w:rtl w:val="0"/>
        </w:rPr>
      </w:r>
    </w:p>
    <w:p w:rsidR="00000000" w:rsidDel="00000000" w:rsidP="00000000" w:rsidRDefault="00000000" w:rsidRPr="00000000" w14:paraId="00000006">
      <w:pPr>
        <w:keepNext w:val="1"/>
        <w:numPr>
          <w:ilvl w:val="1"/>
          <w:numId w:val="1"/>
        </w:numPr>
        <w:pBdr>
          <w:top w:space="0" w:sz="0" w:val="nil"/>
          <w:left w:space="0" w:sz="0" w:val="nil"/>
          <w:bottom w:space="0" w:sz="0" w:val="nil"/>
          <w:right w:space="0" w:sz="0" w:val="nil"/>
          <w:between w:space="0" w:sz="0" w:val="nil"/>
        </w:pBdr>
        <w:tabs>
          <w:tab w:val="left" w:pos="709"/>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Schedule, the following words shall have the following meanings and they shall supplement Joint Schedule 1 (Definitions):</w:t>
      </w:r>
    </w:p>
    <w:tbl>
      <w:tblPr>
        <w:tblStyle w:val="Table2"/>
        <w:tblW w:w="8018.0" w:type="dxa"/>
        <w:jc w:val="left"/>
        <w:tblInd w:w="10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22"/>
        <w:gridCol w:w="4596"/>
        <w:tblGridChange w:id="0">
          <w:tblGrid>
            <w:gridCol w:w="3422"/>
            <w:gridCol w:w="4596"/>
          </w:tblGrid>
        </w:tblGridChange>
      </w:tblGrid>
      <w:tr>
        <w:tc>
          <w:tcPr/>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 Terms and Conditions"</w:t>
            </w:r>
          </w:p>
        </w:tc>
        <w:tc>
          <w:tcPr/>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the terms and conditions listed in this Schedule;</w:t>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0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 Site"</w:t>
            </w:r>
          </w:p>
        </w:tc>
        <w:tc>
          <w:tcPr/>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shall include any of Her Majesty's Ships or Vessels and Service Stations;</w:t>
            </w:r>
          </w:p>
          <w:p w:rsidR="00000000" w:rsidDel="00000000" w:rsidP="00000000" w:rsidRDefault="00000000" w:rsidRPr="00000000" w14:paraId="0000000C">
            <w:pPr>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0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"Officer in charge"</w:t>
            </w:r>
          </w:p>
        </w:tc>
        <w:tc>
          <w:tcPr/>
          <w:p w:rsidR="00000000" w:rsidDel="00000000" w:rsidP="00000000" w:rsidRDefault="00000000" w:rsidRPr="00000000" w14:paraId="0000000E">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shall include Officers Commanding Service Stations, Ships' Masters or Senior Officers, and Officers superintending Government Establishments;</w:t>
            </w:r>
            <w:r w:rsidDel="00000000" w:rsidR="00000000" w:rsidRPr="00000000">
              <w:rPr>
                <w:rtl w:val="0"/>
              </w:rPr>
            </w:r>
          </w:p>
        </w:tc>
      </w:tr>
    </w:tbl>
    <w:p w:rsidR="00000000" w:rsidDel="00000000" w:rsidP="00000000" w:rsidRDefault="00000000" w:rsidRPr="00000000" w14:paraId="0000000F">
      <w:pPr>
        <w:keepNext w:val="1"/>
        <w:numPr>
          <w:ilvl w:val="0"/>
          <w:numId w:val="1"/>
        </w:numPr>
        <w:pBdr>
          <w:top w:space="0" w:sz="0" w:val="nil"/>
          <w:left w:space="0" w:sz="0" w:val="nil"/>
          <w:bottom w:space="0" w:sz="0" w:val="nil"/>
          <w:right w:space="0" w:sz="0" w:val="nil"/>
          <w:between w:space="0" w:sz="0" w:val="nil"/>
        </w:pBdr>
        <w:spacing w:after="240" w:before="120" w:lineRule="auto"/>
        <w:ind w:left="360"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Access to MOD sites</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tabs>
          <w:tab w:val="left" w:pos="709"/>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issue passes for those representatives of the Supplier who are approved for admission to the MOD Site and a representative shall not be admitted unless in possession of such a pass.  Passes shall remain the property of the Buyer and shall be surrendered on demand or on completion of the supply of the Deliverables.</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tabs>
          <w:tab w:val="left" w:pos="709"/>
        </w:tabs>
        <w:spacing w:after="120" w:before="120" w:lineRule="auto"/>
        <w:ind w:left="936" w:hanging="576"/>
        <w:rPr>
          <w:rFonts w:ascii="Arial" w:cs="Arial" w:eastAsia="Arial" w:hAnsi="Arial"/>
          <w:color w:val="000000"/>
          <w:sz w:val="24"/>
          <w:szCs w:val="24"/>
        </w:rPr>
      </w:pPr>
      <w:bookmarkStart w:colFirst="0" w:colLast="0" w:name="_heading=h.30j0zll" w:id="0"/>
      <w:bookmarkEnd w:id="0"/>
      <w:r w:rsidDel="00000000" w:rsidR="00000000" w:rsidRPr="00000000">
        <w:rPr>
          <w:rFonts w:ascii="Arial" w:cs="Arial" w:eastAsia="Arial" w:hAnsi="Arial"/>
          <w:color w:val="000000"/>
          <w:sz w:val="24"/>
          <w:szCs w:val="24"/>
          <w:rtl w:val="0"/>
        </w:rPr>
        <w:t xml:space="preserve">The Supplier's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tabs>
          <w:tab w:val="left" w:pos="709"/>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shall be presented to the Buyer with other evidence relating to the costs of this Contract.</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tabs>
          <w:tab w:val="left" w:pos="709"/>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tabs>
          <w:tab w:val="left" w:pos="709"/>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tabs>
          <w:tab w:val="left" w:pos="709"/>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Accidents to the Supplier's representatives which ordinarily require to be reported in accordance with Health and Safety at Work etc. Act 1974, shall be reported to the Officer in charge so that the Inspector of Factories may be informed.</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tabs>
          <w:tab w:val="left" w:pos="709"/>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tabs>
          <w:tab w:val="left" w:pos="709"/>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Buyer shall be recovered from the Supplier</w:t>
      </w:r>
    </w:p>
    <w:p w:rsidR="00000000" w:rsidDel="00000000" w:rsidP="00000000" w:rsidRDefault="00000000" w:rsidRPr="00000000" w14:paraId="00000018">
      <w:pPr>
        <w:pStyle w:val="Heading1"/>
        <w:numPr>
          <w:ilvl w:val="0"/>
          <w:numId w:val="1"/>
        </w:numPr>
        <w:ind w:left="432" w:hanging="432"/>
        <w:rPr>
          <w:rFonts w:ascii="Arial" w:cs="Arial" w:eastAsia="Arial" w:hAnsi="Arial"/>
          <w:sz w:val="24"/>
          <w:szCs w:val="24"/>
        </w:rPr>
      </w:pPr>
      <w:r w:rsidDel="00000000" w:rsidR="00000000" w:rsidRPr="00000000">
        <w:rPr>
          <w:rFonts w:ascii="Arial" w:cs="Arial" w:eastAsia="Arial" w:hAnsi="Arial"/>
          <w:sz w:val="24"/>
          <w:szCs w:val="24"/>
          <w:rtl w:val="0"/>
        </w:rPr>
        <w:t xml:space="preserve">DEFCONS and DEFFORMS</w:t>
      </w:r>
    </w:p>
    <w:p w:rsidR="00000000" w:rsidDel="00000000" w:rsidP="00000000" w:rsidRDefault="00000000" w:rsidRPr="00000000" w14:paraId="00000019">
      <w:pPr>
        <w:pStyle w:val="Heading2"/>
        <w:numPr>
          <w:ilvl w:val="1"/>
          <w:numId w:val="1"/>
        </w:numPr>
        <w:ind w:left="57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DEFCONS and DEFORMS listed in Annex 1 to this Schedule are incorporated into this Contract.  </w:t>
      </w:r>
    </w:p>
    <w:p w:rsidR="00000000" w:rsidDel="00000000" w:rsidP="00000000" w:rsidRDefault="00000000" w:rsidRPr="00000000" w14:paraId="0000001A">
      <w:pPr>
        <w:pStyle w:val="Heading2"/>
        <w:numPr>
          <w:ilvl w:val="1"/>
          <w:numId w:val="1"/>
        </w:numPr>
        <w:ind w:left="57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Where a DEFCON or DEFORM is updated or replaced the reference shall be taken as referring to the updated or replacement DEFCON or DEFORM from time to time.</w:t>
      </w:r>
    </w:p>
    <w:p w:rsidR="00000000" w:rsidDel="00000000" w:rsidP="00000000" w:rsidRDefault="00000000" w:rsidRPr="00000000" w14:paraId="0000001B">
      <w:pPr>
        <w:pStyle w:val="Heading2"/>
        <w:numPr>
          <w:ilvl w:val="1"/>
          <w:numId w:val="1"/>
        </w:numPr>
        <w:ind w:left="57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of a conflict between any DEFCONs and DEFFORMS listed in the Order Form and the other terms in a Call Off Contract, the DEFCONs and DEFFORMS shall prevail. </w:t>
      </w:r>
    </w:p>
    <w:p w:rsidR="00000000" w:rsidDel="00000000" w:rsidP="00000000" w:rsidRDefault="00000000" w:rsidRPr="00000000" w14:paraId="0000001C">
      <w:pPr>
        <w:pStyle w:val="Heading1"/>
        <w:numPr>
          <w:ilvl w:val="0"/>
          <w:numId w:val="1"/>
        </w:numPr>
        <w:ind w:left="432" w:hanging="432"/>
        <w:rPr>
          <w:rFonts w:ascii="Arial" w:cs="Arial" w:eastAsia="Arial" w:hAnsi="Arial"/>
          <w:sz w:val="24"/>
          <w:szCs w:val="24"/>
        </w:rPr>
      </w:pPr>
      <w:r w:rsidDel="00000000" w:rsidR="00000000" w:rsidRPr="00000000">
        <w:rPr>
          <w:rFonts w:ascii="Arial" w:cs="Arial" w:eastAsia="Arial" w:hAnsi="Arial"/>
          <w:sz w:val="24"/>
          <w:szCs w:val="24"/>
          <w:rtl w:val="0"/>
        </w:rPr>
        <w:t xml:space="preserve">Authorisation by the Crown for use of third party intellectual property rights</w:t>
      </w:r>
    </w:p>
    <w:p w:rsidR="00000000" w:rsidDel="00000000" w:rsidP="00000000" w:rsidRDefault="00000000" w:rsidRPr="00000000" w14:paraId="0000001D">
      <w:pPr>
        <w:pStyle w:val="Heading2"/>
        <w:numPr>
          <w:ilvl w:val="1"/>
          <w:numId w:val="1"/>
        </w:numPr>
        <w:ind w:left="57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any other provisions of the Call Off Contract and for the avoidance of doubt, award of the Call Off Contract by the Buyer and placement of any contract task under it does not constitute an authorisation by the Crown under Sections 55 and 56 of the Patents Act 1977 or Section 12 of the Registered Designs Act 1949. The Supplier acknowledges that any such authorisation by the Buyer under its statutory powers must be expressly provided in writing, with reference to the acts authorised and the specific intellectual property involved.</w:t>
      </w:r>
    </w:p>
    <w:p w:rsidR="00000000" w:rsidDel="00000000" w:rsidP="00000000" w:rsidRDefault="00000000" w:rsidRPr="00000000" w14:paraId="0000001E">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ANNEX 1 - DEFCONS &amp; DEFFORMS</w:t>
      </w:r>
    </w:p>
    <w:p w:rsidR="00000000" w:rsidDel="00000000" w:rsidP="00000000" w:rsidRDefault="00000000" w:rsidRPr="00000000" w14:paraId="00000021">
      <w:pP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color w:val="000000"/>
          <w:sz w:val="24"/>
          <w:szCs w:val="24"/>
        </w:rPr>
      </w:pPr>
      <w:bookmarkStart w:colFirst="0" w:colLast="0" w:name="_heading=h.gjdgxs" w:id="1"/>
      <w:bookmarkEnd w:id="1"/>
      <w:r w:rsidDel="00000000" w:rsidR="00000000" w:rsidRPr="00000000">
        <w:rPr>
          <w:rFonts w:ascii="Arial" w:cs="Arial" w:eastAsia="Arial" w:hAnsi="Arial"/>
          <w:color w:val="000000"/>
          <w:sz w:val="24"/>
          <w:szCs w:val="24"/>
          <w:rtl w:val="0"/>
        </w:rPr>
        <w:t xml:space="preserve">The full text of Defence Conditions (DEFCONs) and Defence Forms (DEFFORMS) are available electronically via </w:t>
      </w:r>
      <w:hyperlink r:id="rId7">
        <w:r w:rsidDel="00000000" w:rsidR="00000000" w:rsidRPr="00000000">
          <w:rPr>
            <w:rFonts w:ascii="Arial" w:cs="Arial" w:eastAsia="Arial" w:hAnsi="Arial"/>
            <w:color w:val="0000ff"/>
            <w:sz w:val="24"/>
            <w:szCs w:val="24"/>
            <w:u w:val="single"/>
            <w:rtl w:val="0"/>
          </w:rPr>
          <w:t xml:space="preserve">https://www.gov.uk/guidance/knowledge-in-defence-kid</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3">
      <w:pPr>
        <w:spacing w:after="240" w:lineRule="auto"/>
        <w:ind w:left="57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MOD DEFCONs and DEFFORMs form part of this contract:</w:t>
      </w:r>
    </w:p>
    <w:p w:rsidR="00000000" w:rsidDel="00000000" w:rsidP="00000000" w:rsidRDefault="00000000" w:rsidRPr="00000000" w14:paraId="00000024">
      <w:pPr>
        <w:spacing w:after="0" w:lineRule="auto"/>
        <w:ind w:left="851"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DEFCONs</w:t>
      </w:r>
    </w:p>
    <w:p w:rsidR="00000000" w:rsidDel="00000000" w:rsidP="00000000" w:rsidRDefault="00000000" w:rsidRPr="00000000" w14:paraId="00000025">
      <w:pPr>
        <w:spacing w:after="0" w:lineRule="auto"/>
        <w:ind w:left="720" w:firstLine="0"/>
        <w:rPr>
          <w:rFonts w:ascii="Arial" w:cs="Arial" w:eastAsia="Arial" w:hAnsi="Arial"/>
          <w:color w:val="000000"/>
          <w:sz w:val="24"/>
          <w:szCs w:val="24"/>
        </w:rPr>
      </w:pPr>
      <w:r w:rsidDel="00000000" w:rsidR="00000000" w:rsidRPr="00000000">
        <w:rPr>
          <w:rtl w:val="0"/>
        </w:rPr>
      </w:r>
    </w:p>
    <w:tbl>
      <w:tblPr>
        <w:tblStyle w:val="Table3"/>
        <w:tblW w:w="86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0"/>
        <w:gridCol w:w="2861"/>
        <w:gridCol w:w="2928"/>
        <w:tblGridChange w:id="0">
          <w:tblGrid>
            <w:gridCol w:w="2870"/>
            <w:gridCol w:w="2861"/>
            <w:gridCol w:w="2928"/>
          </w:tblGrid>
        </w:tblGridChange>
      </w:tblGrid>
      <w:tr>
        <w:tc>
          <w:tcPr/>
          <w:p w:rsidR="00000000" w:rsidDel="00000000" w:rsidP="00000000" w:rsidRDefault="00000000" w:rsidRPr="00000000" w14:paraId="00000026">
            <w:pP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DEFCON No</w:t>
            </w:r>
          </w:p>
        </w:tc>
        <w:tc>
          <w:tcPr/>
          <w:p w:rsidR="00000000" w:rsidDel="00000000" w:rsidP="00000000" w:rsidRDefault="00000000" w:rsidRPr="00000000" w14:paraId="00000027">
            <w:pPr>
              <w:spacing w:after="12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Version</w:t>
            </w:r>
            <w:r w:rsidDel="00000000" w:rsidR="00000000" w:rsidRPr="00000000">
              <w:rPr>
                <w:rtl w:val="0"/>
              </w:rPr>
            </w:r>
          </w:p>
        </w:tc>
        <w:tc>
          <w:tcPr/>
          <w:p w:rsidR="00000000" w:rsidDel="00000000" w:rsidP="00000000" w:rsidRDefault="00000000" w:rsidRPr="00000000" w14:paraId="00000028">
            <w:pPr>
              <w:spacing w:after="12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Description</w:t>
            </w:r>
            <w:r w:rsidDel="00000000" w:rsidR="00000000" w:rsidRPr="00000000">
              <w:rPr>
                <w:rtl w:val="0"/>
              </w:rPr>
            </w:r>
          </w:p>
        </w:tc>
      </w:tr>
      <w:tr>
        <w:tc>
          <w:tcPr/>
          <w:p w:rsidR="00000000" w:rsidDel="00000000" w:rsidP="00000000" w:rsidRDefault="00000000" w:rsidRPr="00000000" w14:paraId="00000029">
            <w:pPr>
              <w:spacing w:after="120"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2A">
            <w:pPr>
              <w:spacing w:after="120"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2B">
            <w:pPr>
              <w:spacing w:after="120" w:lineRule="auto"/>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2C">
      <w:pP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E">
      <w:pP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F">
      <w:pPr>
        <w:keepNext w:val="1"/>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DEFFORMs (Ministry of Defence Forms)</w:t>
      </w:r>
    </w:p>
    <w:p w:rsidR="00000000" w:rsidDel="00000000" w:rsidP="00000000" w:rsidRDefault="00000000" w:rsidRPr="00000000" w14:paraId="00000030">
      <w:pPr>
        <w:keepNext w:val="1"/>
        <w:spacing w:after="0" w:lineRule="auto"/>
        <w:rPr>
          <w:rFonts w:ascii="Arial" w:cs="Arial" w:eastAsia="Arial" w:hAnsi="Arial"/>
          <w:color w:val="000000"/>
          <w:sz w:val="24"/>
          <w:szCs w:val="24"/>
        </w:rPr>
      </w:pPr>
      <w:r w:rsidDel="00000000" w:rsidR="00000000" w:rsidRPr="00000000">
        <w:rPr>
          <w:rtl w:val="0"/>
        </w:rPr>
      </w:r>
    </w:p>
    <w:tbl>
      <w:tblPr>
        <w:tblStyle w:val="Table4"/>
        <w:tblW w:w="88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975"/>
        <w:gridCol w:w="2899"/>
        <w:tblGridChange w:id="0">
          <w:tblGrid>
            <w:gridCol w:w="2976"/>
            <w:gridCol w:w="2975"/>
            <w:gridCol w:w="2899"/>
          </w:tblGrid>
        </w:tblGridChange>
      </w:tblGrid>
      <w:tr>
        <w:tc>
          <w:tcPr/>
          <w:p w:rsidR="00000000" w:rsidDel="00000000" w:rsidP="00000000" w:rsidRDefault="00000000" w:rsidRPr="00000000" w14:paraId="00000031">
            <w:pP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DEFFORM No</w:t>
            </w:r>
          </w:p>
        </w:tc>
        <w:tc>
          <w:tcPr/>
          <w:p w:rsidR="00000000" w:rsidDel="00000000" w:rsidP="00000000" w:rsidRDefault="00000000" w:rsidRPr="00000000" w14:paraId="00000032">
            <w:pPr>
              <w:spacing w:after="12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Version</w:t>
            </w:r>
            <w:r w:rsidDel="00000000" w:rsidR="00000000" w:rsidRPr="00000000">
              <w:rPr>
                <w:rtl w:val="0"/>
              </w:rPr>
            </w:r>
          </w:p>
        </w:tc>
        <w:tc>
          <w:tcPr/>
          <w:p w:rsidR="00000000" w:rsidDel="00000000" w:rsidP="00000000" w:rsidRDefault="00000000" w:rsidRPr="00000000" w14:paraId="00000033">
            <w:pPr>
              <w:spacing w:after="12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Description</w:t>
            </w:r>
            <w:r w:rsidDel="00000000" w:rsidR="00000000" w:rsidRPr="00000000">
              <w:rPr>
                <w:rtl w:val="0"/>
              </w:rPr>
            </w:r>
          </w:p>
        </w:tc>
      </w:tr>
      <w:tr>
        <w:tc>
          <w:tcPr/>
          <w:p w:rsidR="00000000" w:rsidDel="00000000" w:rsidP="00000000" w:rsidRDefault="00000000" w:rsidRPr="00000000" w14:paraId="00000034">
            <w:pPr>
              <w:spacing w:after="120"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35">
            <w:pPr>
              <w:spacing w:after="120"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36">
            <w:pPr>
              <w:spacing w:after="120" w:lineRule="auto"/>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37">
      <w:pPr>
        <w:rPr>
          <w:rFonts w:ascii="Arial" w:cs="Arial" w:eastAsia="Arial" w:hAnsi="Arial"/>
          <w:color w:val="000000"/>
          <w:sz w:val="24"/>
          <w:szCs w:val="24"/>
        </w:rPr>
        <w:sectPr>
          <w:headerReference r:id="rId8" w:type="default"/>
          <w:footerReference r:id="rId9" w:type="default"/>
          <w:footerReference r:id="rId10"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38">
      <w:pPr>
        <w:rPr>
          <w:rFonts w:ascii="Arial" w:cs="Arial" w:eastAsia="Arial" w:hAnsi="Arial"/>
          <w:color w:val="000000"/>
          <w:sz w:val="24"/>
          <w:szCs w:val="24"/>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pos="4513"/>
        <w:tab w:val="right" w:pos="9026"/>
      </w:tabs>
      <w:spacing w:after="0" w:lineRule="auto"/>
      <w:rPr/>
    </w:pPr>
    <w:r w:rsidDel="00000000" w:rsidR="00000000" w:rsidRPr="00000000">
      <w:rPr>
        <w:rtl w:val="0"/>
      </w:rPr>
    </w:r>
  </w:p>
  <w:p w:rsidR="00000000" w:rsidDel="00000000" w:rsidP="00000000" w:rsidRDefault="00000000" w:rsidRPr="00000000" w14:paraId="0000003E">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RM6226 Debt Resolution Services</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v3.1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pos="4513"/>
        <w:tab w:val="right" w:pos="9026"/>
      </w:tabs>
      <w:spacing w:after="0" w:lineRule="auto"/>
      <w:rPr/>
    </w:pPr>
    <w:r w:rsidDel="00000000" w:rsidR="00000000" w:rsidRPr="00000000">
      <w:rPr>
        <w:rtl w:val="0"/>
      </w:rPr>
    </w:r>
  </w:p>
  <w:p w:rsidR="00000000" w:rsidDel="00000000" w:rsidP="00000000" w:rsidRDefault="00000000" w:rsidRPr="00000000" w14:paraId="00000042">
    <w:pPr>
      <w:tabs>
        <w:tab w:val="center" w:pos="4513"/>
        <w:tab w:val="right" w:pos="9026"/>
      </w:tabs>
      <w:spacing w:after="0" w:lineRule="auto"/>
      <w:rPr/>
    </w:pPr>
    <w:r w:rsidDel="00000000" w:rsidR="00000000" w:rsidRPr="00000000">
      <w:rPr>
        <w:rtl w:val="0"/>
      </w:rPr>
      <w:t xml:space="preserve">Framework Ref: RM</w:t>
      <w:tab/>
      <w:t xml:space="preserve">                                           </w:t>
    </w:r>
  </w:p>
  <w:p w:rsidR="00000000" w:rsidDel="00000000" w:rsidP="00000000" w:rsidRDefault="00000000" w:rsidRPr="00000000" w14:paraId="00000043">
    <w:pPr>
      <w:tabs>
        <w:tab w:val="center" w:pos="4513"/>
        <w:tab w:val="right" w:pos="9026"/>
      </w:tabs>
      <w:spacing w:after="0" w:lineRule="auto"/>
      <w:rPr/>
    </w:pPr>
    <w:r w:rsidDel="00000000" w:rsidR="00000000" w:rsidRPr="00000000">
      <w:rPr>
        <w:rtl w:val="0"/>
      </w:rPr>
      <w:t xml:space="preserve">Project Version: v1.0</w:t>
      <w:tab/>
      <w:tab/>
      <w:tab/>
      <w:t xml:space="preserve"> -1-</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color w:val="000000"/>
        <w:rtl w:val="0"/>
      </w:rPr>
      <w:t xml:space="preserve">Model Version : v2.9</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Call-Off Schedule 17 (MOD Terms) </w:t>
    </w:r>
    <w:r w:rsidDel="00000000" w:rsidR="00000000" w:rsidRPr="00000000">
      <w:rPr>
        <w:rtl w:val="0"/>
      </w:rPr>
    </w:r>
  </w:p>
  <w:p w:rsidR="00000000" w:rsidDel="00000000" w:rsidP="00000000" w:rsidRDefault="00000000" w:rsidRPr="00000000" w14:paraId="0000003A">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Call-Off Ref:</w:t>
    </w:r>
  </w:p>
  <w:p w:rsidR="00000000" w:rsidDel="00000000" w:rsidP="00000000" w:rsidRDefault="00000000" w:rsidRPr="00000000" w14:paraId="0000003B">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p w:rsidR="00000000" w:rsidDel="00000000" w:rsidP="00000000" w:rsidRDefault="00000000" w:rsidRPr="00000000" w14:paraId="0000003C">
    <w:pPr>
      <w:spacing w:after="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ind w:left="720" w:hanging="720"/>
    </w:pPr>
    <w:rPr>
      <w:rFonts w:ascii="Calibri" w:cs="Calibri" w:eastAsia="Calibri" w:hAnsi="Calibri"/>
      <w:b w:val="1"/>
    </w:rPr>
  </w:style>
  <w:style w:type="paragraph" w:styleId="Heading2">
    <w:name w:val="heading 2"/>
    <w:basedOn w:val="Normal"/>
    <w:next w:val="Normal"/>
    <w:pPr>
      <w:keepNext w:val="1"/>
      <w:keepLines w:val="1"/>
      <w:spacing w:after="240" w:lineRule="auto"/>
      <w:ind w:left="1440" w:hanging="720"/>
      <w:jc w:val="both"/>
    </w:pPr>
    <w:rPr>
      <w:rFonts w:ascii="Calibri" w:cs="Calibri" w:eastAsia="Calibri" w:hAnsi="Calibri"/>
    </w:rPr>
  </w:style>
  <w:style w:type="paragraph" w:styleId="Heading3">
    <w:name w:val="heading 3"/>
    <w:basedOn w:val="Normal"/>
    <w:next w:val="Normal"/>
    <w:pPr>
      <w:keepNext w:val="1"/>
      <w:keepLines w:val="1"/>
      <w:spacing w:after="0" w:before="200" w:lineRule="auto"/>
      <w:ind w:left="2160" w:hanging="72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2880" w:hanging="720"/>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ind w:left="3600" w:hanging="720"/>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4320" w:hanging="720"/>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imes New Roman"/>
    </w:rPr>
  </w:style>
  <w:style w:type="paragraph" w:styleId="Heading1">
    <w:name w:val="heading 1"/>
    <w:basedOn w:val="Normal"/>
    <w:next w:val="Normal"/>
    <w:link w:val="Heading1Char"/>
    <w:uiPriority w:val="9"/>
    <w:qFormat w:val="1"/>
    <w:pPr>
      <w:keepNext w:val="1"/>
      <w:keepLines w:val="1"/>
      <w:numPr>
        <w:numId w:val="5"/>
      </w:numPr>
      <w:spacing w:after="240"/>
      <w:outlineLvl w:val="0"/>
    </w:pPr>
    <w:rPr>
      <w:rFonts w:asciiTheme="minorHAnsi" w:cstheme="majorBidi" w:eastAsiaTheme="majorEastAsia" w:hAnsiTheme="minorHAnsi"/>
      <w:b w:val="1"/>
      <w:bCs w:val="1"/>
      <w:szCs w:val="28"/>
    </w:rPr>
  </w:style>
  <w:style w:type="paragraph" w:styleId="Heading2">
    <w:name w:val="heading 2"/>
    <w:basedOn w:val="Normal"/>
    <w:next w:val="Normal"/>
    <w:link w:val="Heading2Char"/>
    <w:uiPriority w:val="9"/>
    <w:unhideWhenUsed w:val="1"/>
    <w:qFormat w:val="1"/>
    <w:pPr>
      <w:keepNext w:val="1"/>
      <w:keepLines w:val="1"/>
      <w:numPr>
        <w:ilvl w:val="1"/>
        <w:numId w:val="5"/>
      </w:numPr>
      <w:spacing w:after="240"/>
      <w:jc w:val="both"/>
      <w:outlineLvl w:val="1"/>
    </w:pPr>
    <w:rPr>
      <w:rFonts w:asciiTheme="minorHAnsi" w:cstheme="majorBidi" w:eastAsiaTheme="majorEastAsia" w:hAnsiTheme="minorHAnsi"/>
      <w:bCs w:val="1"/>
      <w:szCs w:val="26"/>
    </w:rPr>
  </w:style>
  <w:style w:type="paragraph" w:styleId="Heading3">
    <w:name w:val="heading 3"/>
    <w:basedOn w:val="Normal"/>
    <w:next w:val="Normal"/>
    <w:link w:val="Heading3Char"/>
    <w:uiPriority w:val="9"/>
    <w:semiHidden w:val="1"/>
    <w:unhideWhenUsed w:val="1"/>
    <w:qFormat w:val="1"/>
    <w:pPr>
      <w:keepNext w:val="1"/>
      <w:keepLines w:val="1"/>
      <w:numPr>
        <w:ilvl w:val="2"/>
        <w:numId w:val="5"/>
      </w:numPr>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pPr>
      <w:keepNext w:val="1"/>
      <w:keepLines w:val="1"/>
      <w:numPr>
        <w:ilvl w:val="3"/>
        <w:numId w:val="5"/>
      </w:numPr>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pPr>
      <w:keepNext w:val="1"/>
      <w:keepLines w:val="1"/>
      <w:numPr>
        <w:ilvl w:val="4"/>
        <w:numId w:val="5"/>
      </w:numPr>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pPr>
      <w:keepNext w:val="1"/>
      <w:keepLines w:val="1"/>
      <w:numPr>
        <w:ilvl w:val="5"/>
        <w:numId w:val="5"/>
      </w:numPr>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pPr>
      <w:keepNext w:val="1"/>
      <w:keepLines w:val="1"/>
      <w:numPr>
        <w:ilvl w:val="6"/>
        <w:numId w:val="5"/>
      </w:numPr>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pPr>
      <w:keepNext w:val="1"/>
      <w:keepLines w:val="1"/>
      <w:numPr>
        <w:ilvl w:val="7"/>
        <w:numId w:val="5"/>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pPr>
      <w:keepNext w:val="1"/>
      <w:keepLines w:val="1"/>
      <w:numPr>
        <w:ilvl w:val="8"/>
        <w:numId w:val="5"/>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GPSL1CLAUSEHEADING" w:customStyle="1">
    <w:name w:val="GPS L1 CLAUSE HEADING"/>
    <w:basedOn w:val="Normal"/>
    <w:next w:val="Normal"/>
    <w:qFormat w:val="1"/>
    <w:pPr>
      <w:adjustRightInd w:val="0"/>
      <w:spacing w:after="240" w:before="120"/>
      <w:ind w:firstLine="360"/>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tabs>
        <w:tab w:val="left" w:pos="1985"/>
      </w:tabs>
      <w:adjustRightInd w:val="0"/>
      <w:spacing w:after="120" w:before="120"/>
      <w:jc w:val="both"/>
    </w:pPr>
    <w:rPr>
      <w:rFonts w:cs="Arial" w:eastAsia="Times New Roman"/>
      <w:lang w:eastAsia="zh-CN"/>
    </w:rPr>
  </w:style>
  <w:style w:type="paragraph" w:styleId="GPSL4numberedclause" w:customStyle="1">
    <w:name w:val="GPS L4 numbered clause"/>
    <w:basedOn w:val="GPSL3numberedclause"/>
    <w:qFormat w:val="1"/>
    <w:pPr>
      <w:numPr>
        <w:ilvl w:val="3"/>
      </w:numPr>
      <w:tabs>
        <w:tab w:val="num" w:pos="360"/>
        <w:tab w:val="left" w:pos="2552"/>
      </w:tabs>
      <w:ind w:left="2552" w:hanging="567"/>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tabs>
        <w:tab w:val="left" w:pos="1134"/>
      </w:tabs>
      <w:adjustRightInd w:val="0"/>
      <w:spacing w:after="120" w:before="120"/>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ORDERFORML1PraraNo" w:customStyle="1">
    <w:name w:val="ORDER FORM L1 Prara No"/>
    <w:basedOn w:val="Normal"/>
    <w:qFormat w:val="1"/>
    <w:pPr>
      <w:tabs>
        <w:tab w:val="num" w:pos="720"/>
      </w:tabs>
      <w:adjustRightInd w:val="0"/>
      <w:spacing w:after="0"/>
      <w:ind w:left="426" w:hanging="426"/>
      <w:jc w:val="both"/>
    </w:pPr>
    <w:rPr>
      <w:rFonts w:eastAsia="STZhongsong"/>
      <w:b w:val="1"/>
      <w:caps w:val="1"/>
      <w:lang w:eastAsia="zh-CN"/>
    </w:rPr>
  </w:style>
  <w:style w:type="paragraph" w:styleId="ORDERFORML2Title" w:customStyle="1">
    <w:name w:val="ORDER FORM L2 Title"/>
    <w:basedOn w:val="Normal"/>
    <w:qFormat w:val="1"/>
    <w:pPr>
      <w:tabs>
        <w:tab w:val="num" w:pos="1440"/>
      </w:tabs>
      <w:adjustRightInd w:val="0"/>
      <w:spacing w:after="120"/>
      <w:ind w:left="993" w:hanging="567"/>
      <w:jc w:val="both"/>
    </w:pPr>
    <w:rPr>
      <w:rFonts w:ascii="Arial" w:eastAsia="STZhongsong" w:hAnsi="Arial"/>
      <w:b w:val="1"/>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pPr>
      <w:tabs>
        <w:tab w:val="left" w:pos="0"/>
      </w:tabs>
      <w:spacing w:before="240"/>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Calibri" w:cs="Times New Roman" w:eastAsia="Calibri" w:hAnsi="Calibri"/>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Calibri" w:cs="Times New Roman" w:eastAsia="Calibri" w:hAnsi="Calibri"/>
    </w:rPr>
  </w:style>
  <w:style w:type="character" w:styleId="Emphasis">
    <w:name w:val="Emphasis"/>
    <w:basedOn w:val="DefaultParagraphFont"/>
    <w:rPr>
      <w:i w:val="1"/>
      <w:iCs w:val="1"/>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table" w:styleId="TableGrid">
    <w:name w:val="Table Grid"/>
    <w:basedOn w:val="TableNormal"/>
    <w:uiPriority w:val="59"/>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Pr>
      <w:rFonts w:cstheme="majorBidi" w:eastAsiaTheme="majorEastAsia"/>
      <w:b w:val="1"/>
      <w:bCs w:val="1"/>
      <w:szCs w:val="28"/>
    </w:rPr>
  </w:style>
  <w:style w:type="character" w:styleId="Heading2Char" w:customStyle="1">
    <w:name w:val="Heading 2 Char"/>
    <w:basedOn w:val="DefaultParagraphFont"/>
    <w:link w:val="Heading2"/>
    <w:uiPriority w:val="9"/>
    <w:rPr>
      <w:rFonts w:cstheme="majorBidi" w:eastAsiaTheme="majorEastAsia"/>
      <w:bCs w:val="1"/>
      <w:szCs w:val="26"/>
    </w:rPr>
  </w:style>
  <w:style w:type="character" w:styleId="Heading3Char" w:customStyle="1">
    <w:name w:val="Heading 3 Char"/>
    <w:basedOn w:val="DefaultParagraphFont"/>
    <w:link w:val="Heading3"/>
    <w:uiPriority w:val="9"/>
    <w:semiHidden w:val="1"/>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uiPriority w:val="9"/>
    <w:semiHidden w:val="1"/>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i w:val="1"/>
      <w:iCs w:val="1"/>
      <w:color w:val="404040" w:themeColor="text1" w:themeTint="0000BF"/>
      <w:sz w:val="20"/>
      <w:szCs w:val="20"/>
    </w:rPr>
  </w:style>
  <w:style w:type="paragraph" w:styleId="GPSL2Numbered" w:customStyle="1">
    <w:name w:val="GPS L2 Numbered"/>
    <w:basedOn w:val="GPSL2NumberedBoldHeading"/>
    <w:link w:val="GPSL2NumberedChar"/>
    <w:qFormat w:val="1"/>
    <w:pPr>
      <w:tabs>
        <w:tab w:val="left" w:pos="709"/>
      </w:tabs>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Hyperlink">
    <w:name w:val="Hyperlink"/>
    <w:basedOn w:val="DefaultParagraphFont"/>
    <w:uiPriority w:val="99"/>
    <w:unhideWhenUsed w:val="1"/>
    <w:rPr>
      <w:color w:val="0000ff" w:themeColor="hyperlink"/>
      <w:u w:val="single"/>
    </w:rPr>
  </w:style>
  <w:style w:type="paragraph" w:styleId="GPSSchTitleandNumber" w:customStyle="1">
    <w:name w:val="GPS Sch Title and Number"/>
    <w:basedOn w:val="Normal"/>
    <w:link w:val="GPSSchTitleandNumberChar"/>
    <w:qFormat w:val="1"/>
    <w:rsid w:val="003E62C4"/>
    <w:pPr>
      <w:keepNext w:val="1"/>
      <w:adjustRightInd w:val="0"/>
      <w:spacing w:after="240"/>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sid w:val="003E62C4"/>
    <w:rPr>
      <w:rFonts w:ascii="Arial Bold" w:cs="Times New Roman" w:eastAsia="STZhongsong" w:hAnsi="Arial Bold"/>
      <w:b w:val="1"/>
      <w:caps w:val="1"/>
      <w:lang w:eastAsia="zh-CN"/>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table" w:styleId="a0" w:customStyle="1">
    <w:basedOn w:val="TableNormal"/>
    <w:pPr>
      <w:spacing w:after="0"/>
    </w:pPr>
    <w:tblPr>
      <w:tblStyleRowBandSize w:val="1"/>
      <w:tblStyleColBandSize w:val="1"/>
    </w:tblPr>
  </w:style>
  <w:style w:type="table" w:styleId="a1" w:customStyle="1">
    <w:basedOn w:val="TableNormal"/>
    <w:pPr>
      <w:spacing w:after="0"/>
    </w:pPr>
    <w:tblPr>
      <w:tblStyleRowBandSize w:val="1"/>
      <w:tblStyleColBandSize w:val="1"/>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pPr>
    <w:tblPr>
      <w:tblStyleRowBandSize w:val="1"/>
      <w:tblStyleColBandSize w:val="1"/>
    </w:tblPr>
  </w:style>
  <w:style w:type="table" w:styleId="a4" w:customStyle="1">
    <w:basedOn w:val="TableNormal"/>
    <w:pPr>
      <w:spacing w:after="0"/>
    </w:pPr>
    <w:tblPr>
      <w:tblStyleRowBandSize w:val="1"/>
      <w:tblStyleColBandSize w:val="1"/>
    </w:tblPr>
  </w:style>
  <w:style w:type="table" w:styleId="a5" w:customStyle="1">
    <w:basedOn w:val="TableNormal"/>
    <w:pPr>
      <w:spacing w:after="0"/>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knowledge-in-defence-kid"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73mEV3bCMdYUFBN122ShPdT08w==">AMUW2mW6Ta8arFZnW6PiFWzfc0HNf1vXybMxBNeLxIwPz+aecOdP3dArROQ9fgmuBrdy3b36sMQ94JqRA3f////YS8BMqxXwdBGbp5mvN2/h93LSg+x6846M4+Nv2YoRn2mhVbQIatVa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2020-02-27T11:34:00Z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20 November 2017 D1V8</vt:lpwstr>
  </property>
</Properties>
</file>