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5274" w14:textId="63D922A1" w:rsidR="006B0EB1" w:rsidRDefault="00CA7CC2" w:rsidP="00624A99">
      <w:pPr>
        <w:spacing w:before="120" w:after="120" w:line="240" w:lineRule="auto"/>
        <w:ind w:right="394"/>
        <w:rPr>
          <w:rFonts w:eastAsia="Arial"/>
          <w:b/>
          <w:sz w:val="36"/>
          <w:szCs w:val="36"/>
        </w:rPr>
      </w:pPr>
      <w:r>
        <w:rPr>
          <w:rFonts w:eastAsia="Arial"/>
          <w:b/>
          <w:sz w:val="36"/>
          <w:szCs w:val="36"/>
        </w:rPr>
        <w:t>Call-Off Schedule 23 (HMRC Terms)</w:t>
      </w:r>
    </w:p>
    <w:p w14:paraId="35EA91AC" w14:textId="4C3BD426" w:rsidR="00C154BB" w:rsidRPr="00400489" w:rsidRDefault="00C154BB" w:rsidP="00624A99">
      <w:pPr>
        <w:spacing w:before="120" w:after="120" w:line="240" w:lineRule="auto"/>
        <w:rPr>
          <w:color w:val="auto"/>
        </w:rPr>
      </w:pPr>
    </w:p>
    <w:p w14:paraId="02E34516"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r w:rsidRPr="00400489">
        <w:rPr>
          <w:rFonts w:ascii="Arial" w:eastAsia="Arial" w:hAnsi="Arial" w:cs="Arial"/>
          <w:b/>
          <w:color w:val="000000"/>
          <w:sz w:val="24"/>
          <w:szCs w:val="24"/>
        </w:rPr>
        <w:t xml:space="preserve">Definitions </w:t>
      </w:r>
    </w:p>
    <w:p w14:paraId="63DE090C" w14:textId="77777777" w:rsidR="006B0EB1" w:rsidRPr="00400489" w:rsidRDefault="00CA7CC2" w:rsidP="00624A99">
      <w:pPr>
        <w:keepNext/>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400489">
        <w:rPr>
          <w:rFonts w:eastAsia="Arial"/>
        </w:rPr>
        <w:t xml:space="preserve">In this Schedule, the following words have the following meanings and they shall supplement Joint Schedule 1 </w:t>
      </w:r>
      <w:r w:rsidRPr="00400489">
        <w:rPr>
          <w:rFonts w:eastAsia="Arial"/>
          <w:i/>
        </w:rPr>
        <w:t>(Definitions)</w:t>
      </w:r>
      <w:r w:rsidRPr="00400489">
        <w:rPr>
          <w:rFonts w:eastAsia="Arial"/>
        </w:rPr>
        <w:t>:</w:t>
      </w:r>
    </w:p>
    <w:tbl>
      <w:tblPr>
        <w:tblStyle w:val="a"/>
        <w:tblW w:w="7919" w:type="dxa"/>
        <w:tblInd w:w="993" w:type="dxa"/>
        <w:tblLayout w:type="fixed"/>
        <w:tblLook w:val="0000" w:firstRow="0" w:lastRow="0" w:firstColumn="0" w:lastColumn="0" w:noHBand="0" w:noVBand="0"/>
      </w:tblPr>
      <w:tblGrid>
        <w:gridCol w:w="2835"/>
        <w:gridCol w:w="5084"/>
      </w:tblGrid>
      <w:tr w:rsidR="006B0EB1" w:rsidRPr="00400489" w14:paraId="3A7DBB92" w14:textId="77777777" w:rsidTr="00400489">
        <w:tc>
          <w:tcPr>
            <w:tcW w:w="2835" w:type="dxa"/>
          </w:tcPr>
          <w:p w14:paraId="580E0A12" w14:textId="77777777" w:rsidR="006B0EB1" w:rsidRPr="00400489" w:rsidRDefault="00CA7CC2" w:rsidP="00624A99">
            <w:pPr>
              <w:spacing w:before="120" w:after="120" w:line="240" w:lineRule="auto"/>
              <w:ind w:left="209"/>
              <w:rPr>
                <w:rFonts w:eastAsia="Arial"/>
                <w:b/>
              </w:rPr>
            </w:pPr>
            <w:r w:rsidRPr="00400489">
              <w:rPr>
                <w:rFonts w:eastAsia="Arial"/>
                <w:b/>
              </w:rPr>
              <w:t>“Connected Company”</w:t>
            </w:r>
          </w:p>
        </w:tc>
        <w:tc>
          <w:tcPr>
            <w:tcW w:w="5084" w:type="dxa"/>
          </w:tcPr>
          <w:p w14:paraId="3638C22B" w14:textId="74195B97" w:rsidR="006B0EB1" w:rsidRPr="00400489" w:rsidRDefault="00CA7CC2" w:rsidP="00624A99">
            <w:pPr>
              <w:spacing w:before="120" w:after="120" w:line="240" w:lineRule="auto"/>
              <w:rPr>
                <w:rFonts w:eastAsia="Arial"/>
              </w:rPr>
            </w:pPr>
            <w:r w:rsidRPr="00400489">
              <w:rPr>
                <w:rFonts w:eastAsia="Arial"/>
              </w:rPr>
              <w:t>in relation to a company, entity or other person, the Affiliates of that company, entity or other person or any other person associated with such company, entity or other person;</w:t>
            </w:r>
          </w:p>
        </w:tc>
      </w:tr>
      <w:tr w:rsidR="006B0EB1" w:rsidRPr="00400489" w14:paraId="0A45F154" w14:textId="77777777" w:rsidTr="00400489">
        <w:tc>
          <w:tcPr>
            <w:tcW w:w="2835" w:type="dxa"/>
          </w:tcPr>
          <w:p w14:paraId="0491A29D" w14:textId="77777777" w:rsidR="006B0EB1" w:rsidRPr="00400489" w:rsidRDefault="00CA7CC2" w:rsidP="00624A99">
            <w:pPr>
              <w:spacing w:before="120" w:after="120" w:line="240" w:lineRule="auto"/>
              <w:ind w:left="209"/>
              <w:rPr>
                <w:rFonts w:eastAsia="Arial"/>
                <w:b/>
              </w:rPr>
            </w:pPr>
            <w:r w:rsidRPr="00400489">
              <w:rPr>
                <w:rFonts w:eastAsia="Arial"/>
                <w:b/>
              </w:rPr>
              <w:t>“Control”</w:t>
            </w:r>
          </w:p>
        </w:tc>
        <w:tc>
          <w:tcPr>
            <w:tcW w:w="5084" w:type="dxa"/>
          </w:tcPr>
          <w:p w14:paraId="51CEEC24" w14:textId="65B27663" w:rsidR="006B0EB1" w:rsidRPr="00400489" w:rsidRDefault="00CA7CC2" w:rsidP="00624A99">
            <w:pPr>
              <w:spacing w:before="120" w:after="120" w:line="240" w:lineRule="auto"/>
              <w:rPr>
                <w:rFonts w:eastAsia="Arial"/>
              </w:rPr>
            </w:pPr>
            <w:r w:rsidRPr="00400489">
              <w:rPr>
                <w:rFonts w:eastAsia="Arial"/>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6B0EB1" w:rsidRPr="00400489" w14:paraId="7203F418" w14:textId="77777777" w:rsidTr="00400489">
        <w:tc>
          <w:tcPr>
            <w:tcW w:w="2835" w:type="dxa"/>
          </w:tcPr>
          <w:p w14:paraId="3847EB99" w14:textId="77777777" w:rsidR="006B0EB1" w:rsidRPr="00400489" w:rsidRDefault="00CA7CC2" w:rsidP="00624A99">
            <w:pPr>
              <w:spacing w:before="120" w:after="120" w:line="240" w:lineRule="auto"/>
              <w:ind w:left="209"/>
              <w:rPr>
                <w:rFonts w:eastAsia="Arial"/>
                <w:b/>
              </w:rPr>
            </w:pPr>
            <w:r w:rsidRPr="00400489">
              <w:rPr>
                <w:rFonts w:eastAsia="Arial"/>
                <w:b/>
              </w:rPr>
              <w:t>“Prohibited Transaction”</w:t>
            </w:r>
          </w:p>
        </w:tc>
        <w:tc>
          <w:tcPr>
            <w:tcW w:w="5084" w:type="dxa"/>
          </w:tcPr>
          <w:p w14:paraId="631BA03C" w14:textId="2B35A543"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802608A" w14:textId="124985D5"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which would be payable by any Key Subcontractor and its Connected Companies on or in connection with payments made by or on behalf of the Supplier under or pursuant to the applicable Key Subcontract,</w:t>
            </w:r>
          </w:p>
          <w:p w14:paraId="5AC5D186" w14:textId="1E200620" w:rsidR="006B0EB1" w:rsidRPr="00400489" w:rsidRDefault="00CA7CC2" w:rsidP="00624A99">
            <w:pPr>
              <w:spacing w:before="120" w:after="120" w:line="240" w:lineRule="auto"/>
              <w:rPr>
                <w:rFonts w:eastAsia="Arial"/>
              </w:rPr>
            </w:pPr>
            <w:r w:rsidRPr="00400489">
              <w:rPr>
                <w:rFonts w:eastAsia="Arial"/>
              </w:rPr>
              <w:t>other than transactions made between the Supplier and its Connected Companies or a Key Subcontractor and its Connected Companies on terms which are at arms-length and are entered into in the ordinary course of the transacting parties’ business;</w:t>
            </w:r>
          </w:p>
        </w:tc>
      </w:tr>
      <w:tr w:rsidR="006B0EB1" w:rsidRPr="00400489" w14:paraId="782BEF72" w14:textId="77777777" w:rsidTr="00400489">
        <w:tc>
          <w:tcPr>
            <w:tcW w:w="2835" w:type="dxa"/>
          </w:tcPr>
          <w:p w14:paraId="688875B7" w14:textId="77777777" w:rsidR="006B0EB1" w:rsidRDefault="00CA7CC2" w:rsidP="00624A99">
            <w:pPr>
              <w:spacing w:before="120" w:after="120" w:line="240" w:lineRule="auto"/>
              <w:ind w:left="209"/>
              <w:rPr>
                <w:rFonts w:eastAsia="Arial"/>
                <w:b/>
              </w:rPr>
            </w:pPr>
            <w:r w:rsidRPr="00400489">
              <w:rPr>
                <w:rFonts w:eastAsia="Arial"/>
                <w:b/>
              </w:rPr>
              <w:t>“Purchase Order Number” </w:t>
            </w:r>
          </w:p>
          <w:p w14:paraId="1CB82492" w14:textId="77777777" w:rsidR="00F82BBF" w:rsidRPr="00F82BBF" w:rsidRDefault="00F82BBF" w:rsidP="00F82BBF">
            <w:pPr>
              <w:ind w:firstLine="720"/>
              <w:rPr>
                <w:rFonts w:eastAsia="Arial"/>
              </w:rPr>
            </w:pPr>
          </w:p>
        </w:tc>
        <w:tc>
          <w:tcPr>
            <w:tcW w:w="5084" w:type="dxa"/>
          </w:tcPr>
          <w:p w14:paraId="5F5FC596" w14:textId="77777777" w:rsidR="006B0EB1" w:rsidRPr="00400489" w:rsidRDefault="00CA7CC2" w:rsidP="00624A99">
            <w:pPr>
              <w:spacing w:before="120" w:after="120" w:line="240" w:lineRule="auto"/>
              <w:rPr>
                <w:rFonts w:eastAsia="Arial"/>
              </w:rPr>
            </w:pPr>
            <w:r w:rsidRPr="00400489">
              <w:rPr>
                <w:rFonts w:eastAsia="Arial"/>
              </w:rPr>
              <w:t>the Buyer’s unique number relating to the supply of the Deliverables;  </w:t>
            </w:r>
          </w:p>
        </w:tc>
      </w:tr>
      <w:tr w:rsidR="006B0EB1" w:rsidRPr="00400489" w14:paraId="38834981" w14:textId="77777777" w:rsidTr="00400489">
        <w:tc>
          <w:tcPr>
            <w:tcW w:w="2835" w:type="dxa"/>
          </w:tcPr>
          <w:p w14:paraId="488DCE17" w14:textId="77777777" w:rsidR="006B0EB1" w:rsidRPr="00400489" w:rsidRDefault="00CA7CC2" w:rsidP="00624A99">
            <w:pPr>
              <w:spacing w:before="120" w:after="120" w:line="240" w:lineRule="auto"/>
              <w:ind w:left="209"/>
              <w:rPr>
                <w:rFonts w:eastAsia="Arial"/>
                <w:b/>
              </w:rPr>
            </w:pPr>
            <w:r w:rsidRPr="00400489">
              <w:rPr>
                <w:rFonts w:eastAsia="Arial"/>
                <w:b/>
              </w:rPr>
              <w:lastRenderedPageBreak/>
              <w:t>“Supporting Documentation”</w:t>
            </w:r>
          </w:p>
        </w:tc>
        <w:tc>
          <w:tcPr>
            <w:tcW w:w="5084" w:type="dxa"/>
          </w:tcPr>
          <w:p w14:paraId="032834EE" w14:textId="77777777" w:rsidR="006B0EB1" w:rsidRPr="00400489" w:rsidRDefault="00CA7CC2" w:rsidP="00624A99">
            <w:pPr>
              <w:spacing w:before="120" w:after="120" w:line="240" w:lineRule="auto"/>
              <w:rPr>
                <w:rFonts w:eastAsia="Arial"/>
              </w:rPr>
            </w:pPr>
            <w:r w:rsidRPr="00400489">
              <w:rPr>
                <w:rFonts w:eastAsia="Arial"/>
              </w:rPr>
              <w:t>sufficient information in writing to enable the Buyer to reasonably verify the accuracy of any invoice; and</w:t>
            </w:r>
          </w:p>
        </w:tc>
      </w:tr>
      <w:tr w:rsidR="006B0EB1" w:rsidRPr="00400489" w14:paraId="0AAE869D" w14:textId="77777777" w:rsidTr="00400489">
        <w:tc>
          <w:tcPr>
            <w:tcW w:w="2835" w:type="dxa"/>
          </w:tcPr>
          <w:p w14:paraId="1FA7B8CD" w14:textId="77777777" w:rsidR="006B0EB1" w:rsidRPr="00400489" w:rsidRDefault="00CA7CC2" w:rsidP="00624A99">
            <w:pPr>
              <w:spacing w:before="120" w:after="120" w:line="240" w:lineRule="auto"/>
              <w:ind w:left="209"/>
              <w:rPr>
                <w:rFonts w:eastAsia="Arial"/>
                <w:b/>
              </w:rPr>
            </w:pPr>
            <w:r w:rsidRPr="00400489">
              <w:rPr>
                <w:rFonts w:eastAsia="Arial"/>
                <w:b/>
              </w:rPr>
              <w:t>“Tax Compliance Failure”</w:t>
            </w:r>
          </w:p>
          <w:p w14:paraId="00696047" w14:textId="77777777" w:rsidR="006B0EB1" w:rsidRPr="00400489" w:rsidRDefault="006B0EB1" w:rsidP="00624A99">
            <w:pPr>
              <w:spacing w:before="120" w:after="120" w:line="240" w:lineRule="auto"/>
              <w:ind w:left="209"/>
              <w:rPr>
                <w:rFonts w:eastAsia="Arial"/>
                <w:b/>
              </w:rPr>
            </w:pPr>
          </w:p>
        </w:tc>
        <w:tc>
          <w:tcPr>
            <w:tcW w:w="5084" w:type="dxa"/>
          </w:tcPr>
          <w:p w14:paraId="659F2210" w14:textId="77777777" w:rsidR="006B0EB1" w:rsidRPr="00400489" w:rsidRDefault="00CA7CC2" w:rsidP="00624A99">
            <w:pPr>
              <w:tabs>
                <w:tab w:val="left" w:pos="-75"/>
              </w:tabs>
              <w:spacing w:before="120" w:after="120" w:line="240" w:lineRule="auto"/>
              <w:rPr>
                <w:rFonts w:eastAsia="Arial"/>
              </w:rPr>
            </w:pPr>
            <w:r w:rsidRPr="00400489">
              <w:rPr>
                <w:rFonts w:eastAsia="Arial"/>
              </w:rPr>
              <w:t>where an entity or person under consideration meets all 3 conditions contained in the relevant excerpt from HMRC’s “Test for Tax Non-Compliance”, as set out in Annex 1 (as amended and updated from time to time), where:</w:t>
            </w:r>
          </w:p>
          <w:p w14:paraId="5948E260" w14:textId="0087DCA2" w:rsidR="006B0EB1" w:rsidRPr="00CC0B86" w:rsidRDefault="00CA7CC2" w:rsidP="00624A99">
            <w:pPr>
              <w:numPr>
                <w:ilvl w:val="0"/>
                <w:numId w:val="8"/>
              </w:numPr>
              <w:pBdr>
                <w:top w:val="nil"/>
                <w:left w:val="nil"/>
                <w:bottom w:val="nil"/>
                <w:right w:val="nil"/>
                <w:between w:val="nil"/>
              </w:pBdr>
              <w:tabs>
                <w:tab w:val="left" w:pos="-75"/>
              </w:tabs>
              <w:spacing w:before="120" w:after="120" w:line="240" w:lineRule="auto"/>
              <w:ind w:left="736" w:hanging="691"/>
              <w:rPr>
                <w:rFonts w:eastAsia="Arial"/>
              </w:rPr>
            </w:pPr>
            <w:r w:rsidRPr="00400489">
              <w:rPr>
                <w:rFonts w:eastAsia="Arial"/>
              </w:rPr>
              <w:t xml:space="preserve">the “Economic Operator” means the Supplier or any agent, supplier or Subcontractor of the Supplier requested to be replaced pursuant to Paragraph 5.3; and </w:t>
            </w:r>
          </w:p>
          <w:p w14:paraId="5C2175BC" w14:textId="77777777" w:rsidR="006B0EB1" w:rsidRPr="00400489" w:rsidRDefault="00CA7CC2" w:rsidP="00624A99">
            <w:pPr>
              <w:numPr>
                <w:ilvl w:val="0"/>
                <w:numId w:val="8"/>
              </w:numPr>
              <w:pBdr>
                <w:top w:val="nil"/>
                <w:left w:val="nil"/>
                <w:bottom w:val="nil"/>
                <w:right w:val="nil"/>
                <w:between w:val="nil"/>
              </w:pBdr>
              <w:spacing w:before="120" w:after="120" w:line="240" w:lineRule="auto"/>
              <w:ind w:left="736" w:hanging="691"/>
              <w:rPr>
                <w:rFonts w:eastAsia="Arial"/>
              </w:rPr>
            </w:pPr>
            <w:r w:rsidRPr="00400489">
              <w:rPr>
                <w:rFonts w:eastAsia="Arial"/>
              </w:rPr>
              <w:t>any “Essential Subcontractor” means any Key Subcontractor.</w:t>
            </w:r>
          </w:p>
        </w:tc>
      </w:tr>
    </w:tbl>
    <w:p w14:paraId="646EFC4A" w14:textId="483962AD"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bookmarkStart w:id="0" w:name="_heading=h.30j0zll" w:colFirst="0" w:colLast="0"/>
      <w:bookmarkEnd w:id="0"/>
      <w:r w:rsidRPr="00400489">
        <w:rPr>
          <w:rFonts w:ascii="Arial" w:eastAsia="Arial" w:hAnsi="Arial" w:cs="Arial"/>
          <w:b/>
          <w:color w:val="000000"/>
          <w:sz w:val="24"/>
          <w:szCs w:val="24"/>
        </w:rPr>
        <w:t xml:space="preserve">Exclusion of certain </w:t>
      </w:r>
      <w:r w:rsidR="008D118E" w:rsidRPr="00400489">
        <w:rPr>
          <w:rFonts w:ascii="Arial" w:eastAsia="Arial" w:hAnsi="Arial" w:cs="Arial"/>
          <w:b/>
          <w:color w:val="000000"/>
          <w:sz w:val="24"/>
          <w:szCs w:val="24"/>
        </w:rPr>
        <w:t xml:space="preserve">General </w:t>
      </w:r>
      <w:r w:rsidRPr="00400489">
        <w:rPr>
          <w:rFonts w:ascii="Arial" w:eastAsia="Arial" w:hAnsi="Arial" w:cs="Arial"/>
          <w:b/>
          <w:color w:val="000000"/>
          <w:sz w:val="24"/>
          <w:szCs w:val="24"/>
        </w:rPr>
        <w:t>Terms and terms of Schedules</w:t>
      </w:r>
    </w:p>
    <w:p w14:paraId="10D1991F" w14:textId="5C8B5A04"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When the Parties have entered into a Call-Off Contract which incorporates the terms of this Call-Off Schedule 23, the following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are modified in respect of that Call-Off Contract (but are not modified in respect of the Framework Contract):</w:t>
      </w:r>
    </w:p>
    <w:p w14:paraId="20A9D3B1" w14:textId="5E884052"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C</w:t>
      </w:r>
      <w:r w:rsidR="00624A99">
        <w:rPr>
          <w:rFonts w:ascii="Arial" w:eastAsia="Arial" w:hAnsi="Arial" w:cs="Arial"/>
          <w:color w:val="000000"/>
          <w:sz w:val="24"/>
          <w:szCs w:val="24"/>
        </w:rPr>
        <w:t>lauses 34.1, 34.2, 34.3 and 34.6</w:t>
      </w:r>
      <w:r w:rsidR="00CC0B86">
        <w:rPr>
          <w:rFonts w:ascii="Arial" w:eastAsia="Arial" w:hAnsi="Arial" w:cs="Arial"/>
          <w:color w:val="000000"/>
          <w:sz w:val="24"/>
          <w:szCs w:val="24"/>
        </w:rPr>
        <w:t>.4</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do not apply to that Call-Off Contract, but for the avoidance of dou</w:t>
      </w:r>
      <w:r w:rsidR="00624A99">
        <w:rPr>
          <w:rFonts w:ascii="Arial" w:eastAsia="Arial" w:hAnsi="Arial" w:cs="Arial"/>
          <w:color w:val="000000"/>
          <w:sz w:val="24"/>
          <w:szCs w:val="24"/>
        </w:rPr>
        <w:t>bt, the remainder of Clause 34.6</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continue to apply to the Call-Off Contract; and</w:t>
      </w:r>
    </w:p>
    <w:p w14:paraId="2E2AF010" w14:textId="5327BDFA" w:rsidR="006B0EB1" w:rsidRPr="00400489" w:rsidRDefault="00CC0B86" w:rsidP="00624A99">
      <w:pPr>
        <w:pStyle w:val="Heading2"/>
        <w:keepNext w:val="0"/>
        <w:keepLines w:val="0"/>
        <w:numPr>
          <w:ilvl w:val="2"/>
          <w:numId w:val="1"/>
        </w:numPr>
        <w:spacing w:before="120" w:after="120" w:line="240" w:lineRule="auto"/>
        <w:ind w:left="1985" w:hanging="851"/>
        <w:rPr>
          <w:rFonts w:ascii="Arial" w:hAnsi="Arial" w:cs="Arial"/>
          <w:sz w:val="24"/>
          <w:szCs w:val="24"/>
        </w:rPr>
      </w:pPr>
      <w:r>
        <w:rPr>
          <w:rFonts w:ascii="Arial" w:eastAsia="Arial" w:hAnsi="Arial" w:cs="Arial"/>
          <w:color w:val="000000"/>
          <w:sz w:val="24"/>
          <w:szCs w:val="24"/>
        </w:rPr>
        <w:t>Clause 9.3</w:t>
      </w:r>
      <w:r w:rsidR="00CA7CC2" w:rsidRPr="00400489">
        <w:rPr>
          <w:rFonts w:ascii="Arial" w:eastAsia="Arial" w:hAnsi="Arial" w:cs="Arial"/>
          <w:color w:val="000000"/>
          <w:sz w:val="24"/>
          <w:szCs w:val="24"/>
        </w:rPr>
        <w:t xml:space="preserve">.2 of the </w:t>
      </w:r>
      <w:r w:rsidR="008D118E" w:rsidRPr="00400489">
        <w:rPr>
          <w:rFonts w:ascii="Arial" w:eastAsia="Arial" w:hAnsi="Arial" w:cs="Arial"/>
          <w:color w:val="000000"/>
          <w:sz w:val="24"/>
          <w:szCs w:val="24"/>
        </w:rPr>
        <w:t xml:space="preserve">General </w:t>
      </w:r>
      <w:r w:rsidR="00CA7CC2" w:rsidRPr="00400489">
        <w:rPr>
          <w:rFonts w:ascii="Arial" w:eastAsia="Arial" w:hAnsi="Arial" w:cs="Arial"/>
          <w:color w:val="000000"/>
          <w:sz w:val="24"/>
          <w:szCs w:val="24"/>
        </w:rPr>
        <w:t>Terms does not apply to that Call-Off Contract.</w:t>
      </w:r>
    </w:p>
    <w:p w14:paraId="757400D9" w14:textId="263640EC"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60191CCE" w14:textId="6CBA5D68" w:rsidR="006B0EB1" w:rsidRPr="00400489" w:rsidRDefault="00624A99"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Paragraph 3.4</w:t>
      </w:r>
      <w:r w:rsidR="00CC0B86">
        <w:rPr>
          <w:rFonts w:ascii="Arial" w:eastAsia="Arial" w:hAnsi="Arial" w:cs="Arial"/>
          <w:color w:val="000000"/>
          <w:sz w:val="24"/>
          <w:szCs w:val="24"/>
        </w:rPr>
        <w:t>.4</w:t>
      </w:r>
      <w:r>
        <w:rPr>
          <w:rFonts w:ascii="Arial" w:eastAsia="Arial" w:hAnsi="Arial" w:cs="Arial"/>
          <w:color w:val="000000"/>
          <w:sz w:val="24"/>
          <w:szCs w:val="24"/>
        </w:rPr>
        <w:t xml:space="preserve"> of Joint Schedule 10</w:t>
      </w:r>
      <w:r w:rsidR="00CA7CC2" w:rsidRPr="00400489">
        <w:rPr>
          <w:rFonts w:ascii="Arial" w:eastAsia="Arial" w:hAnsi="Arial" w:cs="Arial"/>
          <w:color w:val="000000"/>
          <w:sz w:val="24"/>
          <w:szCs w:val="24"/>
        </w:rPr>
        <w:t xml:space="preserve"> </w:t>
      </w:r>
      <w:r w:rsidR="00CA7CC2" w:rsidRPr="00CC0B86">
        <w:rPr>
          <w:rFonts w:ascii="Arial" w:eastAsia="Arial" w:hAnsi="Arial" w:cs="Arial"/>
          <w:i/>
          <w:color w:val="000000"/>
          <w:sz w:val="24"/>
          <w:szCs w:val="24"/>
        </w:rPr>
        <w:t>(Processing Data)</w:t>
      </w:r>
      <w:r w:rsidR="00CA7CC2" w:rsidRPr="00400489">
        <w:rPr>
          <w:rFonts w:ascii="Arial" w:eastAsia="Arial" w:hAnsi="Arial" w:cs="Arial"/>
          <w:color w:val="000000"/>
          <w:sz w:val="24"/>
          <w:szCs w:val="24"/>
        </w:rPr>
        <w:t xml:space="preserve"> does not apply to that Call-Off Contract.</w:t>
      </w:r>
    </w:p>
    <w:p w14:paraId="3E72E29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sz w:val="24"/>
          <w:szCs w:val="24"/>
        </w:rPr>
      </w:pPr>
      <w:r w:rsidRPr="00400489">
        <w:rPr>
          <w:rFonts w:ascii="Arial" w:eastAsia="Arial" w:hAnsi="Arial" w:cs="Arial"/>
          <w:b/>
          <w:color w:val="000000"/>
          <w:sz w:val="24"/>
          <w:szCs w:val="24"/>
        </w:rPr>
        <w:t>Charges, Payment and Recovery of Sums Due</w:t>
      </w:r>
      <w:r w:rsidRPr="00400489">
        <w:rPr>
          <w:rFonts w:ascii="Arial" w:eastAsia="Arial" w:hAnsi="Arial" w:cs="Arial"/>
          <w:color w:val="000000"/>
          <w:sz w:val="24"/>
          <w:szCs w:val="24"/>
        </w:rPr>
        <w:t> </w:t>
      </w:r>
    </w:p>
    <w:p w14:paraId="1F3D3CC5" w14:textId="22F298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 w:name="_heading=h.1fob9te" w:colFirst="0" w:colLast="0"/>
      <w:bookmarkEnd w:id="1"/>
      <w:r w:rsidRPr="00400489">
        <w:rPr>
          <w:rFonts w:ascii="Arial" w:eastAsia="Arial" w:hAnsi="Arial" w:cs="Arial"/>
          <w:color w:val="000000"/>
          <w:sz w:val="24"/>
          <w:szCs w:val="24"/>
        </w:rPr>
        <w:t xml:space="preserve">The Supplier shall invoice the Buyer as specified in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as modified by any Framework Special Terms or any Call-Off Special Terms. </w:t>
      </w:r>
    </w:p>
    <w:p w14:paraId="0B51154E" w14:textId="62EC5DF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In addition to the provisions of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and any applicable Framework Special Term or Call-Off Special Term, the Supplier shall procure a Purchase Order Number from the Buyer before any Deliverables are supplied. Should the Supplier supply Deliverables without a Purchase Order Number: </w:t>
      </w:r>
    </w:p>
    <w:p w14:paraId="40AB0C9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the Supplier does so at its own risk; and</w:t>
      </w:r>
    </w:p>
    <w:p w14:paraId="7D0F63C8"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the Buyer shall not be obliged to pay any invoice without a valid Purchase Order Number having been provided to the Supplier.</w:t>
      </w:r>
    </w:p>
    <w:p w14:paraId="5273E8D1" w14:textId="66841ED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The Supplier shall submit each invoice and any Supporting Documentation required in accordance with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and any applicable Framework Special Term or Call-Off Special Term, as directed by the Buyer from time to time, either: </w:t>
      </w:r>
    </w:p>
    <w:p w14:paraId="43B768D3"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via the Buyer ’s electronic transaction system as an Electronic Invoice; or </w:t>
      </w:r>
    </w:p>
    <w:p w14:paraId="6E3D4AC1"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to the [</w:t>
      </w:r>
      <w:r w:rsidRPr="00400489">
        <w:rPr>
          <w:rFonts w:ascii="Arial" w:eastAsia="Arial" w:hAnsi="Arial" w:cs="Arial"/>
          <w:color w:val="000000"/>
          <w:sz w:val="24"/>
          <w:szCs w:val="24"/>
          <w:highlight w:val="yellow"/>
        </w:rPr>
        <w:t>specify who the contact in HMRC is]</w:t>
      </w:r>
      <w:r w:rsidRPr="00400489">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14:paraId="4069C1B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Warranties</w:t>
      </w:r>
    </w:p>
    <w:p w14:paraId="3439E0E6"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represents and warrants that:</w:t>
      </w:r>
    </w:p>
    <w:p w14:paraId="2B75B9B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2" w:name="_heading=h.3znysh7" w:colFirst="0" w:colLast="0"/>
      <w:bookmarkEnd w:id="2"/>
      <w:r w:rsidRPr="00400489">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5E625302"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3" w:name="_heading=h.2et92p0" w:colFirst="0" w:colLast="0"/>
      <w:bookmarkEnd w:id="3"/>
      <w:r w:rsidRPr="00400489">
        <w:rPr>
          <w:rFonts w:ascii="Arial" w:eastAsia="Arial" w:hAnsi="Arial" w:cs="Arial"/>
          <w:color w:val="000000"/>
          <w:sz w:val="24"/>
          <w:szCs w:val="24"/>
        </w:rPr>
        <w:t>it has notified the Buyer in writing of any Tax Compliance Failure it is involved in; and</w:t>
      </w:r>
    </w:p>
    <w:p w14:paraId="7D175009"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bookmarkStart w:id="4" w:name="_heading=h.tyjcwt" w:colFirst="0" w:colLast="0"/>
      <w:bookmarkEnd w:id="4"/>
      <w:r w:rsidRPr="00400489">
        <w:rPr>
          <w:rFonts w:ascii="Arial" w:eastAsia="Arial" w:hAnsi="Arial" w:cs="Arial"/>
          <w:color w:val="000000"/>
          <w:sz w:val="24"/>
          <w:szCs w:val="24"/>
        </w:rPr>
        <w:t>no proceedings or other steps have been taken (nor, to the best of the Supplier’s knowledge, are threatened) for:</w:t>
      </w:r>
    </w:p>
    <w:p w14:paraId="02666115" w14:textId="234FD76B"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the winding up of the Supplier; </w:t>
      </w:r>
    </w:p>
    <w:p w14:paraId="2CA72731"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the Supplier’s dissolution; or</w:t>
      </w:r>
    </w:p>
    <w:p w14:paraId="23973E00"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7C323D25" w14:textId="77777777" w:rsidR="006B0EB1" w:rsidRPr="00400489" w:rsidRDefault="00CA7CC2" w:rsidP="00624A99">
      <w:pPr>
        <w:pStyle w:val="Heading2"/>
        <w:keepNext w:val="0"/>
        <w:keepLines w:val="0"/>
        <w:spacing w:before="120" w:after="120" w:line="240" w:lineRule="auto"/>
        <w:ind w:left="1985"/>
        <w:rPr>
          <w:rFonts w:ascii="Arial" w:eastAsia="Arial" w:hAnsi="Arial" w:cs="Arial"/>
          <w:color w:val="000000"/>
          <w:sz w:val="24"/>
          <w:szCs w:val="24"/>
        </w:rPr>
      </w:pPr>
      <w:r w:rsidRPr="00400489">
        <w:rPr>
          <w:rFonts w:ascii="Arial" w:eastAsia="Arial" w:hAnsi="Arial" w:cs="Arial"/>
          <w:color w:val="000000"/>
          <w:sz w:val="24"/>
          <w:szCs w:val="24"/>
        </w:rPr>
        <w:t>and the Supplier has notified the Buyer of any profit warnings it has issued in the three years prior to the Effective Date.</w:t>
      </w:r>
    </w:p>
    <w:p w14:paraId="2E60A8A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4D330461" w14:textId="209974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warranty given by the Supplier in Paragraph 4.1.2 is materially untrue, this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393BE4C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Promoting Tax Compliance</w:t>
      </w:r>
    </w:p>
    <w:p w14:paraId="49C4F445"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5" w:name="_heading=h.3dy6vkm" w:colFirst="0" w:colLast="0"/>
      <w:bookmarkEnd w:id="5"/>
      <w:r w:rsidRPr="00400489">
        <w:rPr>
          <w:rFonts w:ascii="Arial" w:eastAsia="Arial" w:hAnsi="Arial" w:cs="Arial"/>
          <w:color w:val="000000"/>
          <w:sz w:val="24"/>
          <w:szCs w:val="24"/>
        </w:rPr>
        <w:lastRenderedPageBreak/>
        <w:t xml:space="preserve">The Supplier shall comply with all Law relating to Tax and with the equivalent legal provisions of the country in which the Supplier is established. </w:t>
      </w:r>
    </w:p>
    <w:p w14:paraId="23DBE192"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6" w:name="_heading=h.1t3h5sf" w:colFirst="0" w:colLast="0"/>
      <w:bookmarkEnd w:id="6"/>
      <w:r w:rsidRPr="00400489">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5696419"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color w:val="000000"/>
          <w:sz w:val="24"/>
          <w:szCs w:val="24"/>
        </w:rPr>
      </w:pPr>
      <w:bookmarkStart w:id="7" w:name="_heading=h.4d34og8" w:colFirst="0" w:colLast="0"/>
      <w:bookmarkEnd w:id="7"/>
      <w:r w:rsidRPr="00400489">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731E68D"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8" w:name="_heading=h.2s8eyo1" w:colFirst="0" w:colLast="0"/>
      <w:bookmarkEnd w:id="8"/>
      <w:r w:rsidRPr="00400489">
        <w:rPr>
          <w:rFonts w:ascii="Arial" w:eastAsia="Arial" w:hAnsi="Arial" w:cs="Arial"/>
          <w:color w:val="000000"/>
          <w:sz w:val="24"/>
          <w:szCs w:val="24"/>
        </w:rPr>
        <w:t>If, at any point during the Call-Off Contract Period, there is a Tax Compliance Failure, the Supplier shall:</w:t>
      </w:r>
    </w:p>
    <w:p w14:paraId="5066966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9" w:name="_heading=h.17dp8vu" w:colFirst="0" w:colLast="0"/>
      <w:bookmarkEnd w:id="9"/>
      <w:r w:rsidRPr="00400489">
        <w:rPr>
          <w:rFonts w:ascii="Arial" w:eastAsia="Arial" w:hAnsi="Arial" w:cs="Arial"/>
          <w:color w:val="000000"/>
          <w:sz w:val="24"/>
          <w:szCs w:val="24"/>
        </w:rPr>
        <w:t>notify the Buyer in writing within five (5) Working Days of its occurrence; and</w:t>
      </w:r>
    </w:p>
    <w:p w14:paraId="0AA4A58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0" w:name="_heading=h.3rdcrjn" w:colFirst="0" w:colLast="0"/>
      <w:bookmarkEnd w:id="10"/>
      <w:r w:rsidRPr="00400489">
        <w:rPr>
          <w:rFonts w:ascii="Arial" w:eastAsia="Arial" w:hAnsi="Arial" w:cs="Arial"/>
          <w:color w:val="000000"/>
          <w:sz w:val="24"/>
          <w:szCs w:val="24"/>
        </w:rPr>
        <w:t>promptly provide to the Buyer:</w:t>
      </w:r>
    </w:p>
    <w:p w14:paraId="696F7AD8"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4C896E5"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such other information in relation to the Tax Compliance Failure as the Buyer may reasonably require.</w:t>
      </w:r>
    </w:p>
    <w:p w14:paraId="4E51B4A5"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1" w:name="_heading=h.26in1rg" w:colFirst="0" w:colLast="0"/>
      <w:bookmarkEnd w:id="11"/>
      <w:r w:rsidRPr="00400489">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F8BF5AF" w14:textId="10716AD5"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Any amounts due under Paragraph 5.5 shall be paid not less than five (5) Working Days before the date upon which the Tax or other liab</w:t>
      </w:r>
      <w:r w:rsidR="00F4191E">
        <w:rPr>
          <w:rFonts w:ascii="Arial" w:eastAsia="Arial" w:hAnsi="Arial" w:cs="Arial"/>
          <w:color w:val="000000"/>
          <w:sz w:val="24"/>
          <w:szCs w:val="24"/>
        </w:rPr>
        <w:t xml:space="preserve">ility is payable by the Buyer. </w:t>
      </w:r>
      <w:r w:rsidRPr="00400489">
        <w:rPr>
          <w:rFonts w:ascii="Arial" w:eastAsia="Arial" w:hAnsi="Arial" w:cs="Arial"/>
          <w:color w:val="000000"/>
          <w:sz w:val="24"/>
          <w:szCs w:val="24"/>
        </w:rPr>
        <w:t xml:space="preserve">Any amounts due under Paragraph 5.5 shall not be subject to Clause 14.2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w:t>
      </w:r>
    </w:p>
    <w:p w14:paraId="275D08F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2" w:name="_heading=h.lnxbz9" w:colFirst="0" w:colLast="0"/>
      <w:bookmarkEnd w:id="12"/>
      <w:r w:rsidRPr="00400489">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372D2BF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If the Supplier: </w:t>
      </w:r>
    </w:p>
    <w:p w14:paraId="5AFC8CD4"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 xml:space="preserve">fails to comply with Paragraphs 5.1, 5.4.1 and/or 5.7 this may be a material breach of the Contract; </w:t>
      </w:r>
    </w:p>
    <w:p w14:paraId="25B382A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72A7E7C7"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fails to provide acceptable details of steps being taken and mitigating factors pursuant to Paragraph 5.4.2 this shall be a material breach of the Contract;</w:t>
      </w:r>
    </w:p>
    <w:p w14:paraId="2E73B674" w14:textId="77C1C627" w:rsidR="006B0EB1" w:rsidRPr="00400489" w:rsidRDefault="00CA7CC2" w:rsidP="00624A99">
      <w:pPr>
        <w:pStyle w:val="Heading2"/>
        <w:keepNext w:val="0"/>
        <w:keepLines w:val="0"/>
        <w:spacing w:before="120" w:after="120" w:line="240" w:lineRule="auto"/>
        <w:ind w:left="1134"/>
        <w:rPr>
          <w:rFonts w:ascii="Arial" w:eastAsia="Arial" w:hAnsi="Arial" w:cs="Arial"/>
          <w:color w:val="000000"/>
          <w:sz w:val="24"/>
          <w:szCs w:val="24"/>
        </w:rPr>
      </w:pPr>
      <w:r w:rsidRPr="00400489">
        <w:rPr>
          <w:rFonts w:ascii="Arial" w:eastAsia="Arial" w:hAnsi="Arial" w:cs="Arial"/>
          <w:color w:val="000000"/>
          <w:sz w:val="24"/>
          <w:szCs w:val="24"/>
        </w:rPr>
        <w:t xml:space="preserve">and any such material breach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282B4F0B" w14:textId="079F6618"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addition to those circumstances listed in Clause 18.2 to 18.4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the Buyer may internally share any information, including Confidential Information, which it receives under Paragraphs 5.2 to 5.4 (inclusive) and 5.7. </w:t>
      </w:r>
    </w:p>
    <w:p w14:paraId="208416BD"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3" w:name="_heading=h.35nkun2" w:colFirst="0" w:colLast="0"/>
      <w:bookmarkEnd w:id="13"/>
      <w:r w:rsidRPr="00400489">
        <w:rPr>
          <w:rFonts w:ascii="Arial" w:eastAsia="Arial" w:hAnsi="Arial" w:cs="Arial"/>
          <w:b/>
          <w:color w:val="000000"/>
          <w:sz w:val="24"/>
          <w:szCs w:val="24"/>
        </w:rPr>
        <w:t>Use of Off-shore Tax Structures</w:t>
      </w:r>
    </w:p>
    <w:p w14:paraId="06691DE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b/>
          <w:color w:val="000000"/>
          <w:sz w:val="24"/>
          <w:szCs w:val="24"/>
        </w:rPr>
      </w:pPr>
      <w:bookmarkStart w:id="14" w:name="_heading=h.1ksv4uv" w:colFirst="0" w:colLast="0"/>
      <w:bookmarkEnd w:id="14"/>
      <w:r w:rsidRPr="00400489">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9AD57E7"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5" w:name="_heading=h.44sinio" w:colFirst="0" w:colLast="0"/>
      <w:bookmarkEnd w:id="15"/>
      <w:r w:rsidRPr="00400489">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5A11EDBE" w14:textId="1CDF598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6" w:name="_heading=h.2jxsxqh" w:colFirst="0" w:colLast="0"/>
      <w:bookmarkEnd w:id="16"/>
      <w:r w:rsidRPr="00400489">
        <w:rPr>
          <w:rFonts w:ascii="Arial" w:eastAsia="Arial" w:hAnsi="Arial" w:cs="Arial"/>
          <w:color w:val="000000"/>
          <w:sz w:val="24"/>
          <w:szCs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38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if necessary.</w:t>
      </w:r>
    </w:p>
    <w:p w14:paraId="7CDA6E08" w14:textId="3B030BA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Supplier (or a Key Subcontractor) to comply with the obligations set out in Paragraphs 6.2 and 6.3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62BC2B3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Data Protection and off-shoring</w:t>
      </w:r>
    </w:p>
    <w:p w14:paraId="67D2654C" w14:textId="7F34A2F9" w:rsidR="006B0EB1" w:rsidRPr="00400489" w:rsidRDefault="00CB3CE3"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7" w:name="_heading=h.z337ya" w:colFirst="0" w:colLast="0"/>
      <w:bookmarkEnd w:id="17"/>
      <w:r w:rsidRPr="00400489">
        <w:rPr>
          <w:rFonts w:ascii="Arial" w:eastAsia="Arial" w:hAnsi="Arial" w:cs="Arial"/>
          <w:color w:val="000000"/>
          <w:sz w:val="24"/>
          <w:szCs w:val="24"/>
        </w:rPr>
        <w:t xml:space="preserve">In addition to its data protection responsibilities set out in the </w:t>
      </w:r>
      <w:r w:rsidR="008D118E" w:rsidRPr="00400489">
        <w:rPr>
          <w:rFonts w:ascii="Arial" w:eastAsia="Arial" w:hAnsi="Arial" w:cs="Arial"/>
          <w:color w:val="000000"/>
          <w:sz w:val="24"/>
          <w:szCs w:val="24"/>
        </w:rPr>
        <w:t>General</w:t>
      </w:r>
      <w:r w:rsidR="00624A99">
        <w:rPr>
          <w:rFonts w:ascii="Arial" w:eastAsia="Arial" w:hAnsi="Arial" w:cs="Arial"/>
          <w:color w:val="000000"/>
          <w:sz w:val="24"/>
          <w:szCs w:val="24"/>
        </w:rPr>
        <w:t xml:space="preserve"> Terms and Joint Schedule 10</w:t>
      </w:r>
      <w:r w:rsidRPr="00400489">
        <w:rPr>
          <w:rFonts w:ascii="Arial" w:eastAsia="Arial" w:hAnsi="Arial" w:cs="Arial"/>
          <w:color w:val="000000"/>
          <w:sz w:val="24"/>
          <w:szCs w:val="24"/>
        </w:rPr>
        <w:t xml:space="preserve"> </w:t>
      </w:r>
      <w:r w:rsidRPr="00624A99">
        <w:rPr>
          <w:rFonts w:ascii="Arial" w:eastAsia="Arial" w:hAnsi="Arial" w:cs="Arial"/>
          <w:i/>
          <w:color w:val="000000"/>
          <w:sz w:val="24"/>
          <w:szCs w:val="24"/>
        </w:rPr>
        <w:t>(Processing Data</w:t>
      </w:r>
      <w:r w:rsidR="00624A99" w:rsidRPr="00624A99">
        <w:rPr>
          <w:rFonts w:ascii="Arial" w:eastAsia="Arial" w:hAnsi="Arial" w:cs="Arial"/>
          <w:i/>
          <w:color w:val="000000"/>
          <w:sz w:val="24"/>
          <w:szCs w:val="24"/>
        </w:rPr>
        <w:t>)</w:t>
      </w:r>
      <w:r w:rsidRPr="00400489">
        <w:rPr>
          <w:rFonts w:ascii="Arial" w:eastAsia="Arial" w:hAnsi="Arial" w:cs="Arial"/>
          <w:color w:val="000000"/>
          <w:sz w:val="24"/>
          <w:szCs w:val="24"/>
        </w:rPr>
        <w:t>, t</w:t>
      </w:r>
      <w:r w:rsidR="00CA7CC2" w:rsidRPr="00400489">
        <w:rPr>
          <w:rFonts w:ascii="Arial" w:eastAsia="Arial" w:hAnsi="Arial" w:cs="Arial"/>
          <w:color w:val="000000"/>
          <w:sz w:val="24"/>
          <w:szCs w:val="24"/>
        </w:rPr>
        <w:t>he Processor shall, in relation to any Personal Data Processed in connection with its obligations under the Contract:</w:t>
      </w:r>
    </w:p>
    <w:p w14:paraId="0D84F4AC" w14:textId="590D0429"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 xml:space="preserve">not transfer Personal Data outside of the United Kingdom unless the prior written consent of the Controller has been obtained </w:t>
      </w:r>
      <w:r w:rsidR="00CB3CE3" w:rsidRPr="00400489">
        <w:rPr>
          <w:rFonts w:ascii="Arial" w:eastAsia="Arial" w:hAnsi="Arial" w:cs="Arial"/>
          <w:color w:val="000000"/>
          <w:sz w:val="24"/>
          <w:szCs w:val="24"/>
        </w:rPr>
        <w:t xml:space="preserve">(which requirement for the Controller's prior written consent </w:t>
      </w:r>
      <w:r w:rsidR="008E0638" w:rsidRPr="00400489">
        <w:rPr>
          <w:rFonts w:ascii="Arial" w:eastAsia="Arial" w:hAnsi="Arial" w:cs="Arial"/>
          <w:color w:val="000000"/>
          <w:sz w:val="24"/>
          <w:szCs w:val="24"/>
        </w:rPr>
        <w:t xml:space="preserve">to any proposed transfer outside of the United Kingdom </w:t>
      </w:r>
      <w:r w:rsidR="00CB3CE3" w:rsidRPr="00400489">
        <w:rPr>
          <w:rFonts w:ascii="Arial" w:eastAsia="Arial" w:hAnsi="Arial" w:cs="Arial"/>
          <w:color w:val="000000"/>
          <w:sz w:val="24"/>
          <w:szCs w:val="24"/>
        </w:rPr>
        <w:t>shall apply</w:t>
      </w:r>
      <w:r w:rsidR="00F76A94" w:rsidRPr="00400489">
        <w:rPr>
          <w:rFonts w:ascii="Arial" w:eastAsia="Arial" w:hAnsi="Arial" w:cs="Arial"/>
          <w:color w:val="000000"/>
          <w:sz w:val="24"/>
          <w:szCs w:val="24"/>
        </w:rPr>
        <w:t xml:space="preserve"> </w:t>
      </w:r>
      <w:r w:rsidR="00F76A94" w:rsidRPr="00400489">
        <w:rPr>
          <w:rFonts w:ascii="Arial" w:eastAsia="Arial" w:hAnsi="Arial" w:cs="Arial"/>
          <w:color w:val="000000"/>
          <w:sz w:val="24"/>
          <w:szCs w:val="24"/>
        </w:rPr>
        <w:lastRenderedPageBreak/>
        <w:t>notwithstanding any provisions</w:t>
      </w:r>
      <w:r w:rsidR="00CB3CE3" w:rsidRPr="00400489">
        <w:rPr>
          <w:rFonts w:ascii="Arial" w:eastAsia="Arial" w:hAnsi="Arial" w:cs="Arial"/>
          <w:color w:val="000000"/>
          <w:sz w:val="24"/>
          <w:szCs w:val="24"/>
        </w:rPr>
        <w:t xml:space="preserve"> to t</w:t>
      </w:r>
      <w:r w:rsidR="00624A99">
        <w:rPr>
          <w:rFonts w:ascii="Arial" w:eastAsia="Arial" w:hAnsi="Arial" w:cs="Arial"/>
          <w:color w:val="000000"/>
          <w:sz w:val="24"/>
          <w:szCs w:val="24"/>
        </w:rPr>
        <w:t>he contrary in Joint Schedule 10</w:t>
      </w:r>
      <w:r w:rsidR="00CB3CE3" w:rsidRPr="00400489">
        <w:rPr>
          <w:rFonts w:ascii="Arial" w:eastAsia="Arial" w:hAnsi="Arial" w:cs="Arial"/>
          <w:color w:val="000000"/>
          <w:sz w:val="24"/>
          <w:szCs w:val="24"/>
        </w:rPr>
        <w:t xml:space="preserve"> </w:t>
      </w:r>
      <w:r w:rsidR="00CB3CE3" w:rsidRPr="00624A99">
        <w:rPr>
          <w:rFonts w:ascii="Arial" w:eastAsia="Arial" w:hAnsi="Arial" w:cs="Arial"/>
          <w:i/>
          <w:color w:val="000000"/>
          <w:sz w:val="24"/>
          <w:szCs w:val="24"/>
        </w:rPr>
        <w:t>(Processing Data)</w:t>
      </w:r>
      <w:r w:rsidR="00CB3CE3" w:rsidRPr="00400489">
        <w:rPr>
          <w:rFonts w:ascii="Arial" w:eastAsia="Arial" w:hAnsi="Arial" w:cs="Arial"/>
          <w:color w:val="000000"/>
          <w:sz w:val="24"/>
          <w:szCs w:val="24"/>
        </w:rPr>
        <w:t xml:space="preserve">) </w:t>
      </w:r>
      <w:r w:rsidRPr="00400489">
        <w:rPr>
          <w:rFonts w:ascii="Arial" w:eastAsia="Arial" w:hAnsi="Arial" w:cs="Arial"/>
          <w:color w:val="000000"/>
          <w:sz w:val="24"/>
          <w:szCs w:val="24"/>
        </w:rPr>
        <w:t>and the following conditions are fulfilled:</w:t>
      </w:r>
    </w:p>
    <w:p w14:paraId="40AB18B7" w14:textId="278C025D"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 xml:space="preserve">the Controller or the Processor has provided appropriate safeguards in relation to the transfer (whether in accordance with </w:t>
      </w:r>
      <w:r w:rsidR="00CB3CE3" w:rsidRPr="00400489">
        <w:rPr>
          <w:rFonts w:ascii="Arial" w:eastAsia="Arial" w:hAnsi="Arial" w:cs="Arial"/>
          <w:color w:val="000000"/>
          <w:sz w:val="24"/>
          <w:szCs w:val="24"/>
        </w:rPr>
        <w:t xml:space="preserve">UK </w:t>
      </w:r>
      <w:r w:rsidRPr="00400489">
        <w:rPr>
          <w:rFonts w:ascii="Arial" w:eastAsia="Arial" w:hAnsi="Arial" w:cs="Arial"/>
          <w:color w:val="000000"/>
          <w:sz w:val="24"/>
          <w:szCs w:val="24"/>
        </w:rPr>
        <w:t xml:space="preserve">GDPR Article 46 or </w:t>
      </w:r>
      <w:r w:rsidR="00CB3CE3" w:rsidRPr="00400489">
        <w:rPr>
          <w:rFonts w:ascii="Arial" w:eastAsia="Arial" w:hAnsi="Arial" w:cs="Arial"/>
          <w:color w:val="000000"/>
          <w:sz w:val="24"/>
          <w:szCs w:val="24"/>
        </w:rPr>
        <w:t xml:space="preserve">DPA 2018 Section 75 or EU GDP </w:t>
      </w:r>
      <w:r w:rsidRPr="00400489">
        <w:rPr>
          <w:rFonts w:ascii="Arial" w:eastAsia="Arial" w:hAnsi="Arial" w:cs="Arial"/>
          <w:color w:val="000000"/>
          <w:sz w:val="24"/>
          <w:szCs w:val="24"/>
        </w:rPr>
        <w:t xml:space="preserve">Article </w:t>
      </w:r>
      <w:r w:rsidR="00CB3CE3" w:rsidRPr="00400489">
        <w:rPr>
          <w:rFonts w:ascii="Arial" w:eastAsia="Arial" w:hAnsi="Arial" w:cs="Arial"/>
          <w:color w:val="000000"/>
          <w:sz w:val="24"/>
          <w:szCs w:val="24"/>
        </w:rPr>
        <w:t>46</w:t>
      </w:r>
      <w:r w:rsidRPr="00400489">
        <w:rPr>
          <w:rFonts w:ascii="Arial" w:eastAsia="Arial" w:hAnsi="Arial" w:cs="Arial"/>
          <w:color w:val="000000"/>
          <w:sz w:val="24"/>
          <w:szCs w:val="24"/>
        </w:rPr>
        <w:t>) as determined by the Controller;</w:t>
      </w:r>
    </w:p>
    <w:p w14:paraId="7EE00117"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Data Subject has enforceable rights and effective legal remedies;</w:t>
      </w:r>
    </w:p>
    <w:p w14:paraId="7296BCAC"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BD1134A" w14:textId="41437071"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any reasonable instructions notified to it in advance by the Controller with respect to the Processing of the Personal Data</w:t>
      </w:r>
      <w:r w:rsidR="00C97E5C" w:rsidRPr="00400489">
        <w:rPr>
          <w:rFonts w:ascii="Arial" w:eastAsia="Arial" w:hAnsi="Arial" w:cs="Arial"/>
          <w:color w:val="000000"/>
          <w:sz w:val="24"/>
          <w:szCs w:val="24"/>
        </w:rPr>
        <w:t>.</w:t>
      </w:r>
    </w:p>
    <w:p w14:paraId="3EDDBAA6" w14:textId="3AD154FF"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Processor to comply with the obligations set out in Paragraph 7.1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shall apply as if the Contract had been terminated under Clause 13.3.1. </w:t>
      </w:r>
    </w:p>
    <w:p w14:paraId="5B4E580E"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8" w:name="_heading=h.3j2qqm3" w:colFirst="0" w:colLast="0"/>
      <w:bookmarkEnd w:id="18"/>
      <w:r w:rsidRPr="00400489">
        <w:rPr>
          <w:rFonts w:ascii="Arial" w:eastAsia="Arial" w:hAnsi="Arial" w:cs="Arial"/>
          <w:b/>
          <w:color w:val="000000"/>
          <w:sz w:val="24"/>
          <w:szCs w:val="24"/>
        </w:rPr>
        <w:t xml:space="preserve">Commissioners for Revenue and Customs Act 2005 and related Legislation </w:t>
      </w:r>
    </w:p>
    <w:p w14:paraId="6795048C"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9" w:name="_heading=h.1y810tw" w:colFirst="0" w:colLast="0"/>
      <w:bookmarkEnd w:id="19"/>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sidRPr="00400489">
        <w:rPr>
          <w:rFonts w:ascii="Arial" w:eastAsia="Arial" w:hAnsi="Arial" w:cs="Arial"/>
          <w:b/>
          <w:color w:val="000000"/>
          <w:sz w:val="24"/>
          <w:szCs w:val="24"/>
        </w:rPr>
        <w:t>CRCA</w:t>
      </w:r>
      <w:r w:rsidRPr="00400489">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5ADC6B8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400489">
        <w:rPr>
          <w:rFonts w:ascii="Arial" w:hAnsi="Arial" w:cs="Arial"/>
          <w:i/>
          <w:color w:val="000000"/>
          <w:sz w:val="24"/>
          <w:szCs w:val="24"/>
        </w:rPr>
        <w:t xml:space="preserve"> </w:t>
      </w:r>
      <w:r w:rsidRPr="00400489">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55167090"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58E91F9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026D2D6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172E06B" w14:textId="711DE50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w:t>
      </w:r>
    </w:p>
    <w:p w14:paraId="1F183E38" w14:textId="77777777" w:rsidR="006B0EB1" w:rsidRPr="00400489" w:rsidRDefault="00CA7CC2" w:rsidP="00624A99">
      <w:pPr>
        <w:spacing w:before="120" w:after="120" w:line="240" w:lineRule="auto"/>
        <w:rPr>
          <w:rFonts w:eastAsia="Arial"/>
          <w:b/>
        </w:rPr>
      </w:pPr>
      <w:r w:rsidRPr="00400489">
        <w:br w:type="page"/>
      </w:r>
      <w:r w:rsidRPr="00400489">
        <w:rPr>
          <w:rFonts w:eastAsia="Arial"/>
          <w:b/>
        </w:rPr>
        <w:lastRenderedPageBreak/>
        <w:t>Annex 1</w:t>
      </w:r>
    </w:p>
    <w:p w14:paraId="0017B08E" w14:textId="77777777" w:rsidR="006B0EB1" w:rsidRPr="00400489" w:rsidRDefault="00CA7CC2" w:rsidP="00624A99">
      <w:pPr>
        <w:spacing w:before="120" w:after="120" w:line="240" w:lineRule="auto"/>
        <w:rPr>
          <w:rFonts w:eastAsia="Arial"/>
          <w:b/>
        </w:rPr>
      </w:pPr>
      <w:r w:rsidRPr="00400489">
        <w:rPr>
          <w:rFonts w:eastAsia="Arial"/>
          <w:b/>
        </w:rPr>
        <w:t>Excerpt from HMRC’s “Test for Tax Non-Compliance”</w:t>
      </w:r>
    </w:p>
    <w:p w14:paraId="6254E96C" w14:textId="38E4629E"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one (An in-scope entity or person)</w:t>
      </w:r>
    </w:p>
    <w:p w14:paraId="02791FDC" w14:textId="7E88954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There is a person or entity which is either: (“X”)</w:t>
      </w:r>
    </w:p>
    <w:p w14:paraId="7BC7E734" w14:textId="248B9D3C"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The Economic Operator or Essential Subcontractor (EOS)</w:t>
      </w:r>
      <w:r w:rsidR="007C3396">
        <w:rPr>
          <w:rFonts w:eastAsia="Arial"/>
        </w:rPr>
        <w:t>;</w:t>
      </w:r>
    </w:p>
    <w:p w14:paraId="3EFD9D25"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 xml:space="preserve">Part of the same Group of companies of EOS. An entity will be treated as within the same Group of EOS where that entities’ financial statements would be required to be consolidated with those of EOS if prepared in accordance with </w:t>
      </w:r>
      <w:r w:rsidRPr="00400489">
        <w:rPr>
          <w:rFonts w:eastAsia="Arial"/>
          <w:i/>
        </w:rPr>
        <w:t>IFRS 10 Consolidated Financial Accounts</w:t>
      </w:r>
      <w:r w:rsidRPr="00400489">
        <w:rPr>
          <w:rFonts w:eastAsia="Arial"/>
          <w:i/>
          <w:vertAlign w:val="superscript"/>
        </w:rPr>
        <w:footnoteReference w:id="1"/>
      </w:r>
      <w:r w:rsidRPr="00400489">
        <w:rPr>
          <w:rFonts w:eastAsia="Arial"/>
        </w:rPr>
        <w:t>;</w:t>
      </w:r>
    </w:p>
    <w:p w14:paraId="5F9F9CDF"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Any director, shareholder or other person (P) which exercises control over EOS. ‘Control’ means P can secure, through holding of shares or powers under articles of association or other document that EOS’s affairs are conducted in accordance with P’s wishes.</w:t>
      </w:r>
    </w:p>
    <w:p w14:paraId="0951F8E0"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28C54D6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two (Arrangements involving evasion, abuse or tax avoidance)</w:t>
      </w:r>
    </w:p>
    <w:p w14:paraId="5A54308F" w14:textId="01547A2F"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X has been engaged in one or more of the following:</w:t>
      </w:r>
    </w:p>
    <w:p w14:paraId="6AD7D21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Fraudulent evasion</w:t>
      </w:r>
      <w:r w:rsidRPr="00400489">
        <w:rPr>
          <w:rFonts w:eastAsia="Arial"/>
          <w:vertAlign w:val="superscript"/>
        </w:rPr>
        <w:footnoteReference w:id="2"/>
      </w:r>
      <w:r w:rsidRPr="00400489">
        <w:rPr>
          <w:rFonts w:eastAsia="Arial"/>
        </w:rPr>
        <w:t>;</w:t>
      </w:r>
    </w:p>
    <w:p w14:paraId="40252C2C"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General Anti-Abuse Rule</w:t>
      </w:r>
      <w:r w:rsidRPr="00400489">
        <w:rPr>
          <w:rFonts w:eastAsia="Arial"/>
          <w:vertAlign w:val="superscript"/>
        </w:rPr>
        <w:footnoteReference w:id="3"/>
      </w:r>
      <w:r w:rsidRPr="00400489">
        <w:rPr>
          <w:rFonts w:eastAsia="Arial"/>
        </w:rPr>
        <w:t>;</w:t>
      </w:r>
    </w:p>
    <w:p w14:paraId="787434E3"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Halifax Abuse principle</w:t>
      </w:r>
      <w:r w:rsidRPr="00400489">
        <w:rPr>
          <w:rFonts w:eastAsia="Arial"/>
          <w:vertAlign w:val="superscript"/>
        </w:rPr>
        <w:footnoteReference w:id="4"/>
      </w:r>
      <w:r w:rsidRPr="00400489">
        <w:rPr>
          <w:rFonts w:eastAsia="Arial"/>
        </w:rPr>
        <w:t>;</w:t>
      </w:r>
    </w:p>
    <w:p w14:paraId="1F8AB8D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arrangements caught by a DOTAS or VADR scheme</w:t>
      </w:r>
      <w:r w:rsidRPr="00400489">
        <w:rPr>
          <w:rFonts w:eastAsia="Arial"/>
          <w:vertAlign w:val="superscript"/>
        </w:rPr>
        <w:footnoteReference w:id="5"/>
      </w:r>
      <w:r w:rsidRPr="00400489">
        <w:rPr>
          <w:rFonts w:eastAsia="Arial"/>
        </w:rPr>
        <w:t>;</w:t>
      </w:r>
    </w:p>
    <w:p w14:paraId="17224A75"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a recognised ‘anti-avoidance rule’</w:t>
      </w:r>
      <w:r w:rsidRPr="00400489">
        <w:rPr>
          <w:rFonts w:eastAsia="Arial"/>
          <w:vertAlign w:val="superscript"/>
        </w:rPr>
        <w:footnoteReference w:id="6"/>
      </w:r>
      <w:r w:rsidRPr="00400489">
        <w:rPr>
          <w:rFonts w:eastAsia="Arial"/>
        </w:rPr>
        <w:t xml:space="preserve"> being a statutory provision which targets arrangements where either a main purpose, or an expected benefit, is to obtain a tax advantage or where the arrangement is not effected for commercial purposes. ‘Targeted Anti-Avoidance Rules’ (TAARs). </w:t>
      </w:r>
      <w:r w:rsidRPr="00400489">
        <w:rPr>
          <w:rFonts w:eastAsia="Arial"/>
        </w:rPr>
        <w:lastRenderedPageBreak/>
        <w:t>It may be useful to confirm that the Diverted Profits Tax is a TAAR for these purposes;</w:t>
      </w:r>
    </w:p>
    <w:p w14:paraId="21F6DDF0"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an avoidance scheme identified by HMRC’s published Spotlights list</w:t>
      </w:r>
      <w:r w:rsidRPr="00400489">
        <w:rPr>
          <w:rFonts w:eastAsia="Arial"/>
          <w:vertAlign w:val="superscript"/>
        </w:rPr>
        <w:footnoteReference w:id="7"/>
      </w:r>
      <w:r w:rsidRPr="00400489">
        <w:rPr>
          <w:rFonts w:eastAsia="Arial"/>
        </w:rPr>
        <w:t>;</w:t>
      </w:r>
    </w:p>
    <w:p w14:paraId="04432FFA"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Engaged in conduct which falls under rules in other jurisdictions which are equivalent or similar to (a) to (f) above.</w:t>
      </w:r>
    </w:p>
    <w:p w14:paraId="20943B46"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three (Arrangements are admitted, or subject to litigation/prosecution or identified in a published list (Spotlights))</w:t>
      </w:r>
    </w:p>
    <w:p w14:paraId="71C09E7F" w14:textId="7C92536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 xml:space="preserve">X’s activity in </w:t>
      </w:r>
      <w:r w:rsidRPr="00400489">
        <w:rPr>
          <w:rFonts w:eastAsia="Arial"/>
          <w:i/>
        </w:rPr>
        <w:t>Condition 2</w:t>
      </w:r>
      <w:r w:rsidRPr="00400489">
        <w:rPr>
          <w:rFonts w:eastAsia="Arial"/>
        </w:rPr>
        <w:t xml:space="preserve"> is, where applicable, subject to dispute and/or litigation as follows:</w:t>
      </w:r>
    </w:p>
    <w:p w14:paraId="058D58C3"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(a), either X:</w:t>
      </w:r>
    </w:p>
    <w:p w14:paraId="1A92F69A"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Has accepted the terms of an offer made under a Contractual Disclosure Facility (CDF) pursuant to the Code of Practice 9 (COP9) procedure</w:t>
      </w:r>
      <w:r w:rsidRPr="00400489">
        <w:rPr>
          <w:rFonts w:eastAsia="Arial"/>
          <w:vertAlign w:val="superscript"/>
        </w:rPr>
        <w:footnoteReference w:id="8"/>
      </w:r>
      <w:r w:rsidRPr="00400489">
        <w:rPr>
          <w:rFonts w:eastAsia="Arial"/>
        </w:rPr>
        <w:t>; or,</w:t>
      </w:r>
    </w:p>
    <w:p w14:paraId="2E458ACB"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 xml:space="preserve">Has been charged with an offence of fraudulent evasion. </w:t>
      </w:r>
    </w:p>
    <w:p w14:paraId="3CEA6AA8"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80A91DE"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during an HMRC enquiry, if it has been agreed between HMRC and X that there is a pause with the enquiry in order to await the outcome of related litigation.</w:t>
      </w:r>
    </w:p>
    <w:p w14:paraId="188A952B"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(f) this condition is satisfied without any further steps being taken.</w:t>
      </w:r>
    </w:p>
    <w:p w14:paraId="178949D9"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(g) the foreign equivalent to each of the corresponding steps set out above in (</w:t>
      </w:r>
      <w:proofErr w:type="spellStart"/>
      <w:r w:rsidRPr="00400489">
        <w:rPr>
          <w:rFonts w:eastAsia="Arial"/>
        </w:rPr>
        <w:t>i</w:t>
      </w:r>
      <w:proofErr w:type="spellEnd"/>
      <w:r w:rsidRPr="00400489">
        <w:rPr>
          <w:rFonts w:eastAsia="Arial"/>
        </w:rPr>
        <w:t>) to (iii).</w:t>
      </w:r>
    </w:p>
    <w:p w14:paraId="08E2B84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7CC4BA08" w14:textId="77777777" w:rsidR="006B0EB1" w:rsidRPr="00400489" w:rsidRDefault="00CA7CC2" w:rsidP="00624A99">
      <w:pPr>
        <w:pStyle w:val="Heading3"/>
        <w:keepNext w:val="0"/>
        <w:keepLines w:val="0"/>
        <w:spacing w:before="120" w:after="120" w:line="240" w:lineRule="auto"/>
        <w:rPr>
          <w:rFonts w:ascii="Arial" w:eastAsia="Arial" w:hAnsi="Arial" w:cs="Arial"/>
          <w:color w:val="000000"/>
        </w:rPr>
      </w:pPr>
      <w:r w:rsidRPr="00400489">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2221CC3B" w14:textId="77777777" w:rsidR="006B0EB1" w:rsidRPr="00400489" w:rsidRDefault="00CA7CC2" w:rsidP="00624A99">
      <w:pPr>
        <w:spacing w:before="120" w:after="120" w:line="240" w:lineRule="auto"/>
        <w:rPr>
          <w:rFonts w:eastAsia="Arial"/>
        </w:rPr>
      </w:pPr>
      <w:r w:rsidRPr="00400489">
        <w:br w:type="page"/>
      </w:r>
    </w:p>
    <w:p w14:paraId="05A4A8B6" w14:textId="77777777" w:rsidR="006B0EB1" w:rsidRPr="00400489" w:rsidRDefault="00CA7CC2" w:rsidP="00624A99">
      <w:pPr>
        <w:spacing w:before="120" w:after="120" w:line="240" w:lineRule="auto"/>
        <w:rPr>
          <w:rFonts w:eastAsia="Arial"/>
          <w:b/>
        </w:rPr>
      </w:pPr>
      <w:r w:rsidRPr="00400489">
        <w:rPr>
          <w:rFonts w:eastAsia="Arial"/>
          <w:b/>
        </w:rPr>
        <w:lastRenderedPageBreak/>
        <w:t xml:space="preserve">Annex 2 Form </w:t>
      </w:r>
    </w:p>
    <w:p w14:paraId="18E90737" w14:textId="77777777" w:rsidR="006B0EB1" w:rsidRPr="00400489" w:rsidRDefault="00CA7CC2" w:rsidP="00624A99">
      <w:pPr>
        <w:spacing w:before="120" w:after="120" w:line="240" w:lineRule="auto"/>
        <w:rPr>
          <w:rFonts w:eastAsia="Arial"/>
          <w:b/>
        </w:rPr>
      </w:pPr>
      <w:r w:rsidRPr="00400489">
        <w:rPr>
          <w:rFonts w:eastAsia="Arial"/>
          <w:b/>
        </w:rPr>
        <w:t xml:space="preserve">CONFIDENTIALITY DECLARATION </w:t>
      </w:r>
    </w:p>
    <w:p w14:paraId="3EC68C31" w14:textId="77777777" w:rsidR="006B0EB1" w:rsidRPr="00400489" w:rsidRDefault="00CA7CC2" w:rsidP="00624A99">
      <w:pPr>
        <w:spacing w:before="120" w:after="120" w:line="240" w:lineRule="auto"/>
        <w:rPr>
          <w:rFonts w:eastAsia="Arial"/>
        </w:rPr>
      </w:pPr>
      <w:r w:rsidRPr="00400489">
        <w:rPr>
          <w:rFonts w:eastAsia="Arial"/>
        </w:rPr>
        <w:t>CONTRACT REFERENCE: [</w:t>
      </w:r>
      <w:r w:rsidRPr="00400489">
        <w:rPr>
          <w:rFonts w:eastAsia="Arial"/>
          <w:highlight w:val="yellow"/>
        </w:rPr>
        <w:t>for Supplier to insert Contract reference number and contract date</w:t>
      </w:r>
      <w:r w:rsidRPr="00400489">
        <w:rPr>
          <w:rFonts w:eastAsia="Arial"/>
        </w:rPr>
        <w:t>] ((‘the Agreement’)</w:t>
      </w:r>
    </w:p>
    <w:p w14:paraId="61FD0B04" w14:textId="77777777" w:rsidR="006B0EB1" w:rsidRPr="00400489" w:rsidRDefault="00CA7CC2" w:rsidP="00624A99">
      <w:pPr>
        <w:spacing w:before="120" w:after="120" w:line="240" w:lineRule="auto"/>
        <w:rPr>
          <w:rFonts w:eastAsia="Arial"/>
        </w:rPr>
      </w:pPr>
      <w:r w:rsidRPr="00400489">
        <w:rPr>
          <w:rFonts w:eastAsia="Arial"/>
        </w:rPr>
        <w:t>DECLARATION:</w:t>
      </w:r>
    </w:p>
    <w:p w14:paraId="439C82C7" w14:textId="77777777" w:rsidR="006B0EB1" w:rsidRPr="00400489" w:rsidRDefault="00CA7CC2" w:rsidP="00624A99">
      <w:pPr>
        <w:spacing w:before="120" w:after="120" w:line="240" w:lineRule="auto"/>
        <w:rPr>
          <w:rFonts w:eastAsia="Arial"/>
        </w:rPr>
      </w:pPr>
      <w:r w:rsidRPr="00400489">
        <w:rPr>
          <w:rFonts w:eastAsia="Arial"/>
        </w:rPr>
        <w:t xml:space="preserve">I solemnly declare that: </w:t>
      </w:r>
    </w:p>
    <w:p w14:paraId="6651DC77"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I am aware that the duty of confidentiality imposed by section 18 of the Commissioners for Revenue and Customs Act 2005 applies to Government Data (as defined in the Agreement) that has been or will be provided to me in accordance with the Agreement.</w:t>
      </w:r>
    </w:p>
    <w:p w14:paraId="6D83A8B4"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 xml:space="preserve">I understand and acknowledge that under Section 19 of the Commissioners for Revenue and Customs Act 2005 it may be a criminal offence to disclose any Government Data provided to me. </w:t>
      </w:r>
    </w:p>
    <w:p w14:paraId="6EEBFBAC" w14:textId="77777777" w:rsidR="006B0EB1" w:rsidRPr="00400489" w:rsidRDefault="006B0EB1" w:rsidP="00624A99">
      <w:pPr>
        <w:pBdr>
          <w:top w:val="nil"/>
          <w:left w:val="nil"/>
          <w:bottom w:val="nil"/>
          <w:right w:val="nil"/>
          <w:between w:val="nil"/>
        </w:pBdr>
        <w:spacing w:before="120" w:after="120" w:line="240" w:lineRule="auto"/>
        <w:ind w:left="426"/>
        <w:rPr>
          <w:rFonts w:eastAsia="Arial"/>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B0EB1" w:rsidRPr="00400489" w14:paraId="4AFC57EE" w14:textId="77777777">
        <w:tc>
          <w:tcPr>
            <w:tcW w:w="5670" w:type="dxa"/>
          </w:tcPr>
          <w:p w14:paraId="6E22E01B" w14:textId="77777777" w:rsidR="006B0EB1" w:rsidRPr="00400489" w:rsidRDefault="00CA7CC2" w:rsidP="00624A99">
            <w:pPr>
              <w:spacing w:before="120" w:after="120"/>
              <w:rPr>
                <w:rFonts w:eastAsia="Arial"/>
              </w:rPr>
            </w:pPr>
            <w:r w:rsidRPr="00400489">
              <w:rPr>
                <w:rFonts w:eastAsia="Arial"/>
              </w:rPr>
              <w:t>SIGNED:</w:t>
            </w:r>
          </w:p>
        </w:tc>
      </w:tr>
      <w:tr w:rsidR="006B0EB1" w:rsidRPr="00400489" w14:paraId="454C9767" w14:textId="77777777">
        <w:tc>
          <w:tcPr>
            <w:tcW w:w="5670" w:type="dxa"/>
          </w:tcPr>
          <w:p w14:paraId="4DC6237F" w14:textId="77777777" w:rsidR="006B0EB1" w:rsidRPr="00400489" w:rsidRDefault="00CA7CC2" w:rsidP="00624A99">
            <w:pPr>
              <w:spacing w:before="120" w:after="120"/>
              <w:rPr>
                <w:rFonts w:eastAsia="Arial"/>
              </w:rPr>
            </w:pPr>
            <w:r w:rsidRPr="00400489">
              <w:rPr>
                <w:rFonts w:eastAsia="Arial"/>
              </w:rPr>
              <w:t>FULL NAME:</w:t>
            </w:r>
          </w:p>
        </w:tc>
      </w:tr>
      <w:tr w:rsidR="006B0EB1" w:rsidRPr="00400489" w14:paraId="44A88B76" w14:textId="77777777">
        <w:tc>
          <w:tcPr>
            <w:tcW w:w="5670" w:type="dxa"/>
          </w:tcPr>
          <w:p w14:paraId="26592336" w14:textId="77777777" w:rsidR="006B0EB1" w:rsidRPr="00400489" w:rsidRDefault="00CA7CC2" w:rsidP="00624A99">
            <w:pPr>
              <w:spacing w:before="120" w:after="120"/>
              <w:rPr>
                <w:rFonts w:eastAsia="Arial"/>
              </w:rPr>
            </w:pPr>
            <w:r w:rsidRPr="00400489">
              <w:rPr>
                <w:rFonts w:eastAsia="Arial"/>
              </w:rPr>
              <w:t>POSITION:</w:t>
            </w:r>
          </w:p>
        </w:tc>
      </w:tr>
      <w:tr w:rsidR="006B0EB1" w:rsidRPr="00400489" w14:paraId="06781E0E" w14:textId="77777777">
        <w:tc>
          <w:tcPr>
            <w:tcW w:w="5670" w:type="dxa"/>
          </w:tcPr>
          <w:p w14:paraId="10FAF43A" w14:textId="77777777" w:rsidR="006B0EB1" w:rsidRPr="00400489" w:rsidRDefault="00CA7CC2" w:rsidP="00624A99">
            <w:pPr>
              <w:spacing w:before="120" w:after="120"/>
              <w:rPr>
                <w:rFonts w:eastAsia="Arial"/>
              </w:rPr>
            </w:pPr>
            <w:r w:rsidRPr="00400489">
              <w:rPr>
                <w:rFonts w:eastAsia="Arial"/>
              </w:rPr>
              <w:t xml:space="preserve">COMPANY: </w:t>
            </w:r>
          </w:p>
        </w:tc>
      </w:tr>
      <w:tr w:rsidR="006B0EB1" w:rsidRPr="00400489" w14:paraId="45C7556A" w14:textId="77777777">
        <w:tc>
          <w:tcPr>
            <w:tcW w:w="5670" w:type="dxa"/>
          </w:tcPr>
          <w:p w14:paraId="4925AF6A" w14:textId="77777777" w:rsidR="006B0EB1" w:rsidRPr="00400489" w:rsidRDefault="00CA7CC2" w:rsidP="00624A99">
            <w:pPr>
              <w:spacing w:before="120" w:after="120"/>
              <w:rPr>
                <w:rFonts w:eastAsia="Arial"/>
              </w:rPr>
            </w:pPr>
            <w:r w:rsidRPr="00400489">
              <w:rPr>
                <w:rFonts w:eastAsia="Arial"/>
              </w:rPr>
              <w:t xml:space="preserve">DATE OF SIGNITURE: </w:t>
            </w:r>
          </w:p>
        </w:tc>
      </w:tr>
    </w:tbl>
    <w:p w14:paraId="0B24B088" w14:textId="77777777" w:rsidR="006B0EB1" w:rsidRDefault="006B0EB1" w:rsidP="00624A99">
      <w:pPr>
        <w:spacing w:before="120" w:after="120" w:line="240" w:lineRule="auto"/>
        <w:rPr>
          <w:rFonts w:eastAsia="Arial"/>
        </w:rPr>
      </w:pPr>
    </w:p>
    <w:p w14:paraId="19950FE6" w14:textId="77777777" w:rsidR="006B0EB1" w:rsidRDefault="006B0EB1" w:rsidP="00624A99">
      <w:pPr>
        <w:spacing w:before="120" w:after="120" w:line="240" w:lineRule="auto"/>
        <w:rPr>
          <w:rFonts w:eastAsia="Arial"/>
        </w:rPr>
      </w:pPr>
    </w:p>
    <w:p w14:paraId="068FB0C4" w14:textId="77777777" w:rsidR="006B0EB1" w:rsidRDefault="006B0EB1" w:rsidP="00624A99">
      <w:pPr>
        <w:spacing w:before="120" w:after="120" w:line="240" w:lineRule="auto"/>
        <w:rPr>
          <w:rFonts w:eastAsia="Arial"/>
        </w:rPr>
      </w:pPr>
    </w:p>
    <w:p w14:paraId="517D0A3F" w14:textId="77777777" w:rsidR="006B0EB1" w:rsidRDefault="006B0EB1" w:rsidP="00624A99">
      <w:pPr>
        <w:spacing w:before="120" w:after="120" w:line="240" w:lineRule="auto"/>
      </w:pPr>
    </w:p>
    <w:sectPr w:rsidR="006B0EB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7516" w14:textId="77777777" w:rsidR="001D089E" w:rsidRDefault="001D089E">
      <w:pPr>
        <w:spacing w:after="0" w:line="240" w:lineRule="auto"/>
      </w:pPr>
      <w:r>
        <w:separator/>
      </w:r>
    </w:p>
  </w:endnote>
  <w:endnote w:type="continuationSeparator" w:id="0">
    <w:p w14:paraId="66C2B5FC" w14:textId="77777777" w:rsidR="001D089E" w:rsidRDefault="001D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6BB6" w14:textId="77777777" w:rsidR="00400489" w:rsidRDefault="00400489" w:rsidP="00400489">
    <w:pPr>
      <w:tabs>
        <w:tab w:val="center" w:pos="4513"/>
        <w:tab w:val="right" w:pos="9026"/>
      </w:tabs>
      <w:spacing w:after="0" w:line="240" w:lineRule="auto"/>
      <w:rPr>
        <w:rFonts w:eastAsia="Arial"/>
        <w:sz w:val="20"/>
        <w:szCs w:val="20"/>
      </w:rPr>
    </w:pPr>
  </w:p>
  <w:p w14:paraId="33065DCB" w14:textId="1D8C785F"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Framework Ref: RM</w:t>
    </w:r>
    <w:r w:rsidR="00F82BBF" w:rsidRPr="00F82BBF">
      <w:rPr>
        <w:rFonts w:eastAsia="Arial"/>
        <w:sz w:val="20"/>
        <w:szCs w:val="20"/>
      </w:rPr>
      <w:t>1557.15</w:t>
    </w:r>
    <w:r>
      <w:rPr>
        <w:rFonts w:eastAsia="Arial"/>
        <w:sz w:val="20"/>
        <w:szCs w:val="20"/>
      </w:rPr>
      <w:tab/>
      <w:t xml:space="preserve">                                           </w:t>
    </w:r>
  </w:p>
  <w:p w14:paraId="16490539" w14:textId="7CD61440"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930599">
      <w:rPr>
        <w:rFonts w:eastAsia="Arial"/>
        <w:noProof/>
        <w:sz w:val="20"/>
        <w:szCs w:val="20"/>
      </w:rPr>
      <w:t>1</w:t>
    </w:r>
    <w:r>
      <w:rPr>
        <w:rFonts w:eastAsia="Arial"/>
        <w:sz w:val="20"/>
        <w:szCs w:val="20"/>
      </w:rPr>
      <w:fldChar w:fldCharType="end"/>
    </w:r>
  </w:p>
  <w:p w14:paraId="4009B2A2" w14:textId="5AA12D06" w:rsidR="004243D5" w:rsidRPr="00400489" w:rsidRDefault="00400489" w:rsidP="00400489">
    <w:pPr>
      <w:spacing w:after="0" w:line="240" w:lineRule="auto"/>
      <w:jc w:val="both"/>
      <w:rPr>
        <w:rFonts w:eastAsia="Arial"/>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AAAD" w14:textId="77777777" w:rsidR="001D089E" w:rsidRDefault="001D089E">
      <w:pPr>
        <w:spacing w:after="0" w:line="240" w:lineRule="auto"/>
      </w:pPr>
      <w:r>
        <w:separator/>
      </w:r>
    </w:p>
  </w:footnote>
  <w:footnote w:type="continuationSeparator" w:id="0">
    <w:p w14:paraId="6131BAC6" w14:textId="77777777" w:rsidR="001D089E" w:rsidRDefault="001D089E">
      <w:pPr>
        <w:spacing w:after="0" w:line="240" w:lineRule="auto"/>
      </w:pPr>
      <w:r>
        <w:continuationSeparator/>
      </w:r>
    </w:p>
  </w:footnote>
  <w:footnote w:id="1">
    <w:p w14:paraId="0B7D33DB"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w:t>
      </w:r>
      <w:hyperlink r:id="rId1">
        <w:r w:rsidRPr="00400489">
          <w:rPr>
            <w:color w:val="0000FF"/>
            <w:sz w:val="20"/>
            <w:szCs w:val="20"/>
            <w:u w:val="single"/>
          </w:rPr>
          <w:t>https://www.iasplus.com/en/standards/ifrs/ifrs10</w:t>
        </w:r>
      </w:hyperlink>
      <w:r w:rsidRPr="00400489">
        <w:rPr>
          <w:sz w:val="20"/>
          <w:szCs w:val="20"/>
        </w:rPr>
        <w:t xml:space="preserve"> </w:t>
      </w:r>
    </w:p>
  </w:footnote>
  <w:footnote w:id="2">
    <w:p w14:paraId="5D3B16F9"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ED340F"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“General Anti-Abuse Rule” means (a) the legislation in Part 5 of the Finance Act 2013; and (b) any</w:t>
      </w:r>
    </w:p>
    <w:p w14:paraId="2CF308FB"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sz w:val="20"/>
          <w:szCs w:val="20"/>
        </w:rPr>
        <w:t>future legislation introduced into Parliament to counteract tax advantages arising from abusive</w:t>
      </w:r>
    </w:p>
    <w:p w14:paraId="02AC3D62" w14:textId="77777777" w:rsidR="004243D5" w:rsidRPr="00400489" w:rsidRDefault="004243D5">
      <w:pPr>
        <w:pBdr>
          <w:top w:val="nil"/>
          <w:left w:val="nil"/>
          <w:bottom w:val="nil"/>
          <w:right w:val="nil"/>
          <w:between w:val="nil"/>
        </w:pBdr>
        <w:spacing w:after="0" w:line="240" w:lineRule="auto"/>
        <w:rPr>
          <w:sz w:val="20"/>
          <w:szCs w:val="20"/>
        </w:rPr>
      </w:pPr>
      <w:r w:rsidRPr="00400489">
        <w:rPr>
          <w:sz w:val="20"/>
          <w:szCs w:val="20"/>
        </w:rPr>
        <w:t>arrangements to avoid national insurance contributions</w:t>
      </w:r>
    </w:p>
  </w:footnote>
  <w:footnote w:id="4">
    <w:p w14:paraId="24BB94EC"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“Halifax Abuse Principle” means the principle explained in the CJEU Case C-255/02 Halifax and others</w:t>
      </w:r>
    </w:p>
  </w:footnote>
  <w:footnote w:id="5">
    <w:p w14:paraId="4B4CDDAE"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EE132AD" w14:textId="77777777" w:rsidR="004243D5"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The full definition of ‘Anti-avoidance rule’ can be found at Paragraph 25(1) of Schedule 18 to the Finance Act 2016 and Condition 2 (a) above shall be construed accordingly.   </w:t>
      </w:r>
      <w:r>
        <w:rPr>
          <w:sz w:val="20"/>
          <w:szCs w:val="20"/>
        </w:rPr>
        <w:t xml:space="preserve">  </w:t>
      </w:r>
    </w:p>
  </w:footnote>
  <w:footnote w:id="7">
    <w:p w14:paraId="00620838"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sz w:val="20"/>
          <w:szCs w:val="20"/>
        </w:rPr>
        <w:t xml:space="preserve">  </w:t>
      </w:r>
    </w:p>
  </w:footnote>
  <w:footnote w:id="8">
    <w:p w14:paraId="4BE1F900"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03ED" w14:textId="77777777" w:rsidR="004243D5" w:rsidRPr="00400489" w:rsidRDefault="004243D5">
    <w:pPr>
      <w:tabs>
        <w:tab w:val="center" w:pos="4153"/>
        <w:tab w:val="right" w:pos="8306"/>
      </w:tabs>
      <w:spacing w:after="0" w:line="240" w:lineRule="auto"/>
      <w:jc w:val="both"/>
      <w:rPr>
        <w:rFonts w:eastAsia="Arial"/>
        <w:sz w:val="22"/>
        <w:szCs w:val="22"/>
      </w:rPr>
    </w:pPr>
    <w:r w:rsidRPr="00400489">
      <w:rPr>
        <w:rFonts w:eastAsia="Arial"/>
        <w:b/>
        <w:sz w:val="22"/>
        <w:szCs w:val="22"/>
      </w:rPr>
      <w:t>Call-Off Schedule 23 (HMRC Terms)</w:t>
    </w:r>
  </w:p>
  <w:p w14:paraId="4A0458EA" w14:textId="77777777"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Call-Off Ref:</w:t>
    </w:r>
  </w:p>
  <w:p w14:paraId="23D3DD3B" w14:textId="18B247D9"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Crown Copyright 202</w:t>
    </w:r>
    <w:r w:rsidR="00F17EA7" w:rsidRPr="00400489">
      <w:rPr>
        <w:rFonts w:eastAsia="Arial"/>
        <w:sz w:val="22"/>
        <w:szCs w:val="22"/>
      </w:rPr>
      <w:t>5</w:t>
    </w:r>
  </w:p>
  <w:p w14:paraId="0A7B09AE" w14:textId="77777777" w:rsidR="00400489" w:rsidRDefault="00400489">
    <w:pP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571"/>
    <w:multiLevelType w:val="multilevel"/>
    <w:tmpl w:val="F710E46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86050"/>
    <w:multiLevelType w:val="multilevel"/>
    <w:tmpl w:val="6D80623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27714CCA"/>
    <w:multiLevelType w:val="multilevel"/>
    <w:tmpl w:val="3B84B4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16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025D1"/>
    <w:multiLevelType w:val="multilevel"/>
    <w:tmpl w:val="D85E1D68"/>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8B6F6C"/>
    <w:multiLevelType w:val="multilevel"/>
    <w:tmpl w:val="B2CE3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B2ABA"/>
    <w:multiLevelType w:val="multilevel"/>
    <w:tmpl w:val="9E386DF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6AA22495"/>
    <w:multiLevelType w:val="multilevel"/>
    <w:tmpl w:val="920EA11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lowerLetter"/>
      <w:lvlText w:val="(%4)"/>
      <w:lvlJc w:val="left"/>
      <w:pPr>
        <w:ind w:left="1728" w:hanging="647"/>
      </w:pPr>
      <w:rPr>
        <w:rFonts w:ascii="Arial" w:eastAsia="Arial" w:hAnsi="Arial" w:cs="Arial"/>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7755C4"/>
    <w:multiLevelType w:val="multilevel"/>
    <w:tmpl w:val="1D640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1090464">
    <w:abstractNumId w:val="8"/>
  </w:num>
  <w:num w:numId="2" w16cid:durableId="1191913229">
    <w:abstractNumId w:val="6"/>
  </w:num>
  <w:num w:numId="3" w16cid:durableId="1343702484">
    <w:abstractNumId w:val="2"/>
  </w:num>
  <w:num w:numId="4" w16cid:durableId="872765780">
    <w:abstractNumId w:val="0"/>
  </w:num>
  <w:num w:numId="5" w16cid:durableId="821118742">
    <w:abstractNumId w:val="5"/>
  </w:num>
  <w:num w:numId="6" w16cid:durableId="1589344987">
    <w:abstractNumId w:val="4"/>
  </w:num>
  <w:num w:numId="7" w16cid:durableId="836305512">
    <w:abstractNumId w:val="9"/>
  </w:num>
  <w:num w:numId="8" w16cid:durableId="1741518642">
    <w:abstractNumId w:val="7"/>
  </w:num>
  <w:num w:numId="9" w16cid:durableId="1421566275">
    <w:abstractNumId w:val="1"/>
  </w:num>
  <w:num w:numId="10" w16cid:durableId="1168517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B1"/>
    <w:rsid w:val="00003908"/>
    <w:rsid w:val="000465DC"/>
    <w:rsid w:val="00046D7A"/>
    <w:rsid w:val="00054D10"/>
    <w:rsid w:val="0010759C"/>
    <w:rsid w:val="00112BE2"/>
    <w:rsid w:val="001379B4"/>
    <w:rsid w:val="00197212"/>
    <w:rsid w:val="001D089E"/>
    <w:rsid w:val="00400489"/>
    <w:rsid w:val="00407FCC"/>
    <w:rsid w:val="004243D5"/>
    <w:rsid w:val="004562FA"/>
    <w:rsid w:val="00620570"/>
    <w:rsid w:val="0062464E"/>
    <w:rsid w:val="00624A99"/>
    <w:rsid w:val="0063386E"/>
    <w:rsid w:val="006B0EB1"/>
    <w:rsid w:val="006F6EF9"/>
    <w:rsid w:val="00732676"/>
    <w:rsid w:val="007671C5"/>
    <w:rsid w:val="007C2D80"/>
    <w:rsid w:val="007C3396"/>
    <w:rsid w:val="00822957"/>
    <w:rsid w:val="00884279"/>
    <w:rsid w:val="008D118E"/>
    <w:rsid w:val="008E0638"/>
    <w:rsid w:val="008F6EA5"/>
    <w:rsid w:val="00930599"/>
    <w:rsid w:val="00B96426"/>
    <w:rsid w:val="00BE1177"/>
    <w:rsid w:val="00C154BB"/>
    <w:rsid w:val="00C17082"/>
    <w:rsid w:val="00C97E5C"/>
    <w:rsid w:val="00CA7CC2"/>
    <w:rsid w:val="00CB3CE3"/>
    <w:rsid w:val="00CC0B86"/>
    <w:rsid w:val="00D061FC"/>
    <w:rsid w:val="00D167FC"/>
    <w:rsid w:val="00D25A57"/>
    <w:rsid w:val="00D70A5C"/>
    <w:rsid w:val="00E44D35"/>
    <w:rsid w:val="00E51015"/>
    <w:rsid w:val="00F17EA7"/>
    <w:rsid w:val="00F4191E"/>
    <w:rsid w:val="00F76A94"/>
    <w:rsid w:val="00F82BBF"/>
    <w:rsid w:val="00FB19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7008"/>
  <w15:docId w15:val="{9607104E-74C7-484B-B9A1-8378902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7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2716</Words>
  <Characters>15538</Characters>
  <Application>Microsoft Office Word</Application>
  <DocSecurity>0</DocSecurity>
  <Lines>353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2025-10-16T15:15:00Z</dcterms:created>
  <dcterms:modified xsi:type="dcterms:W3CDTF">2025-10-16T15:15:00Z</dcterms:modified>
</cp:coreProperties>
</file>