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72FC4B0" w:rsidR="00F810E0" w:rsidRPr="009D25DC" w:rsidRDefault="00B15219" w:rsidP="00407EA4">
      <w:pPr>
        <w:keepNext/>
        <w:pBdr>
          <w:top w:val="nil"/>
          <w:left w:val="nil"/>
          <w:bottom w:val="nil"/>
          <w:right w:val="nil"/>
          <w:between w:val="nil"/>
        </w:pBdr>
        <w:spacing w:before="120" w:after="120"/>
        <w:ind w:left="0"/>
        <w:jc w:val="left"/>
        <w:rPr>
          <w:b/>
          <w:sz w:val="36"/>
          <w:szCs w:val="36"/>
        </w:rPr>
      </w:pPr>
      <w:r w:rsidRPr="009D25DC">
        <w:rPr>
          <w:b/>
          <w:sz w:val="36"/>
          <w:szCs w:val="36"/>
        </w:rPr>
        <w:t xml:space="preserve">Call-Off Schedule </w:t>
      </w:r>
      <w:r w:rsidR="00623741" w:rsidRPr="009D25DC">
        <w:rPr>
          <w:b/>
          <w:sz w:val="36"/>
          <w:szCs w:val="36"/>
        </w:rPr>
        <w:t xml:space="preserve">24 </w:t>
      </w:r>
      <w:r w:rsidRPr="009D25DC">
        <w:rPr>
          <w:b/>
          <w:sz w:val="36"/>
          <w:szCs w:val="36"/>
        </w:rPr>
        <w:t>(</w:t>
      </w:r>
      <w:r w:rsidR="00623741" w:rsidRPr="009D25DC">
        <w:rPr>
          <w:b/>
          <w:sz w:val="36"/>
          <w:szCs w:val="36"/>
        </w:rPr>
        <w:t>Corporate Resolution Planning</w:t>
      </w:r>
      <w:r w:rsidRPr="009D25DC">
        <w:rPr>
          <w:b/>
          <w:sz w:val="36"/>
          <w:szCs w:val="36"/>
        </w:rPr>
        <w:t>)</w:t>
      </w:r>
    </w:p>
    <w:p w14:paraId="13D5A59F" w14:textId="2358AF40" w:rsidR="00B444BC" w:rsidRDefault="00B444BC" w:rsidP="00407EA4">
      <w:pPr>
        <w:pBdr>
          <w:top w:val="nil"/>
          <w:left w:val="nil"/>
          <w:bottom w:val="nil"/>
          <w:right w:val="nil"/>
          <w:between w:val="nil"/>
        </w:pBdr>
        <w:spacing w:before="120" w:after="120"/>
        <w:ind w:left="0"/>
        <w:jc w:val="left"/>
        <w:rPr>
          <w:b/>
          <w:i/>
          <w:highlight w:val="yellow"/>
        </w:rPr>
      </w:pPr>
    </w:p>
    <w:p w14:paraId="047C7D50" w14:textId="64DCF769" w:rsidR="009C4CA0" w:rsidRPr="00972997" w:rsidRDefault="00837FD4" w:rsidP="00407EA4">
      <w:pPr>
        <w:pBdr>
          <w:top w:val="nil"/>
          <w:left w:val="nil"/>
          <w:bottom w:val="nil"/>
          <w:right w:val="nil"/>
          <w:between w:val="nil"/>
        </w:pBdr>
        <w:spacing w:before="120" w:after="120"/>
        <w:ind w:left="0"/>
        <w:jc w:val="left"/>
        <w:rPr>
          <w:b/>
          <w:i/>
          <w:highlight w:val="yellow"/>
        </w:rPr>
      </w:pPr>
      <w:r>
        <w:rPr>
          <w:b/>
          <w:i/>
          <w:highlight w:val="yellow"/>
        </w:rPr>
        <w:t>[</w:t>
      </w:r>
      <w:r w:rsidR="00BD164E">
        <w:rPr>
          <w:b/>
          <w:i/>
          <w:highlight w:val="yellow"/>
        </w:rPr>
        <w:t xml:space="preserve">Buyer </w:t>
      </w:r>
      <w:r w:rsidR="00972997">
        <w:rPr>
          <w:b/>
          <w:i/>
          <w:highlight w:val="yellow"/>
        </w:rPr>
        <w:t xml:space="preserve">Guidance: </w:t>
      </w:r>
      <w:r w:rsidR="00AB0964">
        <w:rPr>
          <w:b/>
          <w:i/>
          <w:highlight w:val="yellow"/>
        </w:rPr>
        <w:t>This Schedule is mandatory for Call-Off Contracts under Lot 1a and Lot 1b. Under Lots 2a, 2b and 3, t</w:t>
      </w:r>
      <w:r w:rsidR="009C4CA0" w:rsidRPr="00972997">
        <w:rPr>
          <w:b/>
          <w:i/>
          <w:highlight w:val="yellow"/>
        </w:rPr>
        <w:t>his Schedule should only be used if one or more of the following applies to this Contract:</w:t>
      </w:r>
    </w:p>
    <w:p w14:paraId="36E025FA"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Critical Service Contract (as defined below)</w:t>
      </w:r>
    </w:p>
    <w:p w14:paraId="501DBF56"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It is a service contract for over £10m per annum</w:t>
      </w:r>
    </w:p>
    <w:p w14:paraId="20422614" w14:textId="77777777" w:rsidR="009C4CA0" w:rsidRPr="00972997" w:rsidRDefault="009C4CA0" w:rsidP="00407EA4">
      <w:pPr>
        <w:pStyle w:val="ListParagraph"/>
        <w:numPr>
          <w:ilvl w:val="0"/>
          <w:numId w:val="21"/>
        </w:numPr>
        <w:pBdr>
          <w:top w:val="nil"/>
          <w:left w:val="nil"/>
          <w:bottom w:val="nil"/>
          <w:right w:val="nil"/>
          <w:between w:val="nil"/>
        </w:pBdr>
        <w:overflowPunct/>
        <w:autoSpaceDE/>
        <w:autoSpaceDN/>
        <w:adjustRightInd/>
        <w:spacing w:before="120" w:after="120"/>
        <w:contextualSpacing w:val="0"/>
        <w:jc w:val="left"/>
        <w:textAlignment w:val="auto"/>
        <w:rPr>
          <w:highlight w:val="yellow"/>
        </w:rPr>
      </w:pPr>
      <w:r w:rsidRPr="00972997">
        <w:rPr>
          <w:b/>
          <w:i/>
          <w:highlight w:val="yellow"/>
        </w:rPr>
        <w:t xml:space="preserve">The Supplier for this contract is a Public Sector Dependent Supplier (as defined below). </w:t>
      </w:r>
    </w:p>
    <w:p w14:paraId="7F51E99F" w14:textId="62A0017F" w:rsidR="009C4CA0" w:rsidRPr="00972997" w:rsidRDefault="009C4CA0" w:rsidP="00407EA4">
      <w:pPr>
        <w:pBdr>
          <w:top w:val="nil"/>
          <w:left w:val="nil"/>
          <w:bottom w:val="nil"/>
          <w:right w:val="nil"/>
          <w:between w:val="nil"/>
        </w:pBdr>
        <w:spacing w:before="120" w:after="120"/>
        <w:ind w:left="0"/>
        <w:jc w:val="left"/>
      </w:pPr>
      <w:r w:rsidRPr="00972997">
        <w:rPr>
          <w:b/>
          <w:i/>
          <w:highlight w:val="yellow"/>
        </w:rPr>
        <w:t xml:space="preserve">This Schedule requires Suppliers to provide CRP information, in line with the Playbook </w:t>
      </w:r>
      <w:hyperlink r:id="rId9" w:history="1">
        <w:r w:rsidRPr="00972997">
          <w:rPr>
            <w:rStyle w:val="Hyperlink"/>
            <w:b/>
            <w:i/>
            <w:highlight w:val="yellow"/>
          </w:rPr>
          <w:t>Guidance about Resolution Planning</w:t>
        </w:r>
      </w:hyperlink>
      <w:r w:rsidRPr="00972997">
        <w:rPr>
          <w:b/>
          <w:i/>
          <w:highlight w:val="yellow"/>
        </w:rPr>
        <w:t>, to ensure that all applicable Suppliers have a Corporate Resolution Plan in place.]</w:t>
      </w:r>
    </w:p>
    <w:p w14:paraId="00000003" w14:textId="77777777" w:rsidR="00F810E0" w:rsidRPr="00972997" w:rsidRDefault="00B15219" w:rsidP="00407EA4">
      <w:pPr>
        <w:keepNext/>
        <w:numPr>
          <w:ilvl w:val="0"/>
          <w:numId w:val="6"/>
        </w:numPr>
        <w:pBdr>
          <w:top w:val="nil"/>
          <w:left w:val="nil"/>
          <w:bottom w:val="nil"/>
          <w:right w:val="nil"/>
          <w:between w:val="nil"/>
        </w:pBdr>
        <w:tabs>
          <w:tab w:val="left" w:pos="0"/>
        </w:tabs>
        <w:spacing w:before="120" w:after="120"/>
        <w:ind w:left="426" w:hanging="426"/>
        <w:jc w:val="left"/>
        <w:rPr>
          <w:b/>
          <w:smallCaps/>
        </w:rPr>
      </w:pPr>
      <w:bookmarkStart w:id="0" w:name="_heading=h.gjdgxs" w:colFirst="0" w:colLast="0"/>
      <w:bookmarkEnd w:id="0"/>
      <w:r w:rsidRPr="00972997">
        <w:rPr>
          <w:b/>
          <w:smallCaps/>
        </w:rPr>
        <w:t>D</w:t>
      </w:r>
      <w:r w:rsidRPr="00972997">
        <w:rPr>
          <w:rFonts w:eastAsia="Arial Bold"/>
          <w:b/>
        </w:rPr>
        <w:t>efinitions</w:t>
      </w:r>
    </w:p>
    <w:p w14:paraId="00000004" w14:textId="77777777" w:rsidR="00F810E0" w:rsidRPr="00972997" w:rsidRDefault="00B15219" w:rsidP="00407EA4">
      <w:pPr>
        <w:keepNext/>
        <w:numPr>
          <w:ilvl w:val="1"/>
          <w:numId w:val="6"/>
        </w:numPr>
        <w:pBdr>
          <w:top w:val="nil"/>
          <w:left w:val="nil"/>
          <w:bottom w:val="nil"/>
          <w:right w:val="nil"/>
          <w:between w:val="nil"/>
        </w:pBdr>
        <w:spacing w:before="120" w:after="120"/>
        <w:ind w:left="1134" w:hanging="708"/>
        <w:jc w:val="left"/>
      </w:pPr>
      <w:r w:rsidRPr="00972997">
        <w:t xml:space="preserve">In this Schedule, the following words shall have the following meanings and they shall supplement Joint Schedule 1 </w:t>
      </w:r>
      <w:r w:rsidRPr="00407EA4">
        <w:rPr>
          <w:i/>
        </w:rPr>
        <w:t>(Definitions)</w:t>
      </w:r>
      <w:r w:rsidRPr="00972997">
        <w:t>:</w:t>
      </w:r>
    </w:p>
    <w:tbl>
      <w:tblPr>
        <w:tblStyle w:val="a0"/>
        <w:tblW w:w="8046" w:type="dxa"/>
        <w:tblInd w:w="1134" w:type="dxa"/>
        <w:tblLayout w:type="fixed"/>
        <w:tblLook w:val="0400" w:firstRow="0" w:lastRow="0" w:firstColumn="0" w:lastColumn="0" w:noHBand="0" w:noVBand="1"/>
      </w:tblPr>
      <w:tblGrid>
        <w:gridCol w:w="2971"/>
        <w:gridCol w:w="5075"/>
      </w:tblGrid>
      <w:tr w:rsidR="007261A6" w:rsidRPr="00972997" w14:paraId="706065BB" w14:textId="77777777" w:rsidTr="00407EA4">
        <w:tc>
          <w:tcPr>
            <w:tcW w:w="2971" w:type="dxa"/>
          </w:tcPr>
          <w:p w14:paraId="564E9C28" w14:textId="2E21E1BA" w:rsidR="007261A6" w:rsidRPr="00972997" w:rsidRDefault="007261A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“Annual Revenue”</w:t>
            </w:r>
          </w:p>
        </w:tc>
        <w:tc>
          <w:tcPr>
            <w:tcW w:w="5075" w:type="dxa"/>
          </w:tcPr>
          <w:p w14:paraId="64DD7B6D" w14:textId="7362ED1D" w:rsidR="007261A6" w:rsidRPr="00972997" w:rsidRDefault="007261A6"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1FD50327" w14:textId="6E80B62A" w:rsidR="007261A6" w:rsidRPr="00972997" w:rsidRDefault="007261A6" w:rsidP="00407EA4">
            <w:pPr>
              <w:pStyle w:val="ListParagraph"/>
              <w:numPr>
                <w:ilvl w:val="3"/>
                <w:numId w:val="6"/>
              </w:numPr>
              <w:pBdr>
                <w:top w:val="nil"/>
                <w:left w:val="nil"/>
                <w:bottom w:val="nil"/>
                <w:right w:val="nil"/>
                <w:between w:val="nil"/>
              </w:pBdr>
              <w:spacing w:before="120" w:after="120"/>
              <w:ind w:left="738" w:hanging="709"/>
              <w:contextualSpacing w:val="0"/>
              <w:jc w:val="left"/>
              <w:rPr>
                <w:rFonts w:ascii="Arial" w:hAnsi="Arial" w:cs="Arial"/>
                <w:sz w:val="24"/>
                <w:szCs w:val="24"/>
              </w:rPr>
            </w:pPr>
            <w:r w:rsidRPr="00972997">
              <w:rPr>
                <w:rFonts w:ascii="Arial" w:hAnsi="Arial" w:cs="Arial"/>
                <w:sz w:val="24"/>
                <w:szCs w:val="24"/>
              </w:rPr>
              <w:t xml:space="preserve">figures for accounting periods of other than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months should be scaled pro rata to produce a proforma figure for a </w:t>
            </w:r>
            <w:r w:rsidR="00A85206" w:rsidRPr="00972997">
              <w:rPr>
                <w:rFonts w:ascii="Arial" w:hAnsi="Arial" w:cs="Arial"/>
                <w:sz w:val="24"/>
                <w:szCs w:val="24"/>
              </w:rPr>
              <w:t>twelve (</w:t>
            </w:r>
            <w:r w:rsidRPr="00972997">
              <w:rPr>
                <w:rFonts w:ascii="Arial" w:hAnsi="Arial" w:cs="Arial"/>
                <w:sz w:val="24"/>
                <w:szCs w:val="24"/>
              </w:rPr>
              <w:t>12</w:t>
            </w:r>
            <w:r w:rsidR="00A85206" w:rsidRPr="00972997">
              <w:rPr>
                <w:rFonts w:ascii="Arial" w:hAnsi="Arial" w:cs="Arial"/>
                <w:sz w:val="24"/>
                <w:szCs w:val="24"/>
              </w:rPr>
              <w:t>)</w:t>
            </w:r>
            <w:r w:rsidRPr="00972997">
              <w:rPr>
                <w:rFonts w:ascii="Arial" w:hAnsi="Arial" w:cs="Arial"/>
                <w:sz w:val="24"/>
                <w:szCs w:val="24"/>
              </w:rPr>
              <w:t xml:space="preserve"> month period; and</w:t>
            </w:r>
          </w:p>
          <w:p w14:paraId="20C994DB" w14:textId="018EE45E" w:rsidR="007261A6" w:rsidRPr="00972997" w:rsidRDefault="007261A6" w:rsidP="00407EA4">
            <w:pPr>
              <w:pStyle w:val="ListParagraph"/>
              <w:numPr>
                <w:ilvl w:val="3"/>
                <w:numId w:val="6"/>
              </w:numPr>
              <w:pBdr>
                <w:top w:val="nil"/>
                <w:left w:val="nil"/>
                <w:bottom w:val="nil"/>
                <w:right w:val="nil"/>
                <w:between w:val="nil"/>
              </w:pBdr>
              <w:tabs>
                <w:tab w:val="left" w:pos="-9"/>
              </w:tabs>
              <w:spacing w:before="120" w:after="120"/>
              <w:ind w:left="738" w:hanging="709"/>
              <w:contextualSpacing w:val="0"/>
              <w:jc w:val="left"/>
              <w:rPr>
                <w:rFonts w:ascii="Arial" w:hAnsi="Arial" w:cs="Arial"/>
                <w:sz w:val="24"/>
                <w:szCs w:val="24"/>
              </w:rPr>
            </w:pPr>
            <w:r w:rsidRPr="00972997">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83014E" w:rsidRPr="00972997" w14:paraId="5E8D8BAC" w14:textId="77777777" w:rsidTr="00407EA4">
        <w:tc>
          <w:tcPr>
            <w:tcW w:w="2971" w:type="dxa"/>
          </w:tcPr>
          <w:p w14:paraId="56B6DB88" w14:textId="20687427"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“Appropriate Authority” or “Appropriate Authorities”</w:t>
            </w:r>
          </w:p>
        </w:tc>
        <w:tc>
          <w:tcPr>
            <w:tcW w:w="5075" w:type="dxa"/>
          </w:tcPr>
          <w:p w14:paraId="4010C620" w14:textId="352F703D"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the Buyer and the Cabinet Office Markets and Suppliers Team or, where the Supplier is a Strategic Supplier, the Cabinet Office Markets and Suppliers Team;</w:t>
            </w:r>
          </w:p>
        </w:tc>
      </w:tr>
      <w:tr w:rsidR="0083014E" w:rsidRPr="00972997" w14:paraId="507AD3E1" w14:textId="77777777" w:rsidTr="00407EA4">
        <w:tc>
          <w:tcPr>
            <w:tcW w:w="2971" w:type="dxa"/>
          </w:tcPr>
          <w:p w14:paraId="78518930" w14:textId="4472194D" w:rsidR="0083014E" w:rsidRPr="00972997" w:rsidRDefault="00A85206"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“Assurance</w:t>
            </w:r>
            <w:r w:rsidR="00D916F1" w:rsidRPr="00972997">
              <w:rPr>
                <w:rFonts w:ascii="Arial" w:hAnsi="Arial" w:cs="Arial"/>
                <w:b/>
                <w:sz w:val="24"/>
                <w:szCs w:val="24"/>
              </w:rPr>
              <w:t>”</w:t>
            </w:r>
          </w:p>
        </w:tc>
        <w:tc>
          <w:tcPr>
            <w:tcW w:w="5075" w:type="dxa"/>
          </w:tcPr>
          <w:p w14:paraId="6B08ED0C" w14:textId="2186E17B" w:rsidR="0083014E" w:rsidRPr="00972997" w:rsidRDefault="00203064"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written confirmation from a Relevant</w:t>
            </w:r>
            <w:r w:rsidR="00407EA4">
              <w:rPr>
                <w:rFonts w:ascii="Arial" w:hAnsi="Arial" w:cs="Arial"/>
                <w:sz w:val="24"/>
                <w:szCs w:val="24"/>
              </w:rPr>
              <w:t xml:space="preserve"> </w:t>
            </w:r>
            <w:r w:rsidRPr="00972997">
              <w:rPr>
                <w:rFonts w:ascii="Arial" w:hAnsi="Arial" w:cs="Arial"/>
                <w:sz w:val="24"/>
                <w:szCs w:val="24"/>
              </w:rPr>
              <w:t>Buyer to the Supplier that the CRP</w:t>
            </w:r>
            <w:r w:rsidR="00407EA4">
              <w:rPr>
                <w:rFonts w:ascii="Arial" w:hAnsi="Arial" w:cs="Arial"/>
                <w:sz w:val="24"/>
                <w:szCs w:val="24"/>
              </w:rPr>
              <w:t xml:space="preserve"> </w:t>
            </w:r>
            <w:r w:rsidRPr="00972997">
              <w:rPr>
                <w:rFonts w:ascii="Arial" w:hAnsi="Arial" w:cs="Arial"/>
                <w:sz w:val="24"/>
                <w:szCs w:val="24"/>
              </w:rPr>
              <w:t>Information is approved by the Relevant</w:t>
            </w:r>
            <w:r w:rsidR="00407EA4">
              <w:rPr>
                <w:rFonts w:ascii="Arial" w:hAnsi="Arial" w:cs="Arial"/>
                <w:sz w:val="24"/>
                <w:szCs w:val="24"/>
              </w:rPr>
              <w:t xml:space="preserve"> </w:t>
            </w:r>
            <w:r w:rsidRPr="00972997">
              <w:rPr>
                <w:rFonts w:ascii="Arial" w:hAnsi="Arial" w:cs="Arial"/>
                <w:sz w:val="24"/>
                <w:szCs w:val="24"/>
              </w:rPr>
              <w:t>Buyer;</w:t>
            </w:r>
            <w:r w:rsidR="00D916F1" w:rsidRPr="00972997">
              <w:rPr>
                <w:rFonts w:ascii="Arial" w:hAnsi="Arial" w:cs="Arial"/>
                <w:sz w:val="24"/>
                <w:szCs w:val="24"/>
              </w:rPr>
              <w:t xml:space="preserve"> </w:t>
            </w:r>
          </w:p>
        </w:tc>
      </w:tr>
      <w:tr w:rsidR="00304153" w:rsidRPr="00972997" w14:paraId="080BCEF9" w14:textId="77777777" w:rsidTr="00407EA4">
        <w:tc>
          <w:tcPr>
            <w:tcW w:w="2971" w:type="dxa"/>
          </w:tcPr>
          <w:p w14:paraId="44FB6024" w14:textId="5AACEE70" w:rsidR="00304153" w:rsidRPr="00972997" w:rsidDel="00304153" w:rsidRDefault="00304153"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"Cabinet Office Markets and Suppliers Team"</w:t>
            </w:r>
          </w:p>
        </w:tc>
        <w:tc>
          <w:tcPr>
            <w:tcW w:w="5075" w:type="dxa"/>
          </w:tcPr>
          <w:p w14:paraId="7AA4317F" w14:textId="0E92FD54" w:rsidR="00304153" w:rsidRPr="00972997" w:rsidDel="00304153" w:rsidRDefault="00304153"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UK Government’s team responsible for managing the relationship between government and its Strategic Suppliers, or any replacement or successor body carrying out the same function;</w:t>
            </w:r>
          </w:p>
        </w:tc>
      </w:tr>
      <w:tr w:rsidR="0083014E" w:rsidRPr="00972997" w14:paraId="0AFEBCB1" w14:textId="77777777" w:rsidTr="00407EA4">
        <w:tc>
          <w:tcPr>
            <w:tcW w:w="2971" w:type="dxa"/>
          </w:tcPr>
          <w:p w14:paraId="4FDC3380" w14:textId="11AC7AF9"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“Class 1 Transaction”</w:t>
            </w:r>
          </w:p>
        </w:tc>
        <w:tc>
          <w:tcPr>
            <w:tcW w:w="5075" w:type="dxa"/>
          </w:tcPr>
          <w:p w14:paraId="4DB09987" w14:textId="20F65C01"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has the meaning set out in the listing rules issued by the UK Listing Authority;</w:t>
            </w:r>
          </w:p>
        </w:tc>
      </w:tr>
      <w:tr w:rsidR="0083014E" w:rsidRPr="00972997" w14:paraId="5076513C" w14:textId="77777777" w:rsidTr="00407EA4">
        <w:tc>
          <w:tcPr>
            <w:tcW w:w="2971" w:type="dxa"/>
          </w:tcPr>
          <w:p w14:paraId="59A6933F" w14:textId="2634590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“Control”</w:t>
            </w:r>
          </w:p>
        </w:tc>
        <w:tc>
          <w:tcPr>
            <w:tcW w:w="5075" w:type="dxa"/>
          </w:tcPr>
          <w:p w14:paraId="666BCBCC" w14:textId="4147F9AC"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83014E" w:rsidRPr="00972997" w14:paraId="2524D25B" w14:textId="77777777" w:rsidTr="00407EA4">
        <w:tc>
          <w:tcPr>
            <w:tcW w:w="2971" w:type="dxa"/>
          </w:tcPr>
          <w:p w14:paraId="1CDF91DB" w14:textId="014201B2"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Change Event”</w:t>
            </w:r>
          </w:p>
        </w:tc>
        <w:tc>
          <w:tcPr>
            <w:tcW w:w="5075" w:type="dxa"/>
          </w:tcPr>
          <w:p w14:paraId="485232B0" w14:textId="6A848583"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of Control of the Supplier or a Parent Undertaking of the Supplier;</w:t>
            </w:r>
          </w:p>
          <w:p w14:paraId="146F7490" w14:textId="0117B95B"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any change of Control of any member of the Supplier Group which, in the reasonable opinion of the Buyer, could have a material adverse effect on the Deliverables; </w:t>
            </w:r>
          </w:p>
          <w:p w14:paraId="12D77E0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change to the business of the Supplier or any member of the Supplier Group which, in the reasonable opinion of the Buyer, could have a material adverse effect on the Deliverables;</w:t>
            </w:r>
          </w:p>
          <w:p w14:paraId="700976A0"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 Class 1 Transaction taking place in relation to the shares of the Supplier or any Parent Undertaking of the Supplier whose shares are listed on the main market of the London Stock Exchange plc;</w:t>
            </w:r>
          </w:p>
          <w:p w14:paraId="3618D3E8"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 event that could reasonably be regarded as being equivalent to a Class 1 Transaction taking place in respect of the Supplier or any Parent Undertaking of the Supplier;</w:t>
            </w:r>
          </w:p>
          <w:p w14:paraId="718647D1"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payment of dividends by the Supplier or the ultimate Parent Undertaking of the </w:t>
            </w:r>
            <w:r w:rsidRPr="00972997">
              <w:rPr>
                <w:rFonts w:ascii="Arial" w:hAnsi="Arial" w:cs="Arial"/>
                <w:sz w:val="24"/>
                <w:szCs w:val="24"/>
              </w:rPr>
              <w:lastRenderedPageBreak/>
              <w:t>Supplier Group exceeding 25% of the Net Asset Value of the Supplier or the ultimate Parent Undertaking of the Supplier Group respectively in any 12 month period;</w:t>
            </w:r>
          </w:p>
          <w:p w14:paraId="477E0347"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 xml:space="preserve">an order is made or an effective resolution is passed for the winding up of any member of the Supplier Group; </w:t>
            </w:r>
          </w:p>
          <w:p w14:paraId="4850996D"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1AD43F" w14:textId="77777777"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the appointment of a receiver, administrative receiver or administrator in respect of or over all or a material part of the undertaking or assets of any member of the Supplier Group; and/or</w:t>
            </w:r>
          </w:p>
          <w:p w14:paraId="47EB3388" w14:textId="3B4D5312" w:rsidR="0083014E" w:rsidRPr="00972997" w:rsidRDefault="0083014E" w:rsidP="00407EA4">
            <w:pPr>
              <w:pStyle w:val="ListParagraph"/>
              <w:numPr>
                <w:ilvl w:val="3"/>
                <w:numId w:val="23"/>
              </w:numPr>
              <w:pBdr>
                <w:top w:val="nil"/>
                <w:left w:val="nil"/>
                <w:bottom w:val="nil"/>
                <w:right w:val="nil"/>
                <w:between w:val="nil"/>
              </w:pBdr>
              <w:spacing w:before="120" w:after="120"/>
              <w:ind w:left="603" w:hanging="567"/>
              <w:contextualSpacing w:val="0"/>
              <w:jc w:val="left"/>
              <w:rPr>
                <w:rFonts w:ascii="Arial" w:hAnsi="Arial" w:cs="Arial"/>
                <w:sz w:val="24"/>
                <w:szCs w:val="24"/>
              </w:rPr>
            </w:pPr>
            <w:r w:rsidRPr="00972997">
              <w:rPr>
                <w:rFonts w:ascii="Arial" w:hAnsi="Arial" w:cs="Arial"/>
                <w:sz w:val="24"/>
                <w:szCs w:val="24"/>
              </w:rPr>
              <w:t>any process or events with an effect analogous to those in paragraphs (e) to (g) inclusive above occurring to a member of the Supplier Group in a jurisdiction outside England and Wales;</w:t>
            </w:r>
          </w:p>
        </w:tc>
      </w:tr>
      <w:tr w:rsidR="00182042" w:rsidRPr="00972997" w14:paraId="61A2AB03" w14:textId="77777777" w:rsidTr="00407EA4">
        <w:tc>
          <w:tcPr>
            <w:tcW w:w="2971" w:type="dxa"/>
          </w:tcPr>
          <w:p w14:paraId="01ECF430" w14:textId="5440E2FD"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"Corporate Change Event Grace Period"</w:t>
            </w:r>
          </w:p>
        </w:tc>
        <w:tc>
          <w:tcPr>
            <w:tcW w:w="5075" w:type="dxa"/>
          </w:tcPr>
          <w:p w14:paraId="7A60762E" w14:textId="4E6F9400"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a grace period agreed to by the Appropriate Authority for providing CRP Information and/or updates to </w:t>
            </w:r>
            <w:r w:rsidR="0052345E" w:rsidRPr="00972997">
              <w:rPr>
                <w:rFonts w:ascii="Arial" w:hAnsi="Arial" w:cs="Arial"/>
                <w:sz w:val="24"/>
                <w:szCs w:val="24"/>
              </w:rPr>
              <w:t xml:space="preserve">Business </w:t>
            </w:r>
            <w:r w:rsidRPr="00972997">
              <w:rPr>
                <w:rFonts w:ascii="Arial" w:hAnsi="Arial" w:cs="Arial"/>
                <w:sz w:val="24"/>
                <w:szCs w:val="24"/>
              </w:rPr>
              <w:t xml:space="preserve"> Continuity Plan after a Corporate Change Event</w:t>
            </w:r>
            <w:r w:rsidR="0052345E" w:rsidRPr="00972997">
              <w:rPr>
                <w:rFonts w:ascii="Arial" w:hAnsi="Arial" w:cs="Arial"/>
                <w:sz w:val="24"/>
                <w:szCs w:val="24"/>
              </w:rPr>
              <w:t>;</w:t>
            </w:r>
          </w:p>
        </w:tc>
      </w:tr>
      <w:tr w:rsidR="00182042" w:rsidRPr="00972997" w14:paraId="7469A40A" w14:textId="77777777" w:rsidTr="00407EA4">
        <w:tc>
          <w:tcPr>
            <w:tcW w:w="2971" w:type="dxa"/>
          </w:tcPr>
          <w:p w14:paraId="28A2CAED" w14:textId="32661444" w:rsidR="00182042" w:rsidRPr="00972997" w:rsidRDefault="00182042"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"Corporate Resolvability Assessment (Structural Review)"</w:t>
            </w:r>
          </w:p>
        </w:tc>
        <w:tc>
          <w:tcPr>
            <w:tcW w:w="5075" w:type="dxa"/>
          </w:tcPr>
          <w:p w14:paraId="084FB1EE" w14:textId="0D2CB221" w:rsidR="00182042" w:rsidRPr="00972997" w:rsidRDefault="00182042"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 xml:space="preserve">part of the CRP Information relating to the Supplier Group to be provided by the Supplier in accordance with Paragraph </w:t>
            </w:r>
            <w:r w:rsidR="00203064" w:rsidRPr="00972997">
              <w:rPr>
                <w:rFonts w:ascii="Arial" w:hAnsi="Arial" w:cs="Arial"/>
                <w:sz w:val="24"/>
                <w:szCs w:val="24"/>
              </w:rPr>
              <w:t>3</w:t>
            </w:r>
            <w:r w:rsidRPr="00972997">
              <w:rPr>
                <w:rFonts w:ascii="Arial" w:hAnsi="Arial" w:cs="Arial"/>
                <w:sz w:val="24"/>
                <w:szCs w:val="24"/>
              </w:rPr>
              <w:t xml:space="preserve">and </w:t>
            </w:r>
            <w:r w:rsidR="00203064" w:rsidRPr="00972997">
              <w:rPr>
                <w:rFonts w:ascii="Arial" w:hAnsi="Arial" w:cs="Arial"/>
                <w:sz w:val="24"/>
                <w:szCs w:val="24"/>
              </w:rPr>
              <w:t xml:space="preserve">Annex </w:t>
            </w:r>
            <w:r w:rsidRPr="00972997">
              <w:rPr>
                <w:rFonts w:ascii="Arial" w:hAnsi="Arial" w:cs="Arial"/>
                <w:sz w:val="24"/>
                <w:szCs w:val="24"/>
              </w:rPr>
              <w:t>2 of this Schedule;</w:t>
            </w:r>
          </w:p>
        </w:tc>
      </w:tr>
      <w:tr w:rsidR="0083014E" w:rsidRPr="00972997" w14:paraId="76ADB88B" w14:textId="77777777" w:rsidTr="00407EA4">
        <w:tc>
          <w:tcPr>
            <w:tcW w:w="2971" w:type="dxa"/>
          </w:tcPr>
          <w:p w14:paraId="0235D059" w14:textId="75FA534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“Critical National Infrastructure”</w:t>
            </w:r>
            <w:r w:rsidR="00AC1050" w:rsidRPr="00972997">
              <w:rPr>
                <w:rFonts w:ascii="Arial" w:hAnsi="Arial" w:cs="Arial"/>
                <w:b/>
                <w:sz w:val="24"/>
                <w:szCs w:val="24"/>
              </w:rPr>
              <w:t xml:space="preserve"> or “CNI”</w:t>
            </w:r>
          </w:p>
        </w:tc>
        <w:tc>
          <w:tcPr>
            <w:tcW w:w="5075" w:type="dxa"/>
          </w:tcPr>
          <w:p w14:paraId="5360AC92" w14:textId="06BA5F34" w:rsidR="0083014E" w:rsidRPr="00972997" w:rsidRDefault="0083014E" w:rsidP="00407EA4">
            <w:pPr>
              <w:pBdr>
                <w:top w:val="nil"/>
                <w:left w:val="nil"/>
                <w:bottom w:val="nil"/>
                <w:right w:val="nil"/>
                <w:between w:val="nil"/>
              </w:pBdr>
              <w:spacing w:before="120" w:after="120"/>
              <w:ind w:left="0"/>
              <w:jc w:val="left"/>
              <w:rPr>
                <w:rFonts w:ascii="Arial" w:hAnsi="Arial" w:cs="Arial"/>
                <w:sz w:val="24"/>
                <w:szCs w:val="24"/>
              </w:rPr>
            </w:pPr>
            <w:r w:rsidRPr="00972997">
              <w:rPr>
                <w:rFonts w:ascii="Arial" w:hAnsi="Arial" w:cs="Arial"/>
                <w:sz w:val="24"/>
                <w:szCs w:val="24"/>
              </w:rPr>
              <w:t>those critical elements of UK national infrastructure (namely assets, facilities, systems, networks or processes and the essential workers that operate and facilitate them), the loss or compromise of which could result in:</w:t>
            </w:r>
          </w:p>
          <w:p w14:paraId="3EC940FE" w14:textId="71D91BBE" w:rsidR="0083014E" w:rsidRPr="00972997" w:rsidRDefault="0083014E" w:rsidP="00407EA4">
            <w:pPr>
              <w:pStyle w:val="ListParagraph"/>
              <w:numPr>
                <w:ilvl w:val="0"/>
                <w:numId w:val="24"/>
              </w:numPr>
              <w:pBdr>
                <w:top w:val="nil"/>
                <w:left w:val="nil"/>
                <w:bottom w:val="nil"/>
                <w:right w:val="nil"/>
                <w:between w:val="nil"/>
              </w:pBdr>
              <w:spacing w:before="120" w:after="120"/>
              <w:ind w:hanging="691"/>
              <w:contextualSpacing w:val="0"/>
              <w:jc w:val="left"/>
              <w:rPr>
                <w:rFonts w:ascii="Arial" w:hAnsi="Arial" w:cs="Arial"/>
                <w:sz w:val="24"/>
                <w:szCs w:val="24"/>
              </w:rPr>
            </w:pPr>
            <w:r w:rsidRPr="00972997">
              <w:rPr>
                <w:rFonts w:ascii="Arial" w:hAnsi="Arial" w:cs="Arial"/>
                <w:sz w:val="24"/>
                <w:szCs w:val="24"/>
              </w:rPr>
              <w:lastRenderedPageBreak/>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5869276" w14:textId="63798FE4" w:rsidR="0083014E" w:rsidRPr="00972997" w:rsidRDefault="0083014E" w:rsidP="00407EA4">
            <w:pPr>
              <w:pStyle w:val="ListParagraph"/>
              <w:numPr>
                <w:ilvl w:val="0"/>
                <w:numId w:val="24"/>
              </w:numPr>
              <w:pBdr>
                <w:top w:val="nil"/>
                <w:left w:val="nil"/>
                <w:bottom w:val="nil"/>
                <w:right w:val="nil"/>
                <w:between w:val="nil"/>
              </w:pBdr>
              <w:tabs>
                <w:tab w:val="left" w:pos="-9"/>
              </w:tabs>
              <w:spacing w:before="120" w:after="120"/>
              <w:ind w:hanging="691"/>
              <w:contextualSpacing w:val="0"/>
              <w:jc w:val="left"/>
              <w:rPr>
                <w:rFonts w:ascii="Arial" w:hAnsi="Arial" w:cs="Arial"/>
                <w:sz w:val="24"/>
                <w:szCs w:val="24"/>
              </w:rPr>
            </w:pPr>
            <w:r w:rsidRPr="00972997">
              <w:rPr>
                <w:rFonts w:ascii="Arial" w:hAnsi="Arial" w:cs="Arial"/>
                <w:sz w:val="24"/>
                <w:szCs w:val="24"/>
              </w:rPr>
              <w:t>significant impact on the national security, national defence, or the functioning of the UK;</w:t>
            </w:r>
          </w:p>
        </w:tc>
      </w:tr>
      <w:tr w:rsidR="0083014E" w:rsidRPr="00972997" w14:paraId="695E73B5" w14:textId="77777777" w:rsidTr="00407EA4">
        <w:tc>
          <w:tcPr>
            <w:tcW w:w="2971" w:type="dxa"/>
          </w:tcPr>
          <w:p w14:paraId="018DB120" w14:textId="2D5597C6"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lastRenderedPageBreak/>
              <w:t>“Critical Service Contract”</w:t>
            </w:r>
          </w:p>
        </w:tc>
        <w:tc>
          <w:tcPr>
            <w:tcW w:w="5075" w:type="dxa"/>
          </w:tcPr>
          <w:p w14:paraId="33D0B938" w14:textId="36E2FEBF" w:rsidR="0083014E" w:rsidRPr="00407EA4" w:rsidRDefault="00B33CE7"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the overall status of the Services provided under the Contract as determined by the Buyer and specified in Paragraph 2 of this Schedule;</w:t>
            </w:r>
          </w:p>
        </w:tc>
      </w:tr>
      <w:tr w:rsidR="0083014E" w:rsidRPr="00972997" w14:paraId="090F5318" w14:textId="77777777" w:rsidTr="00407EA4">
        <w:tc>
          <w:tcPr>
            <w:tcW w:w="2971" w:type="dxa"/>
          </w:tcPr>
          <w:p w14:paraId="6789CE57" w14:textId="3B203634" w:rsidR="0083014E" w:rsidRPr="00751401"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751401">
              <w:rPr>
                <w:rFonts w:ascii="Arial" w:hAnsi="Arial" w:cs="Arial"/>
                <w:b/>
                <w:sz w:val="24"/>
                <w:szCs w:val="24"/>
              </w:rPr>
              <w:t>“CRP Information”</w:t>
            </w:r>
          </w:p>
        </w:tc>
        <w:tc>
          <w:tcPr>
            <w:tcW w:w="5075" w:type="dxa"/>
          </w:tcPr>
          <w:p w14:paraId="447CEEC4" w14:textId="56B8BB57" w:rsidR="0083014E" w:rsidRPr="00751401" w:rsidRDefault="00B33CE7" w:rsidP="00407EA4">
            <w:pPr>
              <w:pBdr>
                <w:top w:val="nil"/>
                <w:left w:val="nil"/>
                <w:bottom w:val="nil"/>
                <w:right w:val="nil"/>
                <w:between w:val="nil"/>
              </w:pBdr>
              <w:spacing w:before="120" w:after="120"/>
              <w:ind w:left="0"/>
              <w:jc w:val="left"/>
              <w:rPr>
                <w:rFonts w:ascii="Arial" w:hAnsi="Arial" w:cs="Arial"/>
                <w:sz w:val="24"/>
                <w:szCs w:val="24"/>
              </w:rPr>
            </w:pPr>
            <w:r w:rsidRPr="00751401">
              <w:rPr>
                <w:rFonts w:ascii="Arial" w:hAnsi="Arial" w:cs="Arial"/>
                <w:sz w:val="24"/>
                <w:szCs w:val="24"/>
              </w:rPr>
              <w:t>the corporate resolution planning information</w:t>
            </w:r>
            <w:r w:rsidR="0083014E" w:rsidRPr="00751401">
              <w:rPr>
                <w:rFonts w:ascii="Arial" w:hAnsi="Arial" w:cs="Arial"/>
                <w:sz w:val="24"/>
                <w:szCs w:val="24"/>
              </w:rPr>
              <w:t>, together, the:</w:t>
            </w:r>
          </w:p>
          <w:p w14:paraId="2AA69D2B" w14:textId="251D8EEF"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(a) </w:t>
            </w:r>
            <w:r w:rsidR="00407EA4" w:rsidRPr="00751401">
              <w:rPr>
                <w:rFonts w:ascii="Arial" w:hAnsi="Arial" w:cs="Arial"/>
                <w:sz w:val="24"/>
                <w:szCs w:val="24"/>
              </w:rPr>
              <w:t xml:space="preserve">   </w:t>
            </w:r>
            <w:r w:rsidRPr="00751401">
              <w:rPr>
                <w:rFonts w:ascii="Arial" w:hAnsi="Arial" w:cs="Arial"/>
                <w:sz w:val="24"/>
                <w:szCs w:val="24"/>
              </w:rPr>
              <w:t>Exposure Information (Contracts List);</w:t>
            </w:r>
          </w:p>
          <w:p w14:paraId="54E848D8" w14:textId="51F87B1A" w:rsidR="00B33CE7" w:rsidRPr="00751401" w:rsidRDefault="00B33CE7" w:rsidP="00407EA4">
            <w:pPr>
              <w:pStyle w:val="StdBodyText"/>
              <w:spacing w:before="120" w:after="120"/>
              <w:ind w:left="596" w:hanging="596"/>
              <w:rPr>
                <w:rFonts w:ascii="Arial" w:hAnsi="Arial" w:cs="Arial"/>
                <w:sz w:val="24"/>
                <w:szCs w:val="24"/>
              </w:rPr>
            </w:pPr>
            <w:r w:rsidRPr="00751401">
              <w:rPr>
                <w:rFonts w:ascii="Arial" w:hAnsi="Arial" w:cs="Arial"/>
                <w:sz w:val="24"/>
                <w:szCs w:val="24"/>
              </w:rPr>
              <w:t xml:space="preserve">(b) </w:t>
            </w:r>
            <w:r w:rsidR="00407EA4" w:rsidRPr="00751401">
              <w:rPr>
                <w:rFonts w:ascii="Arial" w:hAnsi="Arial" w:cs="Arial"/>
                <w:sz w:val="24"/>
                <w:szCs w:val="24"/>
              </w:rPr>
              <w:t xml:space="preserve">   </w:t>
            </w:r>
            <w:r w:rsidRPr="00751401">
              <w:rPr>
                <w:rFonts w:ascii="Arial" w:hAnsi="Arial" w:cs="Arial"/>
                <w:sz w:val="24"/>
                <w:szCs w:val="24"/>
              </w:rPr>
              <w:t>Corporate Resolvability Assessment (Structural Review); and</w:t>
            </w:r>
          </w:p>
          <w:p w14:paraId="2CBDD133" w14:textId="3134BDB0" w:rsidR="0083014E" w:rsidRPr="00751401" w:rsidRDefault="00B33CE7" w:rsidP="00407EA4">
            <w:pPr>
              <w:pBdr>
                <w:top w:val="nil"/>
                <w:left w:val="nil"/>
                <w:bottom w:val="nil"/>
                <w:right w:val="nil"/>
                <w:between w:val="nil"/>
              </w:pBdr>
              <w:tabs>
                <w:tab w:val="left" w:pos="-9"/>
              </w:tabs>
              <w:spacing w:before="120" w:after="120"/>
              <w:ind w:left="596" w:hanging="596"/>
              <w:jc w:val="left"/>
              <w:rPr>
                <w:rFonts w:ascii="Arial" w:hAnsi="Arial" w:cs="Arial"/>
                <w:sz w:val="24"/>
                <w:szCs w:val="24"/>
              </w:rPr>
            </w:pPr>
            <w:r w:rsidRPr="00751401">
              <w:rPr>
                <w:rFonts w:ascii="Arial" w:hAnsi="Arial" w:cs="Arial"/>
                <w:sz w:val="24"/>
                <w:szCs w:val="24"/>
              </w:rPr>
              <w:t xml:space="preserve">(c) </w:t>
            </w:r>
            <w:r w:rsidR="00407EA4" w:rsidRPr="00751401">
              <w:rPr>
                <w:rFonts w:ascii="Arial" w:hAnsi="Arial" w:cs="Arial"/>
                <w:sz w:val="24"/>
                <w:szCs w:val="24"/>
              </w:rPr>
              <w:t xml:space="preserve">   </w:t>
            </w:r>
            <w:r w:rsidRPr="00751401">
              <w:rPr>
                <w:rFonts w:ascii="Arial" w:hAnsi="Arial" w:cs="Arial"/>
                <w:sz w:val="24"/>
                <w:szCs w:val="24"/>
              </w:rPr>
              <w:t>Financial Information and Commentary</w:t>
            </w:r>
            <w:r w:rsidR="00407EA4" w:rsidRPr="00751401">
              <w:rPr>
                <w:rFonts w:ascii="Arial" w:hAnsi="Arial" w:cs="Arial"/>
                <w:sz w:val="24"/>
                <w:szCs w:val="24"/>
              </w:rPr>
              <w:t>;</w:t>
            </w:r>
          </w:p>
        </w:tc>
      </w:tr>
      <w:tr w:rsidR="0083014E" w:rsidRPr="00972997" w14:paraId="1ABE50AB" w14:textId="77777777" w:rsidTr="00407EA4">
        <w:tc>
          <w:tcPr>
            <w:tcW w:w="2971" w:type="dxa"/>
          </w:tcPr>
          <w:p w14:paraId="23A914B3" w14:textId="6330A510"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“Public Sector Dependent Supplier”</w:t>
            </w:r>
          </w:p>
        </w:tc>
        <w:tc>
          <w:tcPr>
            <w:tcW w:w="5075" w:type="dxa"/>
          </w:tcPr>
          <w:p w14:paraId="288BEAE0" w14:textId="095DBA10" w:rsidR="0083014E" w:rsidRPr="00407EA4"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407EA4">
              <w:rPr>
                <w:rFonts w:ascii="Arial" w:hAnsi="Arial" w:cs="Arial"/>
                <w:sz w:val="24"/>
                <w:szCs w:val="24"/>
              </w:rPr>
              <w:t>a supplier where that supplier, or that supplier’s group has Annual Revenue of £50 million or more of which over 50% is generated from UK Public Sector Business;</w:t>
            </w:r>
          </w:p>
        </w:tc>
      </w:tr>
      <w:tr w:rsidR="0083014E" w:rsidRPr="00972997" w14:paraId="50EF2B55" w14:textId="77777777" w:rsidTr="00407EA4">
        <w:trPr>
          <w:trHeight w:val="567"/>
        </w:trPr>
        <w:tc>
          <w:tcPr>
            <w:tcW w:w="2971" w:type="dxa"/>
          </w:tcPr>
          <w:p w14:paraId="00000011" w14:textId="38B7D5AC"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p>
        </w:tc>
        <w:tc>
          <w:tcPr>
            <w:tcW w:w="5075" w:type="dxa"/>
          </w:tcPr>
          <w:p w14:paraId="00000012" w14:textId="60251710"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p>
        </w:tc>
      </w:tr>
      <w:tr w:rsidR="00576F50" w:rsidRPr="00972997" w14:paraId="00E31F14" w14:textId="77777777" w:rsidTr="00407EA4">
        <w:trPr>
          <w:trHeight w:val="567"/>
        </w:trPr>
        <w:tc>
          <w:tcPr>
            <w:tcW w:w="2971" w:type="dxa"/>
          </w:tcPr>
          <w:p w14:paraId="0D24E401" w14:textId="169C86A0" w:rsidR="00576F50" w:rsidRPr="00972997" w:rsidRDefault="00576F50"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“Strategic Supplier”</w:t>
            </w:r>
          </w:p>
        </w:tc>
        <w:tc>
          <w:tcPr>
            <w:tcW w:w="5075" w:type="dxa"/>
          </w:tcPr>
          <w:p w14:paraId="38B5F293" w14:textId="3DDF4F96"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those suppliers to government listed at</w:t>
            </w:r>
          </w:p>
          <w:p w14:paraId="5B4BAAC5" w14:textId="4433C634" w:rsidR="00576F50" w:rsidRPr="00972997" w:rsidRDefault="00576F50" w:rsidP="00407EA4">
            <w:pPr>
              <w:tabs>
                <w:tab w:val="left" w:pos="-9"/>
              </w:tabs>
              <w:spacing w:before="120" w:after="120"/>
              <w:ind w:left="0"/>
              <w:jc w:val="left"/>
              <w:rPr>
                <w:rFonts w:ascii="Arial" w:hAnsi="Arial" w:cs="Arial"/>
                <w:sz w:val="24"/>
                <w:szCs w:val="24"/>
              </w:rPr>
            </w:pPr>
            <w:r w:rsidRPr="00972997">
              <w:rPr>
                <w:rFonts w:ascii="Arial" w:hAnsi="Arial" w:cs="Arial"/>
                <w:sz w:val="24"/>
                <w:szCs w:val="24"/>
              </w:rPr>
              <w:t>https://www.gov.uk/government/publications/strategic-suppliers;</w:t>
            </w:r>
            <w:r w:rsidR="00972997">
              <w:rPr>
                <w:rFonts w:ascii="Arial" w:hAnsi="Arial" w:cs="Arial"/>
                <w:sz w:val="24"/>
                <w:szCs w:val="24"/>
              </w:rPr>
              <w:t xml:space="preserve"> and</w:t>
            </w:r>
          </w:p>
        </w:tc>
      </w:tr>
      <w:tr w:rsidR="0083014E" w:rsidRPr="00972997" w14:paraId="59FFED7E" w14:textId="77777777" w:rsidTr="00407EA4">
        <w:tc>
          <w:tcPr>
            <w:tcW w:w="2971" w:type="dxa"/>
          </w:tcPr>
          <w:p w14:paraId="781DAD1F" w14:textId="4D35943E" w:rsidR="0083014E" w:rsidRPr="00972997" w:rsidRDefault="0083014E" w:rsidP="00407EA4">
            <w:pPr>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Business”</w:t>
            </w:r>
          </w:p>
        </w:tc>
        <w:tc>
          <w:tcPr>
            <w:tcW w:w="5075" w:type="dxa"/>
          </w:tcPr>
          <w:p w14:paraId="25877E2B" w14:textId="2240A6C6" w:rsidR="0083014E" w:rsidRPr="00972997" w:rsidRDefault="0083014E" w:rsidP="00407EA4">
            <w:pPr>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r w:rsidR="003F2EAC" w:rsidRPr="00972997">
              <w:rPr>
                <w:rFonts w:ascii="Arial" w:hAnsi="Arial" w:cs="Arial"/>
                <w:sz w:val="24"/>
                <w:szCs w:val="24"/>
              </w:rPr>
              <w:t xml:space="preserve"> and</w:t>
            </w:r>
          </w:p>
        </w:tc>
      </w:tr>
      <w:tr w:rsidR="0083014E" w:rsidRPr="00972997" w14:paraId="37CAE6D8" w14:textId="77777777" w:rsidTr="00407EA4">
        <w:tc>
          <w:tcPr>
            <w:tcW w:w="2971" w:type="dxa"/>
          </w:tcPr>
          <w:p w14:paraId="7ABC188F" w14:textId="52BC6183" w:rsidR="0083014E" w:rsidRPr="00972997" w:rsidRDefault="0083014E" w:rsidP="00407EA4">
            <w:pPr>
              <w:widowControl w:val="0"/>
              <w:pBdr>
                <w:top w:val="nil"/>
                <w:left w:val="nil"/>
                <w:bottom w:val="nil"/>
                <w:right w:val="nil"/>
                <w:between w:val="nil"/>
              </w:pBdr>
              <w:spacing w:before="120" w:after="120"/>
              <w:ind w:left="-108"/>
              <w:jc w:val="left"/>
              <w:rPr>
                <w:rFonts w:ascii="Arial" w:hAnsi="Arial" w:cs="Arial"/>
                <w:b/>
                <w:sz w:val="24"/>
                <w:szCs w:val="24"/>
              </w:rPr>
            </w:pPr>
            <w:r w:rsidRPr="00972997">
              <w:rPr>
                <w:rFonts w:ascii="Arial" w:hAnsi="Arial" w:cs="Arial"/>
                <w:b/>
                <w:sz w:val="24"/>
                <w:szCs w:val="24"/>
              </w:rPr>
              <w:t>“UK Public Sector / CNI Contract Information”</w:t>
            </w:r>
          </w:p>
        </w:tc>
        <w:tc>
          <w:tcPr>
            <w:tcW w:w="5075" w:type="dxa"/>
          </w:tcPr>
          <w:p w14:paraId="1D07300B" w14:textId="3D1C1E41" w:rsidR="0083014E" w:rsidRPr="00972997" w:rsidRDefault="0083014E" w:rsidP="00407EA4">
            <w:pPr>
              <w:widowControl w:val="0"/>
              <w:pBdr>
                <w:top w:val="nil"/>
                <w:left w:val="nil"/>
                <w:bottom w:val="nil"/>
                <w:right w:val="nil"/>
                <w:between w:val="nil"/>
              </w:pBdr>
              <w:tabs>
                <w:tab w:val="left" w:pos="-9"/>
              </w:tabs>
              <w:spacing w:before="120" w:after="120"/>
              <w:ind w:left="0"/>
              <w:jc w:val="left"/>
              <w:rPr>
                <w:rFonts w:ascii="Arial" w:hAnsi="Arial" w:cs="Arial"/>
                <w:sz w:val="24"/>
                <w:szCs w:val="24"/>
              </w:rPr>
            </w:pPr>
            <w:r w:rsidRPr="00972997">
              <w:rPr>
                <w:rFonts w:ascii="Arial" w:hAnsi="Arial" w:cs="Arial"/>
                <w:sz w:val="24"/>
                <w:szCs w:val="24"/>
              </w:rPr>
              <w:t xml:space="preserve">the information relating to the Supplier Group to be provided by the Supplier in accordance </w:t>
            </w:r>
            <w:r w:rsidRPr="00972997">
              <w:rPr>
                <w:rFonts w:ascii="Arial" w:hAnsi="Arial" w:cs="Arial"/>
                <w:sz w:val="24"/>
                <w:szCs w:val="24"/>
              </w:rPr>
              <w:lastRenderedPageBreak/>
              <w:t xml:space="preserve">with Paragraphs </w:t>
            </w:r>
            <w:r w:rsidR="00AC1050" w:rsidRPr="00972997">
              <w:rPr>
                <w:rFonts w:ascii="Arial" w:hAnsi="Arial" w:cs="Arial"/>
                <w:sz w:val="24"/>
                <w:szCs w:val="24"/>
              </w:rPr>
              <w:t>3</w:t>
            </w:r>
            <w:r w:rsidRPr="00972997">
              <w:rPr>
                <w:rFonts w:ascii="Arial" w:hAnsi="Arial" w:cs="Arial"/>
                <w:sz w:val="24"/>
                <w:szCs w:val="24"/>
              </w:rPr>
              <w:t xml:space="preserve"> to </w:t>
            </w:r>
            <w:r w:rsidR="00AC1050" w:rsidRPr="00972997">
              <w:rPr>
                <w:rFonts w:ascii="Arial" w:hAnsi="Arial" w:cs="Arial"/>
                <w:sz w:val="24"/>
                <w:szCs w:val="24"/>
              </w:rPr>
              <w:t>5</w:t>
            </w:r>
            <w:r w:rsidRPr="00972997">
              <w:rPr>
                <w:rFonts w:ascii="Arial" w:hAnsi="Arial" w:cs="Arial"/>
                <w:sz w:val="24"/>
                <w:szCs w:val="24"/>
              </w:rPr>
              <w:t xml:space="preserve"> and </w:t>
            </w:r>
            <w:r w:rsidR="00AC1050" w:rsidRPr="00972997">
              <w:rPr>
                <w:rFonts w:ascii="Arial" w:hAnsi="Arial" w:cs="Arial"/>
                <w:sz w:val="24"/>
                <w:szCs w:val="24"/>
              </w:rPr>
              <w:t>Annex 1</w:t>
            </w:r>
            <w:r w:rsidR="00837FD4" w:rsidRPr="00972997">
              <w:rPr>
                <w:rFonts w:ascii="Arial" w:hAnsi="Arial" w:cs="Arial"/>
                <w:sz w:val="24"/>
                <w:szCs w:val="24"/>
              </w:rPr>
              <w:t>.</w:t>
            </w:r>
          </w:p>
        </w:tc>
      </w:tr>
    </w:tbl>
    <w:p w14:paraId="36851536" w14:textId="3B69A57E" w:rsidR="0097484D" w:rsidRPr="00972997" w:rsidRDefault="0097484D" w:rsidP="00407EA4">
      <w:pPr>
        <w:widowControl w:val="0"/>
        <w:pBdr>
          <w:top w:val="nil"/>
          <w:left w:val="nil"/>
          <w:bottom w:val="nil"/>
          <w:right w:val="nil"/>
          <w:between w:val="nil"/>
        </w:pBdr>
        <w:tabs>
          <w:tab w:val="left" w:pos="0"/>
        </w:tabs>
        <w:spacing w:before="120" w:after="120"/>
        <w:ind w:left="0"/>
        <w:jc w:val="left"/>
        <w:rPr>
          <w:rFonts w:eastAsia="Arial Bold"/>
          <w:b/>
        </w:rPr>
      </w:pPr>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1ci93xb" w:colFirst="0" w:colLast="0"/>
      <w:bookmarkStart w:id="8" w:name="_heading=h.4d34og8" w:colFirst="0" w:colLast="0"/>
      <w:bookmarkStart w:id="9" w:name="_heading=h.2s8eyo1" w:colFirst="0" w:colLast="0"/>
      <w:bookmarkStart w:id="10" w:name="_heading=h.17dp8vu" w:colFirst="0" w:colLast="0"/>
      <w:bookmarkStart w:id="11" w:name="_heading=h.3rdcrjn" w:colFirst="0" w:colLast="0"/>
      <w:bookmarkStart w:id="12" w:name="_heading=h.26in1rg" w:colFirst="0" w:colLast="0"/>
      <w:bookmarkStart w:id="13" w:name="_heading=h.lnxbz9" w:colFirst="0" w:colLast="0"/>
      <w:bookmarkStart w:id="14" w:name="_heading=h.35nkun2" w:colFirst="0" w:colLast="0"/>
      <w:bookmarkStart w:id="15" w:name="_heading=h.1ksv4uv" w:colFirst="0" w:colLast="0"/>
      <w:bookmarkStart w:id="16" w:name="_heading=h.44sinio" w:colFirst="0" w:colLast="0"/>
      <w:bookmarkStart w:id="17" w:name="_heading=h.2jxsxqh" w:colFirst="0" w:colLast="0"/>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5E36547" w14:textId="77777777" w:rsidR="0097484D" w:rsidRPr="00972997" w:rsidRDefault="0097484D" w:rsidP="00407EA4">
      <w:pPr>
        <w:widowControl w:val="0"/>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Service Status and Supplier Status</w:t>
      </w:r>
    </w:p>
    <w:p w14:paraId="0FB14317" w14:textId="5B522D64" w:rsidR="0097484D" w:rsidRPr="00972997" w:rsidRDefault="0097484D" w:rsidP="664D45EC">
      <w:pPr>
        <w:widowControl w:val="0"/>
        <w:numPr>
          <w:ilvl w:val="1"/>
          <w:numId w:val="1"/>
        </w:numPr>
        <w:pBdr>
          <w:top w:val="nil"/>
          <w:left w:val="nil"/>
          <w:bottom w:val="nil"/>
          <w:right w:val="nil"/>
          <w:between w:val="nil"/>
        </w:pBdr>
        <w:spacing w:before="120" w:after="120"/>
        <w:ind w:left="1134" w:hanging="708"/>
        <w:jc w:val="left"/>
      </w:pPr>
      <w:r>
        <w:t xml:space="preserve">This Contract </w:t>
      </w:r>
      <w:r w:rsidRPr="664D45EC">
        <w:rPr>
          <w:highlight w:val="yellow"/>
        </w:rPr>
        <w:t>[insert ‘is’ or ‘is not’</w:t>
      </w:r>
      <w:r>
        <w:t>] a Critical Service Contract.</w:t>
      </w:r>
    </w:p>
    <w:p w14:paraId="7AA448F0" w14:textId="51404EFA" w:rsidR="004A2951" w:rsidRPr="00972997" w:rsidRDefault="004A2951" w:rsidP="00407EA4">
      <w:pPr>
        <w:pStyle w:val="ListParagraph"/>
        <w:widowControl w:val="0"/>
        <w:pBdr>
          <w:top w:val="nil"/>
          <w:left w:val="nil"/>
          <w:bottom w:val="nil"/>
          <w:right w:val="nil"/>
          <w:between w:val="nil"/>
        </w:pBdr>
        <w:spacing w:before="120" w:after="120"/>
        <w:ind w:left="426"/>
        <w:contextualSpacing w:val="0"/>
        <w:jc w:val="left"/>
      </w:pPr>
      <w:r w:rsidRPr="00972997">
        <w:rPr>
          <w:b/>
          <w:i/>
          <w:highlight w:val="yellow"/>
        </w:rPr>
        <w:t>[</w:t>
      </w:r>
      <w:r w:rsidR="00FF2CFF" w:rsidRPr="00972997">
        <w:rPr>
          <w:b/>
          <w:i/>
          <w:highlight w:val="yellow"/>
        </w:rPr>
        <w:t xml:space="preserve">Buyer </w:t>
      </w:r>
      <w:r w:rsidRPr="00972997">
        <w:rPr>
          <w:b/>
          <w:i/>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53D67AE7" w14:textId="351BBCCF" w:rsidR="004A2951"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The Supplier shall notify the Buyer </w:t>
      </w:r>
      <w:r w:rsidR="00623741" w:rsidRPr="00972997">
        <w:t xml:space="preserve">and the Cabinet Office Markets and Suppliers Team </w:t>
      </w:r>
      <w:r w:rsidRPr="00972997">
        <w:t>in writing within 5 Working Days of the Effective Date and throughout the Call-Off Contract Period within 120 days after each Accounting Reference Date as to whether or not it is a Public Sector Dependent Supplier.</w:t>
      </w:r>
      <w:r w:rsidR="004A2951" w:rsidRPr="00972997">
        <w:t xml:space="preserve"> The contact email address for the Markets and Suppliers Team is </w:t>
      </w:r>
      <w:hyperlink r:id="rId10" w:history="1">
        <w:r w:rsidR="004A2951" w:rsidRPr="00972997">
          <w:rPr>
            <w:rStyle w:val="Hyperlink"/>
          </w:rPr>
          <w:t>resolution.planning@cabinetoffice.gov.uk</w:t>
        </w:r>
      </w:hyperlink>
      <w:r w:rsidR="004A2951" w:rsidRPr="00972997">
        <w:t>.</w:t>
      </w:r>
    </w:p>
    <w:p w14:paraId="0554B039"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Provision of Corporate Resolution Planning Information</w:t>
      </w:r>
    </w:p>
    <w:p w14:paraId="1CF93C1F" w14:textId="5188681C"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Paragraphs </w:t>
      </w:r>
      <w:r w:rsidR="004A2951" w:rsidRPr="00972997">
        <w:t>3</w:t>
      </w:r>
      <w:r w:rsidRPr="00972997">
        <w:t xml:space="preserve"> to </w:t>
      </w:r>
      <w:r w:rsidR="004A2951" w:rsidRPr="00972997">
        <w:t>5</w:t>
      </w:r>
      <w:r w:rsidRPr="00972997">
        <w:t xml:space="preserve"> shall apply if the Contract has been specified as a Critical Service Contract under Paragraph </w:t>
      </w:r>
      <w:r w:rsidR="004A2951" w:rsidRPr="00972997">
        <w:t>2</w:t>
      </w:r>
      <w:r w:rsidRPr="00972997">
        <w:t>.1 or the Supplier is or becomes a Public Sector Dependent Supplier.</w:t>
      </w:r>
    </w:p>
    <w:p w14:paraId="20843AB2" w14:textId="7D6654D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Paragraphs </w:t>
      </w:r>
      <w:r w:rsidR="004A2951" w:rsidRPr="00972997">
        <w:t>3</w:t>
      </w:r>
      <w:r w:rsidRPr="00972997">
        <w:t xml:space="preserve">.6, </w:t>
      </w:r>
      <w:r w:rsidR="004A2951" w:rsidRPr="00972997">
        <w:t>3</w:t>
      </w:r>
      <w:r w:rsidRPr="00972997">
        <w:t xml:space="preserve">.10 and </w:t>
      </w:r>
      <w:r w:rsidR="004A2951" w:rsidRPr="00972997">
        <w:t>3</w:t>
      </w:r>
      <w:r w:rsidRPr="00972997">
        <w:t>.11:</w:t>
      </w:r>
    </w:p>
    <w:p w14:paraId="0BCC7271" w14:textId="4BF4C34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where the Contract is a Critical Service Contract, the Supplier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Effective Date; and</w:t>
      </w:r>
    </w:p>
    <w:p w14:paraId="3D4F203C" w14:textId="01EB5FA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except where it has already been provided, where the Supplier is a Public Sector Dependent Supplier, it shall provide the </w:t>
      </w:r>
      <w:r w:rsidR="00063994" w:rsidRPr="00972997">
        <w:t>Appropriate Authority</w:t>
      </w:r>
      <w:r w:rsidRPr="00972997">
        <w:t xml:space="preserve"> or </w:t>
      </w:r>
      <w:r w:rsidR="00063994" w:rsidRPr="00972997">
        <w:t>Appropriate Authorities</w:t>
      </w:r>
      <w:r w:rsidRPr="00972997">
        <w:t xml:space="preserve"> with the CRP Information within 60 days of the date of the </w:t>
      </w:r>
      <w:r w:rsidR="00063994" w:rsidRPr="00972997">
        <w:t>Appropriate Authority</w:t>
      </w:r>
      <w:r w:rsidRPr="00972997">
        <w:t xml:space="preserve">’s or </w:t>
      </w:r>
      <w:r w:rsidR="00063994" w:rsidRPr="00972997">
        <w:t>Appropriate Authorities</w:t>
      </w:r>
      <w:r w:rsidRPr="00972997">
        <w:t>’ request.</w:t>
      </w:r>
    </w:p>
    <w:p w14:paraId="1F9466B4" w14:textId="2B7F739F"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ensure that the CRP Information provided pursuant to Paragraphs </w:t>
      </w:r>
      <w:r w:rsidR="00FB0FF8" w:rsidRPr="00972997">
        <w:t>3</w:t>
      </w:r>
      <w:r w:rsidRPr="00972997">
        <w:t xml:space="preserve">.2, </w:t>
      </w:r>
      <w:r w:rsidR="00FB0FF8" w:rsidRPr="00972997">
        <w:t>3</w:t>
      </w:r>
      <w:r w:rsidRPr="00972997">
        <w:t xml:space="preserve">.8 and </w:t>
      </w:r>
      <w:r w:rsidR="00FB0FF8" w:rsidRPr="00972997">
        <w:t>3</w:t>
      </w:r>
      <w:r w:rsidRPr="00972997">
        <w:t>.9:</w:t>
      </w:r>
    </w:p>
    <w:p w14:paraId="1B34D71E"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is full, comprehensive, accurate and up to date;</w:t>
      </w:r>
    </w:p>
    <w:p w14:paraId="552D5790" w14:textId="53836158"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is split into </w:t>
      </w:r>
      <w:r w:rsidR="00FB0FF8" w:rsidRPr="00972997">
        <w:t xml:space="preserve">three </w:t>
      </w:r>
      <w:r w:rsidRPr="00972997">
        <w:t>parts:</w:t>
      </w:r>
    </w:p>
    <w:p w14:paraId="47851BF5" w14:textId="2E284E80"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Exposure</w:t>
      </w:r>
      <w:r w:rsidR="0097484D" w:rsidRPr="00972997">
        <w:t xml:space="preserve"> Information </w:t>
      </w:r>
      <w:r w:rsidRPr="00972997">
        <w:t>(Contracts List)</w:t>
      </w:r>
      <w:r w:rsidR="0097484D" w:rsidRPr="00972997">
        <w:t>;</w:t>
      </w:r>
    </w:p>
    <w:p w14:paraId="588E6E61" w14:textId="63B2D49E" w:rsidR="0097484D"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Corporate Resolvability Assessment (Structural Review)</w:t>
      </w:r>
      <w:r w:rsidR="0097484D" w:rsidRPr="00972997">
        <w:t>;</w:t>
      </w:r>
    </w:p>
    <w:p w14:paraId="1045CEB7" w14:textId="0DDEAE8B" w:rsidR="007B2879" w:rsidRPr="00972997" w:rsidRDefault="007B2879"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 Financial Information and Commentary</w:t>
      </w:r>
    </w:p>
    <w:p w14:paraId="32DAB55B" w14:textId="687A414E" w:rsidR="007B2879" w:rsidRPr="00972997" w:rsidRDefault="007B2879" w:rsidP="00407EA4">
      <w:pPr>
        <w:pStyle w:val="ListParagraph"/>
        <w:widowControl w:val="0"/>
        <w:pBdr>
          <w:top w:val="nil"/>
          <w:left w:val="nil"/>
          <w:bottom w:val="nil"/>
          <w:right w:val="nil"/>
          <w:between w:val="nil"/>
        </w:pBdr>
        <w:spacing w:before="120" w:after="120"/>
        <w:ind w:left="1985"/>
        <w:contextualSpacing w:val="0"/>
        <w:jc w:val="left"/>
      </w:pPr>
      <w:r w:rsidRPr="00972997">
        <w:t xml:space="preserve">and is structured and presented in accordance with the requirements and explanatory notes set out in the latest published version of the Resolution Planning Guidance Note published by the Cabinet Office Government Commercial Function and </w:t>
      </w:r>
      <w:r w:rsidRPr="00972997">
        <w:lastRenderedPageBreak/>
        <w:t xml:space="preserve">available at </w:t>
      </w:r>
      <w:hyperlink r:id="rId11" w:history="1">
        <w:r w:rsidRPr="00972997">
          <w:rPr>
            <w:rStyle w:val="Hyperlink"/>
          </w:rPr>
          <w:t>https://www.gov.uk/government/publications/the-sourcing-and-consultancy-playbooks</w:t>
        </w:r>
      </w:hyperlink>
      <w:r w:rsidRPr="00972997">
        <w:t xml:space="preserve"> and contains the level of detail required (adapted as necessary to the Supplier’s circumstances);</w:t>
      </w:r>
    </w:p>
    <w:p w14:paraId="6B2D5A0D" w14:textId="148F06C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incorporates any additional commentary, supporting documents and evidence which would reasonably be required by the </w:t>
      </w:r>
      <w:r w:rsidR="00063994" w:rsidRPr="00972997">
        <w:t>Appropriate Authority</w:t>
      </w:r>
      <w:r w:rsidRPr="00972997">
        <w:t xml:space="preserve"> or </w:t>
      </w:r>
      <w:r w:rsidR="00063994" w:rsidRPr="00972997">
        <w:t>Appropriate Authorities</w:t>
      </w:r>
      <w:r w:rsidRPr="00972997">
        <w:t xml:space="preserve"> to understand and consider the information for approval;</w:t>
      </w:r>
    </w:p>
    <w:p w14:paraId="45E4844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provides a clear description and explanation of the Supplier Group members that have agreements for goods, services or works provision in respect of UK Public Sector Business and/or Critical National Infrastructure and the nature of those agreements; and</w:t>
      </w:r>
    </w:p>
    <w:p w14:paraId="6AB2A23A" w14:textId="1860573D"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complies with the requirements set out at </w:t>
      </w:r>
      <w:r w:rsidR="007B2879" w:rsidRPr="00972997">
        <w:t xml:space="preserve">Annex 1 (Exposure Information (Contracts List)), Annex 2 (Corporate Resolvability Assessment (Structural Review)) and Annex 3 (Financial Information and Commentary) </w:t>
      </w:r>
      <w:r w:rsidRPr="00972997">
        <w:t>respectively.</w:t>
      </w:r>
    </w:p>
    <w:p w14:paraId="62068B7F" w14:textId="1F758A29"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Following receipt by the </w:t>
      </w:r>
      <w:r w:rsidR="00063994" w:rsidRPr="00972997">
        <w:t>Appropriate Authority</w:t>
      </w:r>
      <w:r w:rsidRPr="00972997">
        <w:t xml:space="preserve"> or </w:t>
      </w:r>
      <w:r w:rsidR="00063994" w:rsidRPr="00972997">
        <w:t>Appropriate Authorities</w:t>
      </w:r>
      <w:r w:rsidRPr="00972997">
        <w:t xml:space="preserve"> of the CRP Information pursuant to Paragraphs </w:t>
      </w:r>
      <w:r w:rsidR="00AF0FD5" w:rsidRPr="00972997">
        <w:t>3</w:t>
      </w:r>
      <w:r w:rsidRPr="00972997">
        <w:t xml:space="preserve">.2, </w:t>
      </w:r>
      <w:r w:rsidR="00AF0FD5" w:rsidRPr="00972997">
        <w:t>3</w:t>
      </w:r>
      <w:r w:rsidRPr="00972997">
        <w:t xml:space="preserve">.8 and </w:t>
      </w:r>
      <w:r w:rsidR="00AF0FD5" w:rsidRPr="00972997">
        <w:t>3</w:t>
      </w:r>
      <w:r w:rsidRPr="00972997">
        <w:t xml:space="preserve">.9, the Buyer shall procure that the </w:t>
      </w:r>
      <w:r w:rsidR="00063994" w:rsidRPr="00972997">
        <w:t>Appropriate Authority</w:t>
      </w:r>
      <w:r w:rsidRPr="00972997">
        <w:t xml:space="preserve"> or </w:t>
      </w:r>
      <w:r w:rsidR="00063994" w:rsidRPr="00972997">
        <w:t>Appropriate Authorities</w:t>
      </w:r>
      <w:r w:rsidRPr="00972997">
        <w:t xml:space="preserve"> shall discuss in good faith the contents of the CRP Information with the Supplier and no later than 60 days after the date on which the CRP Information was delivered by the Supplier either provide an Assurance to the Supplier that the </w:t>
      </w:r>
      <w:r w:rsidR="00063994" w:rsidRPr="00972997">
        <w:t>Appropriate Authority</w:t>
      </w:r>
      <w:r w:rsidRPr="00972997">
        <w:t xml:space="preserve"> or </w:t>
      </w:r>
      <w:r w:rsidR="00063994" w:rsidRPr="00972997">
        <w:t>Appropriate Authorities</w:t>
      </w:r>
      <w:r w:rsidRPr="00972997">
        <w:t xml:space="preserve"> approve the CRP Information or that the </w:t>
      </w:r>
      <w:r w:rsidR="00063994" w:rsidRPr="00972997">
        <w:t>Appropriate Authority</w:t>
      </w:r>
      <w:r w:rsidRPr="00972997">
        <w:t xml:space="preserve"> or </w:t>
      </w:r>
      <w:r w:rsidR="00063994" w:rsidRPr="00972997">
        <w:t>Appropriate Authorities</w:t>
      </w:r>
      <w:r w:rsidRPr="00972997">
        <w:t xml:space="preserve"> reject the CRP Information.</w:t>
      </w:r>
    </w:p>
    <w:p w14:paraId="30226DB7" w14:textId="7B41FFD6" w:rsidR="0097484D" w:rsidRPr="00972997" w:rsidRDefault="0097484D" w:rsidP="00407EA4">
      <w:pPr>
        <w:widowControl w:val="0"/>
        <w:numPr>
          <w:ilvl w:val="1"/>
          <w:numId w:val="1"/>
        </w:numPr>
        <w:pBdr>
          <w:top w:val="nil"/>
          <w:left w:val="nil"/>
          <w:bottom w:val="nil"/>
          <w:right w:val="nil"/>
          <w:between w:val="nil"/>
        </w:pBdr>
        <w:spacing w:before="120" w:after="120"/>
        <w:ind w:left="1134" w:hanging="708"/>
        <w:jc w:val="left"/>
      </w:pPr>
      <w:r w:rsidRPr="00972997">
        <w:t xml:space="preserve">If the </w:t>
      </w:r>
      <w:r w:rsidR="00063994" w:rsidRPr="00972997">
        <w:t>Appropriate Authority</w:t>
      </w:r>
      <w:r w:rsidRPr="00972997">
        <w:t xml:space="preserve"> or </w:t>
      </w:r>
      <w:r w:rsidR="00063994" w:rsidRPr="00972997">
        <w:t>Appropriate Authorities</w:t>
      </w:r>
      <w:r w:rsidRPr="00972997">
        <w:t xml:space="preserve"> reject the CRP Information:</w:t>
      </w:r>
    </w:p>
    <w:p w14:paraId="33D7D282" w14:textId="77777777"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the Buyer shall (and shall procure that the Cabinet Office Markets and Suppliers Team shall) inform the Supplier in writing of its reasons for its rejection; and</w:t>
      </w:r>
    </w:p>
    <w:p w14:paraId="79B39493" w14:textId="38A37EBF"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Supplier shall revise the CRP Information, taking reasonable account of the </w:t>
      </w:r>
      <w:r w:rsidR="00063994" w:rsidRPr="00972997">
        <w:t>Appropriate Authority</w:t>
      </w:r>
      <w:r w:rsidRPr="00972997">
        <w:t xml:space="preserve">’s or </w:t>
      </w:r>
      <w:r w:rsidR="00063994" w:rsidRPr="00972997">
        <w:t>Appropriate Authorities</w:t>
      </w:r>
      <w:r w:rsidRPr="00972997">
        <w:t xml:space="preserve">’ comments, and shall re-submit the CRP Information to the </w:t>
      </w:r>
      <w:r w:rsidR="00063994" w:rsidRPr="00972997">
        <w:t>Appropriate Authority</w:t>
      </w:r>
      <w:r w:rsidRPr="00972997">
        <w:t xml:space="preserve"> or </w:t>
      </w:r>
      <w:r w:rsidR="00063994" w:rsidRPr="00972997">
        <w:t>Appropriate Authorities</w:t>
      </w:r>
      <w:r w:rsidRPr="00972997">
        <w:t xml:space="preserve"> for approval within 30 days of the date of the </w:t>
      </w:r>
      <w:r w:rsidR="00063994" w:rsidRPr="00972997">
        <w:t>Appropriate Authority</w:t>
      </w:r>
      <w:r w:rsidRPr="00972997">
        <w:t xml:space="preserve">’s or </w:t>
      </w:r>
      <w:r w:rsidR="00063994" w:rsidRPr="00972997">
        <w:t>Appropriate Authorities</w:t>
      </w:r>
      <w:r w:rsidRPr="00972997">
        <w:t xml:space="preserve">’ rejection. The provisions of paragraph </w:t>
      </w:r>
      <w:r w:rsidR="00216310" w:rsidRPr="00972997">
        <w:t>3</w:t>
      </w:r>
      <w:r w:rsidRPr="00972997">
        <w:t xml:space="preserve">.3 to </w:t>
      </w:r>
      <w:r w:rsidR="00216310" w:rsidRPr="00972997">
        <w:t>3</w:t>
      </w:r>
      <w:r w:rsidRPr="00972997">
        <w:t>.5 shall apply again to any resubmitted CRP Information provided that either Party may refer any disputed matters for resolution by the Dispute Resolution Procedure under Clause 3</w:t>
      </w:r>
      <w:r w:rsidR="007266D7" w:rsidRPr="00972997">
        <w:t>8</w:t>
      </w:r>
      <w:r w:rsidRPr="00972997">
        <w:t xml:space="preserve"> </w:t>
      </w:r>
      <w:r w:rsidR="00C07FA2" w:rsidRPr="00C07FA2">
        <w:rPr>
          <w:i/>
        </w:rPr>
        <w:t xml:space="preserve">(Resolving </w:t>
      </w:r>
      <w:r w:rsidR="00395CF8">
        <w:rPr>
          <w:i/>
        </w:rPr>
        <w:t>disputes</w:t>
      </w:r>
      <w:r w:rsidR="00C07FA2" w:rsidRPr="00C07FA2">
        <w:rPr>
          <w:i/>
        </w:rPr>
        <w:t>)</w:t>
      </w:r>
      <w:r w:rsidR="00C07FA2">
        <w:t xml:space="preserve"> </w:t>
      </w:r>
      <w:r w:rsidRPr="00972997">
        <w:t xml:space="preserve">of the </w:t>
      </w:r>
      <w:r w:rsidR="00E407A9" w:rsidRPr="00972997">
        <w:t xml:space="preserve">General </w:t>
      </w:r>
      <w:r w:rsidRPr="00972997">
        <w:t>Terms at any time.</w:t>
      </w:r>
    </w:p>
    <w:p w14:paraId="7957B2F3" w14:textId="1F655420"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Where the Supplier or a member of the Supplier Group has already provided CRP Information to a </w:t>
      </w:r>
      <w:r w:rsidR="00D916F1" w:rsidRPr="00972997">
        <w:t>Crown</w:t>
      </w:r>
      <w:r w:rsidR="00407EA4">
        <w:t xml:space="preserve"> </w:t>
      </w:r>
      <w:r w:rsidR="00216310" w:rsidRPr="00972997">
        <w:t xml:space="preserve">Body </w:t>
      </w:r>
      <w:r w:rsidRPr="00972997">
        <w:t xml:space="preserve">or the Cabinet Office Markets and Suppliers Team (or, in the case of a Strategic Supplier, solely to the Cabinet Office Markets and Suppliers Team) and has received an Assurance of its CRP Information from that </w:t>
      </w:r>
      <w:r w:rsidR="00D916F1" w:rsidRPr="00972997">
        <w:t>Crown</w:t>
      </w:r>
      <w:r w:rsidR="00407EA4">
        <w:t xml:space="preserve"> </w:t>
      </w:r>
      <w:r w:rsidR="00216310" w:rsidRPr="00972997">
        <w:t xml:space="preserve">Body </w:t>
      </w:r>
      <w:r w:rsidRPr="00972997">
        <w:t xml:space="preserve">and the Cabinet </w:t>
      </w:r>
      <w:r w:rsidRPr="00972997">
        <w:lastRenderedPageBreak/>
        <w:t xml:space="preserve">Office Markets and Suppliers Team (or, in the case of a Strategic Supplier, solely from the Cabinet Office Markets and Suppliers Team), then provided that the Assurance remains Valid (which has the meaning in paragraph </w:t>
      </w:r>
      <w:r w:rsidR="00216310" w:rsidRPr="00972997">
        <w:t>3</w:t>
      </w:r>
      <w:r w:rsidRPr="00972997">
        <w:t xml:space="preserve">.7 below) on the date by which the CRP Information would otherwise be required, the Supplier shall not be required to provide the CRP Information under Paragraph </w:t>
      </w:r>
      <w:r w:rsidR="00216310" w:rsidRPr="00972997">
        <w:t>3</w:t>
      </w:r>
      <w:r w:rsidRPr="00972997">
        <w:t xml:space="preserve">.2 if it provides a copy of the Valid Assurance to the </w:t>
      </w:r>
      <w:r w:rsidR="00063994" w:rsidRPr="00972997">
        <w:t>Appropriate Authority</w:t>
      </w:r>
      <w:r w:rsidRPr="00972997">
        <w:t xml:space="preserve"> or </w:t>
      </w:r>
      <w:r w:rsidR="00063994" w:rsidRPr="00972997">
        <w:t>Appropriate Authorities</w:t>
      </w:r>
      <w:r w:rsidRPr="00972997">
        <w:t xml:space="preserve"> on or before the date on which the CRP Information would otherwise have been required.</w:t>
      </w:r>
    </w:p>
    <w:p w14:paraId="347915AE" w14:textId="0E4D7B17" w:rsidR="0097484D" w:rsidRPr="00972997" w:rsidRDefault="0097484D" w:rsidP="00407EA4">
      <w:pPr>
        <w:widowControl w:val="0"/>
        <w:numPr>
          <w:ilvl w:val="1"/>
          <w:numId w:val="1"/>
        </w:numPr>
        <w:pBdr>
          <w:top w:val="nil"/>
          <w:left w:val="nil"/>
          <w:bottom w:val="nil"/>
          <w:right w:val="nil"/>
          <w:between w:val="nil"/>
        </w:pBdr>
        <w:spacing w:before="120" w:after="120"/>
        <w:ind w:left="1134" w:hanging="567"/>
        <w:jc w:val="left"/>
      </w:pPr>
      <w:r w:rsidRPr="00972997">
        <w:t xml:space="preserve">An Assurance shall be deemed Valid for the purposes of Paragraph </w:t>
      </w:r>
      <w:r w:rsidR="00216310" w:rsidRPr="00972997">
        <w:t>3</w:t>
      </w:r>
      <w:r w:rsidRPr="00972997">
        <w:t>.6 if:</w:t>
      </w:r>
    </w:p>
    <w:p w14:paraId="2441825D" w14:textId="5E07FC26" w:rsidR="0097484D" w:rsidRPr="00972997" w:rsidRDefault="0097484D" w:rsidP="00407EA4">
      <w:pPr>
        <w:widowControl w:val="0"/>
        <w:numPr>
          <w:ilvl w:val="2"/>
          <w:numId w:val="1"/>
        </w:numPr>
        <w:pBdr>
          <w:top w:val="nil"/>
          <w:left w:val="nil"/>
          <w:bottom w:val="nil"/>
          <w:right w:val="nil"/>
          <w:between w:val="nil"/>
        </w:pBdr>
        <w:spacing w:before="120" w:after="120"/>
        <w:ind w:left="1985" w:hanging="851"/>
        <w:jc w:val="left"/>
      </w:pPr>
      <w:r w:rsidRPr="00972997">
        <w:t xml:space="preserve">the Assurance is within the validity period stated in the Assurance (or, if no validity period is stated, no more than </w:t>
      </w:r>
      <w:r w:rsidR="00D916F1" w:rsidRPr="00972997">
        <w:t>twelve (</w:t>
      </w:r>
      <w:r w:rsidRPr="00972997">
        <w:t>12</w:t>
      </w:r>
      <w:r w:rsidR="00D916F1" w:rsidRPr="00972997">
        <w:t>)</w:t>
      </w:r>
      <w:r w:rsidRPr="00972997">
        <w:t xml:space="preserve"> months has elapsed since it was issued and no more than </w:t>
      </w:r>
      <w:r w:rsidR="00D916F1" w:rsidRPr="00972997">
        <w:t>eighteen (</w:t>
      </w:r>
      <w:r w:rsidRPr="00972997">
        <w:t>18</w:t>
      </w:r>
      <w:r w:rsidR="00D916F1" w:rsidRPr="00972997">
        <w:t>)</w:t>
      </w:r>
      <w:r w:rsidRPr="00972997">
        <w:t xml:space="preserve"> months has elapsed since the Accounting Reference Date on which the CRP Information was based); and</w:t>
      </w:r>
    </w:p>
    <w:p w14:paraId="0032EE93" w14:textId="477ADC04"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no Corporate Change Events or Financial Distress Events (or events which would be deemed to be Corporate Change Events or Financial Distress Events if th</w:t>
      </w:r>
      <w:r w:rsidR="00D916F1" w:rsidRPr="00972997">
        <w:t>is</w:t>
      </w:r>
      <w:r w:rsidRPr="00972997">
        <w:t xml:space="preserve"> Contract had then been in force) have occurred since the date of issue of the Assurance.</w:t>
      </w:r>
    </w:p>
    <w:p w14:paraId="3CF72723" w14:textId="0A99D0A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If the Contract is a Critical Service Contract, the Supplier shall provide an updated version of the CRP Information (or, in the case of Paragraph </w:t>
      </w:r>
      <w:r w:rsidR="00211DEE" w:rsidRPr="00972997">
        <w:t>3</w:t>
      </w:r>
      <w:r w:rsidRPr="00972997">
        <w:t>.8</w:t>
      </w:r>
      <w:r w:rsidR="005906E1" w:rsidRPr="00972997">
        <w:t>.3</w:t>
      </w:r>
      <w:r w:rsidRPr="00972997">
        <w:t xml:space="preserve"> of its initial CRP Information) to the </w:t>
      </w:r>
      <w:r w:rsidR="00063994" w:rsidRPr="00972997">
        <w:t>Appropriate Authority</w:t>
      </w:r>
      <w:r w:rsidRPr="00972997">
        <w:t xml:space="preserve"> or </w:t>
      </w:r>
      <w:r w:rsidR="00063994" w:rsidRPr="00972997">
        <w:t>Appropriate Authorities</w:t>
      </w:r>
      <w:r w:rsidRPr="00972997">
        <w:t>:</w:t>
      </w:r>
    </w:p>
    <w:p w14:paraId="70A54A39" w14:textId="185C5D19"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fourteen (</w:t>
      </w:r>
      <w:r w:rsidRPr="00972997">
        <w:t>14</w:t>
      </w:r>
      <w:r w:rsidR="008B6D43" w:rsidRPr="00972997">
        <w:t>)</w:t>
      </w:r>
      <w:r w:rsidRPr="00972997">
        <w:t xml:space="preserve"> days of the occurrence of a Financial Distress Event (along with any additional highly confidential information no longer exempted from disclosure under Paragraph </w:t>
      </w:r>
      <w:r w:rsidR="00211DEE" w:rsidRPr="00972997">
        <w:t>3</w:t>
      </w:r>
      <w:r w:rsidRPr="00972997">
        <w:t xml:space="preserve">.11) unless the Supplier is relieved of the consequences of the Financial Distress Event under Paragraph 7.1 </w:t>
      </w:r>
      <w:r w:rsidR="004E7615" w:rsidRPr="00972997">
        <w:t>of</w:t>
      </w:r>
      <w:r w:rsidRPr="00972997">
        <w:t xml:space="preserve"> Joint Schedule 7 </w:t>
      </w:r>
      <w:r w:rsidRPr="00C07FA2">
        <w:rPr>
          <w:i/>
        </w:rPr>
        <w:t>(Financial Distress)</w:t>
      </w:r>
      <w:r w:rsidRPr="00972997">
        <w:t xml:space="preserve"> (if applicable);</w:t>
      </w:r>
    </w:p>
    <w:p w14:paraId="1A65AC23" w14:textId="0B997E08" w:rsidR="00211DEE"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within </w:t>
      </w:r>
      <w:r w:rsidR="008B6D43" w:rsidRPr="00972997">
        <w:t>thirty (</w:t>
      </w:r>
      <w:r w:rsidRPr="00972997">
        <w:t>30</w:t>
      </w:r>
      <w:r w:rsidR="008B6D43" w:rsidRPr="00972997">
        <w:t>)</w:t>
      </w:r>
      <w:r w:rsidRPr="00972997">
        <w:t xml:space="preserve"> days of a Corporate Change Event unless</w:t>
      </w:r>
      <w:r w:rsidR="00C07FA2">
        <w:t>:</w:t>
      </w:r>
    </w:p>
    <w:p w14:paraId="11047B38" w14:textId="46FCA1FB" w:rsidR="00211DEE" w:rsidRPr="00972997" w:rsidRDefault="00211DEE" w:rsidP="00407EA4">
      <w:pPr>
        <w:keepNext/>
        <w:numPr>
          <w:ilvl w:val="3"/>
          <w:numId w:val="1"/>
        </w:numPr>
        <w:pBdr>
          <w:top w:val="nil"/>
          <w:left w:val="nil"/>
          <w:bottom w:val="nil"/>
          <w:right w:val="nil"/>
          <w:between w:val="nil"/>
        </w:pBdr>
        <w:spacing w:before="120" w:after="120"/>
        <w:ind w:left="2835" w:hanging="850"/>
        <w:jc w:val="left"/>
      </w:pPr>
      <w:r w:rsidRPr="00972997">
        <w:t xml:space="preserve">the Supplier requests and the </w:t>
      </w:r>
      <w:r w:rsidR="00AA2319" w:rsidRPr="00972997">
        <w:t>Appropriate Authority</w:t>
      </w:r>
      <w:r w:rsidRPr="00972997">
        <w:t xml:space="preserve"> (acting reasonably) agrees to a Corporate Change Event Grace Period, in the event of which the time period for the Supplier to comply with this Paragraph shall be extended as determined by the </w:t>
      </w:r>
      <w:r w:rsidR="00AA2319" w:rsidRPr="00972997">
        <w:t>Appropriate Authority</w:t>
      </w:r>
      <w:r w:rsidRPr="00972997">
        <w:t xml:space="preserve"> (acting reasonably) but shall in any case be no longer than six months after the Corporate Change Event.  During a Corporate Change Event Grace Period the Supplier shall regularly and fully engage with the </w:t>
      </w:r>
      <w:r w:rsidR="00AA2319" w:rsidRPr="00972997">
        <w:t>Appropriate Authority</w:t>
      </w:r>
      <w:r w:rsidRPr="00972997">
        <w:t xml:space="preserve"> to enable it to understand the nature of the Corporate Change Event and the </w:t>
      </w:r>
      <w:r w:rsidR="00AA2319" w:rsidRPr="00972997">
        <w:t xml:space="preserve">Appropriate Authority </w:t>
      </w:r>
      <w:r w:rsidRPr="00972997">
        <w:t xml:space="preserve"> shall reserve the right to terminate a Corporate Change Event </w:t>
      </w:r>
      <w:r w:rsidRPr="00972997">
        <w:lastRenderedPageBreak/>
        <w:t>Grace Period at any time if the Supplier fails to comply with this Paragraph; or</w:t>
      </w:r>
    </w:p>
    <w:p w14:paraId="101D5323" w14:textId="5CB59B74" w:rsidR="0097484D" w:rsidRPr="00972997" w:rsidRDefault="0097484D" w:rsidP="00407EA4">
      <w:pPr>
        <w:keepNext/>
        <w:numPr>
          <w:ilvl w:val="3"/>
          <w:numId w:val="1"/>
        </w:numPr>
        <w:pBdr>
          <w:top w:val="nil"/>
          <w:left w:val="nil"/>
          <w:bottom w:val="nil"/>
          <w:right w:val="nil"/>
          <w:between w:val="nil"/>
        </w:pBdr>
        <w:spacing w:before="120" w:after="120"/>
        <w:ind w:left="2835" w:hanging="850"/>
        <w:jc w:val="left"/>
      </w:pPr>
      <w:r w:rsidRPr="00972997">
        <w:t xml:space="preserve"> not required pursuant to Paragraph </w:t>
      </w:r>
      <w:r w:rsidR="00211DEE" w:rsidRPr="00972997">
        <w:t>3</w:t>
      </w:r>
      <w:r w:rsidRPr="00972997">
        <w:t>.10;</w:t>
      </w:r>
    </w:p>
    <w:p w14:paraId="500B24E1"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within 30 days of the date that:</w:t>
      </w:r>
    </w:p>
    <w:p w14:paraId="5692AA4C" w14:textId="3E199B51"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the credit rating(s) of each of the Supplier and its Parent Undertakings fail to meet any of the criteria specified in Paragraph </w:t>
      </w:r>
      <w:r w:rsidR="00AA2319" w:rsidRPr="00972997">
        <w:t>3</w:t>
      </w:r>
      <w:r w:rsidRPr="00972997">
        <w:t>.10; or</w:t>
      </w:r>
    </w:p>
    <w:p w14:paraId="539C084A" w14:textId="77684BA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none of the credit rating agencies specified at Paragraph </w:t>
      </w:r>
      <w:r w:rsidR="00AA2319" w:rsidRPr="00972997">
        <w:t>3</w:t>
      </w:r>
      <w:r w:rsidRPr="00972997">
        <w:t>.10 hold a public credit rating for the Supplier or any of its Parent Undertakings; and</w:t>
      </w:r>
    </w:p>
    <w:p w14:paraId="23F6E131" w14:textId="5A323E2E"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in any event, within 6 months after each Accounting Reference Date or within 15 months of the date of the previous Assurance received from the </w:t>
      </w:r>
      <w:r w:rsidR="00063994" w:rsidRPr="00972997">
        <w:t>Appropriate Authority</w:t>
      </w:r>
      <w:r w:rsidRPr="00972997">
        <w:t xml:space="preserve"> (whichever is the earlier), unless:</w:t>
      </w:r>
    </w:p>
    <w:p w14:paraId="5129D444" w14:textId="4532E6EA"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updated CRP Information has been provided under any of Paragraphs </w:t>
      </w:r>
      <w:r w:rsidR="00AA2319" w:rsidRPr="00972997">
        <w:t>3</w:t>
      </w:r>
      <w:r w:rsidR="005906E1" w:rsidRPr="00972997">
        <w:t>.</w:t>
      </w:r>
      <w:r w:rsidRPr="00972997">
        <w:t>8</w:t>
      </w:r>
      <w:r w:rsidR="005906E1" w:rsidRPr="00972997">
        <w:t>.1</w:t>
      </w:r>
      <w:r w:rsidRPr="00972997">
        <w:t xml:space="preserve"> </w:t>
      </w:r>
      <w:r w:rsidR="00AA2319" w:rsidRPr="00972997">
        <w:t>3</w:t>
      </w:r>
      <w:r w:rsidRPr="00972997">
        <w:t>.8</w:t>
      </w:r>
      <w:r w:rsidR="005906E1" w:rsidRPr="00972997">
        <w:t>.2</w:t>
      </w:r>
      <w:r w:rsidRPr="00972997">
        <w:t xml:space="preserve"> or </w:t>
      </w:r>
      <w:r w:rsidR="00AA2319" w:rsidRPr="00972997">
        <w:t>3</w:t>
      </w:r>
      <w:r w:rsidRPr="00972997">
        <w:t>.8</w:t>
      </w:r>
      <w:r w:rsidR="005906E1" w:rsidRPr="00972997">
        <w:t>.3</w:t>
      </w:r>
      <w:r w:rsidRPr="00972997">
        <w:t xml:space="preserve"> since the most recent Accounting Reference Date (being no more than 12 months previously) within the timescales that would ordinarily be required for the provision of that information under this Paragraph </w:t>
      </w:r>
      <w:r w:rsidR="00AA2319" w:rsidRPr="00972997">
        <w:t>3</w:t>
      </w:r>
      <w:r w:rsidRPr="00972997">
        <w:t>.8</w:t>
      </w:r>
      <w:r w:rsidR="005906E1" w:rsidRPr="00972997">
        <w:t>.4</w:t>
      </w:r>
      <w:r w:rsidRPr="00972997">
        <w:t>; or</w:t>
      </w:r>
    </w:p>
    <w:p w14:paraId="4CC108C6" w14:textId="1A35B898"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 xml:space="preserve">not required pursuant to Paragraph </w:t>
      </w:r>
      <w:r w:rsidR="00AA2319" w:rsidRPr="00972997">
        <w:t>3</w:t>
      </w:r>
      <w:r w:rsidRPr="00972997">
        <w:t>.10.</w:t>
      </w:r>
    </w:p>
    <w:p w14:paraId="247A6621" w14:textId="7D5DCF32"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a Public Sector Dependent Supplier and the Contract is not a Critical Service Contract, then on the occurrence of any of the events   specified in Paragraphs </w:t>
      </w:r>
      <w:r w:rsidR="001B2B79" w:rsidRPr="00972997">
        <w:t>3</w:t>
      </w:r>
      <w:r w:rsidRPr="00972997">
        <w:t>.8</w:t>
      </w:r>
      <w:r w:rsidR="008E733F" w:rsidRPr="00972997">
        <w:t>.1</w:t>
      </w:r>
      <w:r w:rsidRPr="00972997">
        <w:t xml:space="preserve"> to </w:t>
      </w:r>
      <w:r w:rsidR="001B2B79" w:rsidRPr="00972997">
        <w:t>3</w:t>
      </w:r>
      <w:r w:rsidR="008E733F" w:rsidRPr="00972997">
        <w:t>.8.4</w:t>
      </w:r>
      <w:r w:rsidRPr="00972997">
        <w:t xml:space="preserve">, the Supplier shall provide at the request of the </w:t>
      </w:r>
      <w:r w:rsidR="00063994" w:rsidRPr="00972997">
        <w:t>Appropriate Authority</w:t>
      </w:r>
      <w:r w:rsidRPr="00972997">
        <w:t xml:space="preserve"> or </w:t>
      </w:r>
      <w:r w:rsidR="00063994" w:rsidRPr="00972997">
        <w:t>Appropriate Authorities</w:t>
      </w:r>
      <w:r w:rsidRPr="00972997">
        <w:t xml:space="preserve"> and within the applicable timescales for each event as set out in Paragraph </w:t>
      </w:r>
      <w:r w:rsidR="001B2B79" w:rsidRPr="00972997">
        <w:t>3</w:t>
      </w:r>
      <w:r w:rsidRPr="00972997">
        <w:t xml:space="preserve">.8 (or such longer timescales as may be notified to the Supplier by the Buyer), the CRP Information to the </w:t>
      </w:r>
      <w:r w:rsidR="00063994" w:rsidRPr="00972997">
        <w:t>Appropriate Authority</w:t>
      </w:r>
      <w:r w:rsidRPr="00972997">
        <w:t xml:space="preserve"> or </w:t>
      </w:r>
      <w:r w:rsidR="00063994" w:rsidRPr="00972997">
        <w:t>Appropriate Authorities</w:t>
      </w:r>
      <w:r w:rsidRPr="00972997">
        <w:t>.</w:t>
      </w:r>
    </w:p>
    <w:p w14:paraId="06ACBD6F" w14:textId="77777777"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Where the Supplier or a Parent Undertaking of the Supplier has a credit rating of either:</w:t>
      </w:r>
    </w:p>
    <w:p w14:paraId="2BEBFCB4" w14:textId="4F57600A"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w:t>
      </w:r>
      <w:r w:rsidR="003F4488" w:rsidRPr="00972997">
        <w:t>A</w:t>
      </w:r>
      <w:r w:rsidRPr="00972997">
        <w:t>3 or better from Moody’s;</w:t>
      </w:r>
    </w:p>
    <w:p w14:paraId="174A53C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AA- or better from Standard and </w:t>
      </w:r>
      <w:proofErr w:type="spellStart"/>
      <w:r w:rsidRPr="00972997">
        <w:t>Poors</w:t>
      </w:r>
      <w:proofErr w:type="spellEnd"/>
      <w:r w:rsidRPr="00972997">
        <w:t>;</w:t>
      </w:r>
    </w:p>
    <w:p w14:paraId="197C5FE5"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AA- or better from Fitch;</w:t>
      </w:r>
    </w:p>
    <w:p w14:paraId="537797ED" w14:textId="1A235E48" w:rsidR="0097484D" w:rsidRPr="00972997" w:rsidRDefault="0097484D" w:rsidP="00407EA4">
      <w:pPr>
        <w:keepNext/>
        <w:pBdr>
          <w:top w:val="nil"/>
          <w:left w:val="nil"/>
          <w:bottom w:val="nil"/>
          <w:right w:val="nil"/>
          <w:between w:val="nil"/>
        </w:pBdr>
        <w:spacing w:before="120" w:after="120"/>
        <w:ind w:left="1134"/>
        <w:jc w:val="left"/>
      </w:pPr>
      <w:r w:rsidRPr="00972997">
        <w:t>the Supplier will not be required to provide any CRP Information unless or until either (</w:t>
      </w:r>
      <w:proofErr w:type="spellStart"/>
      <w:r w:rsidRPr="00972997">
        <w:t>i</w:t>
      </w:r>
      <w:proofErr w:type="spellEnd"/>
      <w:r w:rsidRPr="00972997">
        <w:t xml:space="preserve">) a Financial Distress Event occurs (unless the Supplier is relieved of the consequences of the Financial Distress Event under Paragraph 7.1 of Annex 3 to Joint Schedule 7 </w:t>
      </w:r>
      <w:r w:rsidRPr="00C07FA2">
        <w:rPr>
          <w:i/>
        </w:rPr>
        <w:t>(Financial Distress)</w:t>
      </w:r>
      <w:r w:rsidRPr="00972997">
        <w:t xml:space="preserve">, if applicable) or (ii) the Supplier and its Parent Undertakings cease to fulfil the criteria set out in this Paragraph </w:t>
      </w:r>
      <w:r w:rsidR="001B2B79" w:rsidRPr="00972997">
        <w:t>3</w:t>
      </w:r>
      <w:r w:rsidRPr="00972997">
        <w:t xml:space="preserve">.10, in which cases the Supplier </w:t>
      </w:r>
      <w:r w:rsidRPr="00972997">
        <w:lastRenderedPageBreak/>
        <w:t xml:space="preserve">shall provide the updated version of the CRP Information in accordance with paragraph </w:t>
      </w:r>
      <w:r w:rsidR="001B2B79" w:rsidRPr="00972997">
        <w:t>3</w:t>
      </w:r>
      <w:r w:rsidRPr="00972997">
        <w:t>.8.</w:t>
      </w:r>
    </w:p>
    <w:p w14:paraId="2E0C40BB" w14:textId="36884B71"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Subject to Paragraph </w:t>
      </w:r>
      <w:r w:rsidR="001B2B79" w:rsidRPr="00972997">
        <w:t>5</w:t>
      </w:r>
      <w:r w:rsidRPr="00972997">
        <w:t xml:space="preserve">, where the Supplier demonstrates to the reasonable satisfaction of the </w:t>
      </w:r>
      <w:r w:rsidR="00063994" w:rsidRPr="00972997">
        <w:t>Appropriate Authority</w:t>
      </w:r>
      <w:r w:rsidRPr="00972997">
        <w:t xml:space="preserve"> or </w:t>
      </w:r>
      <w:r w:rsidR="00063994" w:rsidRPr="00972997">
        <w:t>Appropriate Authorities</w:t>
      </w:r>
      <w:r w:rsidRPr="00972997">
        <w:t xml:space="preserve"> that a particular item of CRP Information is highly confidential, the Supplier may, having orally disclosed and discussed that information with the </w:t>
      </w:r>
      <w:r w:rsidR="00063994" w:rsidRPr="00972997">
        <w:t>Appropriate Authority</w:t>
      </w:r>
      <w:r w:rsidRPr="00972997">
        <w:t xml:space="preserve"> or </w:t>
      </w:r>
      <w:r w:rsidR="00063994" w:rsidRPr="00972997">
        <w:t>Appropriate Authorities</w:t>
      </w:r>
      <w:r w:rsidRPr="00972997">
        <w:t xml:space="preserve">, redact or omit that information from the CRP Information provided that if a Financial Distress Event occurs, this exemption shall no longer apply and the Supplier shall promptly provide the relevant information to the </w:t>
      </w:r>
      <w:r w:rsidR="00063994" w:rsidRPr="00972997">
        <w:t>Appropriate Authority</w:t>
      </w:r>
      <w:r w:rsidRPr="00972997">
        <w:t xml:space="preserve"> or </w:t>
      </w:r>
      <w:r w:rsidR="00063994" w:rsidRPr="00972997">
        <w:t>Appropriate Authorities</w:t>
      </w:r>
      <w:r w:rsidRPr="00972997">
        <w:t xml:space="preserve"> to the extent required under Paragraph </w:t>
      </w:r>
      <w:r w:rsidR="001B2B79" w:rsidRPr="00972997">
        <w:t>3</w:t>
      </w:r>
      <w:r w:rsidRPr="00972997">
        <w:t>.8.</w:t>
      </w:r>
    </w:p>
    <w:p w14:paraId="271C1369" w14:textId="77777777" w:rsidR="0097484D" w:rsidRPr="00972997" w:rsidRDefault="0097484D" w:rsidP="00407EA4">
      <w:pPr>
        <w:keepNext/>
        <w:numPr>
          <w:ilvl w:val="0"/>
          <w:numId w:val="1"/>
        </w:numPr>
        <w:pBdr>
          <w:top w:val="nil"/>
          <w:left w:val="nil"/>
          <w:bottom w:val="nil"/>
          <w:right w:val="nil"/>
          <w:between w:val="nil"/>
        </w:pBdr>
        <w:tabs>
          <w:tab w:val="left" w:pos="0"/>
        </w:tabs>
        <w:spacing w:before="120" w:after="120"/>
        <w:ind w:left="426" w:hanging="426"/>
        <w:jc w:val="left"/>
        <w:rPr>
          <w:b/>
        </w:rPr>
      </w:pPr>
      <w:r w:rsidRPr="00972997">
        <w:rPr>
          <w:b/>
        </w:rPr>
        <w:t>Termination Rights</w:t>
      </w:r>
    </w:p>
    <w:p w14:paraId="7B2175F0" w14:textId="1D062758"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The Buyer shall be entitled to terminate th</w:t>
      </w:r>
      <w:r w:rsidR="008B6D43" w:rsidRPr="00972997">
        <w:t>is</w:t>
      </w:r>
      <w:r w:rsidRPr="00972997">
        <w:t xml:space="preserve"> Contract </w:t>
      </w:r>
      <w:r w:rsidR="008B6D43" w:rsidRPr="00972997">
        <w:t>under Clause 1</w:t>
      </w:r>
      <w:r w:rsidR="00640399" w:rsidRPr="00972997">
        <w:t>3</w:t>
      </w:r>
      <w:r w:rsidR="008B6D43" w:rsidRPr="00972997">
        <w:t>.</w:t>
      </w:r>
      <w:r w:rsidR="00640399" w:rsidRPr="00972997">
        <w:t>3</w:t>
      </w:r>
      <w:r w:rsidR="008B6D43" w:rsidRPr="00972997">
        <w:t xml:space="preserve"> </w:t>
      </w:r>
      <w:r w:rsidR="008B6D43" w:rsidRPr="00C07FA2">
        <w:rPr>
          <w:i/>
          <w:iCs/>
        </w:rPr>
        <w:t>(</w:t>
      </w:r>
      <w:r w:rsidR="00C07FA2" w:rsidRPr="00C07FA2">
        <w:rPr>
          <w:i/>
        </w:rPr>
        <w:t>When CCS or the B</w:t>
      </w:r>
      <w:r w:rsidR="00640399" w:rsidRPr="00C07FA2">
        <w:rPr>
          <w:i/>
        </w:rPr>
        <w:t xml:space="preserve">uyer can end </w:t>
      </w:r>
      <w:r w:rsidR="00C07FA2" w:rsidRPr="00C07FA2">
        <w:rPr>
          <w:i/>
        </w:rPr>
        <w:t>a c</w:t>
      </w:r>
      <w:r w:rsidR="00640399" w:rsidRPr="00C07FA2">
        <w:rPr>
          <w:i/>
        </w:rPr>
        <w:t>ontract</w:t>
      </w:r>
      <w:r w:rsidR="008B6D43" w:rsidRPr="00C07FA2">
        <w:rPr>
          <w:i/>
        </w:rPr>
        <w:t>)</w:t>
      </w:r>
      <w:r w:rsidR="008B6D43" w:rsidRPr="00972997">
        <w:t xml:space="preserve"> </w:t>
      </w:r>
      <w:r w:rsidR="00B32FB4">
        <w:t xml:space="preserve">of the General Terms </w:t>
      </w:r>
      <w:r w:rsidRPr="00972997">
        <w:t xml:space="preserve">if the Supplier is required to provide CRP Information under Paragraph </w:t>
      </w:r>
      <w:r w:rsidR="001B2B79" w:rsidRPr="00972997">
        <w:t>3</w:t>
      </w:r>
      <w:r w:rsidRPr="00972997">
        <w:t xml:space="preserve"> and either:</w:t>
      </w:r>
    </w:p>
    <w:p w14:paraId="4DB66D60" w14:textId="263D1961"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provide the CRP Information within 4 months of the Effective Date if this is a Critical Service Contract or otherwise within 4 months of the </w:t>
      </w:r>
      <w:r w:rsidR="00063994" w:rsidRPr="00972997">
        <w:t>Appropriate Authority</w:t>
      </w:r>
      <w:r w:rsidRPr="00972997">
        <w:t xml:space="preserve">’s or </w:t>
      </w:r>
      <w:r w:rsidR="00063994" w:rsidRPr="00972997">
        <w:t>Appropriate Authorities</w:t>
      </w:r>
      <w:r w:rsidRPr="00972997">
        <w:t>’ request; or</w:t>
      </w:r>
    </w:p>
    <w:p w14:paraId="6A8ED902" w14:textId="6C8EF860"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 xml:space="preserve">the Supplier fails to obtain an Assurance from the </w:t>
      </w:r>
      <w:r w:rsidR="00063994" w:rsidRPr="00972997">
        <w:t>Appropriate Authority</w:t>
      </w:r>
      <w:r w:rsidRPr="00972997">
        <w:t xml:space="preserve"> or </w:t>
      </w:r>
      <w:r w:rsidR="00063994" w:rsidRPr="00972997">
        <w:t>Appropriate Authorities</w:t>
      </w:r>
      <w:r w:rsidRPr="00972997">
        <w:t xml:space="preserve"> within </w:t>
      </w:r>
      <w:r w:rsidR="008B6D43" w:rsidRPr="00972997">
        <w:t>four (</w:t>
      </w:r>
      <w:r w:rsidRPr="00972997">
        <w:t>4</w:t>
      </w:r>
      <w:r w:rsidR="008B6D43" w:rsidRPr="00972997">
        <w:t>)</w:t>
      </w:r>
      <w:r w:rsidRPr="00972997">
        <w:t xml:space="preserve"> months of the date that it was first required to provide the CRP Information under the Contract</w:t>
      </w:r>
      <w:r w:rsidR="00BD164E" w:rsidRPr="00972997">
        <w:t>.</w:t>
      </w:r>
    </w:p>
    <w:p w14:paraId="6E65A7BE" w14:textId="77777777" w:rsidR="0097484D" w:rsidRPr="00972997" w:rsidRDefault="0097484D" w:rsidP="00407EA4">
      <w:pPr>
        <w:keepNext/>
        <w:numPr>
          <w:ilvl w:val="0"/>
          <w:numId w:val="1"/>
        </w:numPr>
        <w:pBdr>
          <w:top w:val="nil"/>
          <w:left w:val="nil"/>
          <w:bottom w:val="nil"/>
          <w:right w:val="nil"/>
          <w:between w:val="nil"/>
        </w:pBdr>
        <w:tabs>
          <w:tab w:val="left" w:pos="426"/>
        </w:tabs>
        <w:spacing w:before="120" w:after="120"/>
        <w:ind w:left="426" w:hanging="426"/>
        <w:jc w:val="left"/>
        <w:rPr>
          <w:b/>
        </w:rPr>
      </w:pPr>
      <w:r w:rsidRPr="00972997">
        <w:rPr>
          <w:b/>
        </w:rPr>
        <w:t>Confidentiality and usage of CRP Information</w:t>
      </w:r>
    </w:p>
    <w:p w14:paraId="4CE12918" w14:textId="1D4CF2C5"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Buyer agrees to keep the CRP Information confidential and use it only to understand the implications of an Insolvency Event of the Supplier and/or Supplier Group members on its UK Public Sector Business and/or services in respect of </w:t>
      </w:r>
      <w:r w:rsidR="008B6D43" w:rsidRPr="00972997">
        <w:t>Critical National Infrastructure</w:t>
      </w:r>
      <w:r w:rsidRPr="00972997">
        <w:t xml:space="preserve"> and to enable contingency planning to maintain service continuity for end users and protect </w:t>
      </w:r>
      <w:r w:rsidR="008B6D43" w:rsidRPr="00972997">
        <w:t xml:space="preserve">Critical National Infrastructure </w:t>
      </w:r>
      <w:r w:rsidRPr="00972997">
        <w:t xml:space="preserve"> in such eventuality.</w:t>
      </w:r>
    </w:p>
    <w:p w14:paraId="74F26E55" w14:textId="144F13D5" w:rsidR="0097484D" w:rsidRPr="00972997" w:rsidRDefault="0097484D" w:rsidP="00407EA4">
      <w:pPr>
        <w:numPr>
          <w:ilvl w:val="1"/>
          <w:numId w:val="1"/>
        </w:numPr>
        <w:pBdr>
          <w:top w:val="nil"/>
          <w:left w:val="nil"/>
          <w:bottom w:val="nil"/>
          <w:right w:val="nil"/>
          <w:between w:val="nil"/>
        </w:pBdr>
        <w:spacing w:before="120" w:after="120"/>
        <w:ind w:left="1134" w:hanging="708"/>
        <w:jc w:val="left"/>
      </w:pPr>
      <w:bookmarkStart w:id="23" w:name="_heading=h.23ckvvd" w:colFirst="0" w:colLast="0"/>
      <w:bookmarkEnd w:id="23"/>
      <w:r w:rsidRPr="00972997">
        <w:t xml:space="preserve">Where the </w:t>
      </w:r>
      <w:r w:rsidR="00063994" w:rsidRPr="00972997">
        <w:t>Appropriate Authority</w:t>
      </w:r>
      <w:r w:rsidRPr="00972997">
        <w:t xml:space="preserve">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w:t>
      </w:r>
      <w:r w:rsidR="004E6777" w:rsidRPr="00972997">
        <w:t>P</w:t>
      </w:r>
      <w:r w:rsidRPr="00972997">
        <w:t xml:space="preserve">aragraph </w:t>
      </w:r>
      <w:r w:rsidR="00F71ABD" w:rsidRPr="00972997">
        <w:t>5</w:t>
      </w:r>
      <w:r w:rsidRPr="00972997">
        <w:t>.1 and Clause 1</w:t>
      </w:r>
      <w:r w:rsidR="007266D7" w:rsidRPr="00972997">
        <w:t>8</w:t>
      </w:r>
      <w:r w:rsidRPr="00972997">
        <w:t xml:space="preserve"> of the </w:t>
      </w:r>
      <w:r w:rsidR="00E407A9" w:rsidRPr="00972997">
        <w:t xml:space="preserve">General </w:t>
      </w:r>
      <w:r w:rsidRPr="00972997">
        <w:t>Terms</w:t>
      </w:r>
      <w:r w:rsidR="004E6777" w:rsidRPr="00972997">
        <w:t xml:space="preserve"> </w:t>
      </w:r>
      <w:r w:rsidR="004E6777" w:rsidRPr="00C07FA2">
        <w:rPr>
          <w:i/>
        </w:rPr>
        <w:t>(What you must keep Confidential)</w:t>
      </w:r>
      <w:r w:rsidRPr="00972997">
        <w:t>.</w:t>
      </w:r>
    </w:p>
    <w:p w14:paraId="137FB34F" w14:textId="36E0CF3A"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use reasonable endeavours to obtain consent from any third party which has restricted the disclosure of the CRP Information to enable disclosure of that information to the </w:t>
      </w:r>
      <w:r w:rsidR="00063994" w:rsidRPr="00972997">
        <w:t>Appropriate Authority</w:t>
      </w:r>
      <w:r w:rsidRPr="00972997">
        <w:t xml:space="preserve"> or </w:t>
      </w:r>
      <w:r w:rsidR="00063994" w:rsidRPr="00972997">
        <w:t>Appropriate Authorities</w:t>
      </w:r>
      <w:r w:rsidRPr="00972997">
        <w:t xml:space="preserve"> pursuant to Paragraph </w:t>
      </w:r>
      <w:r w:rsidR="00F71ABD" w:rsidRPr="00972997">
        <w:t>3</w:t>
      </w:r>
      <w:r w:rsidRPr="00972997">
        <w:t xml:space="preserve"> subject, where necessary, to the </w:t>
      </w:r>
      <w:r w:rsidR="00063994" w:rsidRPr="00972997">
        <w:t>Appropriate Authority</w:t>
      </w:r>
      <w:r w:rsidRPr="00972997">
        <w:t xml:space="preserve"> or </w:t>
      </w:r>
      <w:r w:rsidR="00063994" w:rsidRPr="00972997">
        <w:t>Appropriate Authorities</w:t>
      </w:r>
      <w:r w:rsidRPr="00972997">
        <w:t xml:space="preserve"> entering </w:t>
      </w:r>
      <w:r w:rsidRPr="00972997">
        <w:lastRenderedPageBreak/>
        <w:t>into an appropriate confidentiality agreement in the form required by the third party.</w:t>
      </w:r>
    </w:p>
    <w:p w14:paraId="250E9E11" w14:textId="2513A27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Where the Supplier is unable to procure consent pursuant to Paragraph </w:t>
      </w:r>
      <w:r w:rsidR="00F71ABD" w:rsidRPr="00972997">
        <w:t>5</w:t>
      </w:r>
      <w:r w:rsidRPr="00972997">
        <w:t>.3, the Supplier shall use all reasonable endeavours to disclose the CRP Information to the fullest extent possible by limiting the amount of information it withholds including by:</w:t>
      </w:r>
    </w:p>
    <w:p w14:paraId="3CD2A6C7"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redacting only those parts of the information which are subject to such obligations of confidentiality;</w:t>
      </w:r>
    </w:p>
    <w:p w14:paraId="7854E766" w14:textId="77777777" w:rsidR="0097484D" w:rsidRPr="00972997" w:rsidRDefault="0097484D" w:rsidP="00407EA4">
      <w:pPr>
        <w:keepNext/>
        <w:numPr>
          <w:ilvl w:val="2"/>
          <w:numId w:val="1"/>
        </w:numPr>
        <w:pBdr>
          <w:top w:val="nil"/>
          <w:left w:val="nil"/>
          <w:bottom w:val="nil"/>
          <w:right w:val="nil"/>
          <w:between w:val="nil"/>
        </w:pBdr>
        <w:spacing w:before="120" w:after="120"/>
        <w:ind w:left="1985" w:hanging="851"/>
        <w:jc w:val="left"/>
      </w:pPr>
      <w:r w:rsidRPr="00972997">
        <w:t>providing the information in a form that does not breach its obligations of confidentiality including (where possible) by:</w:t>
      </w:r>
    </w:p>
    <w:p w14:paraId="6C3E1C5A"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summarising the information;</w:t>
      </w:r>
    </w:p>
    <w:p w14:paraId="25D2A2E8"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grouping the information;</w:t>
      </w:r>
    </w:p>
    <w:p w14:paraId="1CC05BA6"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anonymising the information; and</w:t>
      </w:r>
    </w:p>
    <w:p w14:paraId="1A88C014" w14:textId="77777777" w:rsidR="0097484D" w:rsidRPr="00972997" w:rsidRDefault="0097484D" w:rsidP="00407EA4">
      <w:pPr>
        <w:numPr>
          <w:ilvl w:val="3"/>
          <w:numId w:val="1"/>
        </w:numPr>
        <w:pBdr>
          <w:top w:val="nil"/>
          <w:left w:val="nil"/>
          <w:bottom w:val="nil"/>
          <w:right w:val="nil"/>
          <w:between w:val="nil"/>
        </w:pBdr>
        <w:tabs>
          <w:tab w:val="left" w:pos="2835"/>
        </w:tabs>
        <w:spacing w:before="120" w:after="120"/>
        <w:ind w:left="2835" w:hanging="850"/>
        <w:jc w:val="left"/>
      </w:pPr>
      <w:r w:rsidRPr="00972997">
        <w:t>presenting the information in general terms</w:t>
      </w:r>
    </w:p>
    <w:p w14:paraId="0B3D91C4" w14:textId="27431239" w:rsidR="0097484D" w:rsidRPr="00972997" w:rsidRDefault="0097484D" w:rsidP="00407EA4">
      <w:pPr>
        <w:numPr>
          <w:ilvl w:val="1"/>
          <w:numId w:val="1"/>
        </w:numPr>
        <w:pBdr>
          <w:top w:val="nil"/>
          <w:left w:val="nil"/>
          <w:bottom w:val="nil"/>
          <w:right w:val="nil"/>
          <w:between w:val="nil"/>
        </w:pBdr>
        <w:spacing w:before="120" w:after="120"/>
        <w:ind w:left="1134" w:hanging="708"/>
        <w:jc w:val="left"/>
      </w:pPr>
      <w:r w:rsidRPr="00972997">
        <w:t xml:space="preserve">The Supplier shall provide the </w:t>
      </w:r>
      <w:r w:rsidR="00063994" w:rsidRPr="00972997">
        <w:t>Appropriate Authority</w:t>
      </w:r>
      <w:r w:rsidRPr="00972997">
        <w:t xml:space="preserve"> or </w:t>
      </w:r>
      <w:r w:rsidR="00063994" w:rsidRPr="00972997">
        <w:t>Appropriate Authorities</w:t>
      </w:r>
      <w:r w:rsidRPr="00972997">
        <w:t xml:space="preserve"> with contact details of any third party which has not provided consent to disclose CRP Information where that third party is also a public sector body and where the Supplier is legally permitted to do so.</w:t>
      </w:r>
    </w:p>
    <w:p w14:paraId="540DBF27" w14:textId="77777777" w:rsidR="0097484D" w:rsidRPr="00972997" w:rsidRDefault="0097484D" w:rsidP="00407EA4">
      <w:pPr>
        <w:pBdr>
          <w:top w:val="nil"/>
          <w:left w:val="nil"/>
          <w:bottom w:val="nil"/>
          <w:right w:val="nil"/>
          <w:between w:val="nil"/>
        </w:pBdr>
        <w:spacing w:before="120" w:after="120"/>
        <w:ind w:left="720" w:hanging="720"/>
        <w:jc w:val="left"/>
        <w:rPr>
          <w:rFonts w:eastAsia="Calibri"/>
        </w:rPr>
      </w:pPr>
    </w:p>
    <w:p w14:paraId="2E6B28CA" w14:textId="77777777" w:rsidR="0097484D" w:rsidRPr="00972997" w:rsidRDefault="0097484D" w:rsidP="00407EA4">
      <w:pPr>
        <w:spacing w:before="120" w:after="120"/>
        <w:ind w:firstLine="1418"/>
        <w:jc w:val="left"/>
      </w:pPr>
      <w:r w:rsidRPr="00972997">
        <w:br w:type="page"/>
      </w:r>
    </w:p>
    <w:p w14:paraId="5EA1B15E" w14:textId="406C1117" w:rsidR="00F71ABD" w:rsidRPr="00972997" w:rsidRDefault="00972997" w:rsidP="00407EA4">
      <w:pPr>
        <w:pBdr>
          <w:top w:val="nil"/>
          <w:left w:val="nil"/>
          <w:bottom w:val="nil"/>
          <w:right w:val="nil"/>
          <w:between w:val="nil"/>
        </w:pBdr>
        <w:spacing w:before="120" w:after="120"/>
        <w:ind w:left="0"/>
        <w:jc w:val="left"/>
        <w:rPr>
          <w:rFonts w:ascii="Arial Bold" w:hAnsi="Arial Bold"/>
          <w:b/>
          <w:sz w:val="36"/>
          <w:szCs w:val="36"/>
        </w:rPr>
      </w:pPr>
      <w:r w:rsidRPr="00972997">
        <w:rPr>
          <w:rFonts w:ascii="Arial Bold" w:hAnsi="Arial Bold"/>
          <w:b/>
          <w:sz w:val="36"/>
          <w:szCs w:val="36"/>
        </w:rPr>
        <w:lastRenderedPageBreak/>
        <w:t>Annex 1: Exposure: Critical Contracts List</w:t>
      </w:r>
    </w:p>
    <w:p w14:paraId="7C1E4081" w14:textId="77777777" w:rsidR="00F71ABD" w:rsidRPr="00972997" w:rsidRDefault="00F71ABD" w:rsidP="00407EA4">
      <w:pPr>
        <w:numPr>
          <w:ilvl w:val="0"/>
          <w:numId w:val="16"/>
        </w:numPr>
        <w:pBdr>
          <w:top w:val="nil"/>
          <w:left w:val="nil"/>
          <w:bottom w:val="nil"/>
          <w:right w:val="nil"/>
          <w:between w:val="nil"/>
        </w:pBdr>
        <w:overflowPunct/>
        <w:autoSpaceDE/>
        <w:autoSpaceDN/>
        <w:adjustRightInd/>
        <w:spacing w:before="120" w:after="120"/>
        <w:ind w:left="426" w:hanging="426"/>
        <w:jc w:val="left"/>
        <w:textAlignment w:val="auto"/>
      </w:pPr>
      <w:r w:rsidRPr="00972997">
        <w:t>The Supplier shall:</w:t>
      </w:r>
    </w:p>
    <w:p w14:paraId="2F9DA181" w14:textId="77777777"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708"/>
        <w:jc w:val="left"/>
        <w:textAlignment w:val="auto"/>
      </w:pPr>
      <w:r w:rsidRPr="00972997">
        <w:t>provide details of all agreements held by members of the Supplier Group where those agreements are for goods, services or works provision and:</w:t>
      </w:r>
    </w:p>
    <w:p w14:paraId="4D49A974" w14:textId="23E3F76D"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4" w:name="_heading=h.1baon6m" w:colFirst="0" w:colLast="0"/>
      <w:bookmarkEnd w:id="24"/>
      <w:r w:rsidRPr="00972997">
        <w:t xml:space="preserve">are with any UK public sector bodies including: central </w:t>
      </w:r>
      <w:r w:rsidR="004E6777" w:rsidRPr="00972997">
        <w:t>Crown Bodies</w:t>
      </w:r>
      <w:r w:rsidRPr="00972997">
        <w:t xml:space="preserve"> and their arms-length bodies and agencies, non-departmental pu</w:t>
      </w:r>
      <w:r w:rsidR="00EF499B" w:rsidRPr="00972997">
        <w:t>blic bodies, NHS bodies, local b</w:t>
      </w:r>
      <w:r w:rsidRPr="00972997">
        <w:t>uyers, health bodies, police fire and rescue, education bodies and the devolved administrations;</w:t>
      </w:r>
    </w:p>
    <w:p w14:paraId="1DF6ADF2" w14:textId="77777777"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bookmarkStart w:id="25" w:name="_heading=h.3vac5uf" w:colFirst="0" w:colLast="0"/>
      <w:bookmarkEnd w:id="25"/>
      <w:r w:rsidRPr="00972997">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1B7BD87C" w14:textId="0B54DB88" w:rsidR="00F71ABD" w:rsidRPr="00972997" w:rsidRDefault="00F71ABD" w:rsidP="00407EA4">
      <w:pPr>
        <w:numPr>
          <w:ilvl w:val="3"/>
          <w:numId w:val="16"/>
        </w:numPr>
        <w:pBdr>
          <w:top w:val="nil"/>
          <w:left w:val="nil"/>
          <w:bottom w:val="nil"/>
          <w:right w:val="nil"/>
          <w:between w:val="nil"/>
        </w:pBdr>
        <w:tabs>
          <w:tab w:val="left" w:pos="720"/>
          <w:tab w:val="left" w:pos="1985"/>
        </w:tabs>
        <w:overflowPunct/>
        <w:autoSpaceDE/>
        <w:autoSpaceDN/>
        <w:adjustRightInd/>
        <w:spacing w:before="120" w:after="120"/>
        <w:ind w:left="1985" w:hanging="851"/>
        <w:jc w:val="left"/>
        <w:textAlignment w:val="auto"/>
      </w:pPr>
      <w:r w:rsidRPr="00972997">
        <w:t>involve or could reasonably be considered to involve</w:t>
      </w:r>
      <w:r w:rsidR="004E6777" w:rsidRPr="00972997">
        <w:t xml:space="preserve"> </w:t>
      </w:r>
      <w:r w:rsidR="004E6777" w:rsidRPr="00AA3993">
        <w:t>Critical National Infrastructure</w:t>
      </w:r>
      <w:r w:rsidRPr="00972997">
        <w:t>;</w:t>
      </w:r>
    </w:p>
    <w:p w14:paraId="792CD008" w14:textId="0E00F210" w:rsidR="00F71ABD" w:rsidRPr="00972997" w:rsidRDefault="00F71ABD" w:rsidP="00407EA4">
      <w:pPr>
        <w:numPr>
          <w:ilvl w:val="1"/>
          <w:numId w:val="16"/>
        </w:numPr>
        <w:pBdr>
          <w:top w:val="nil"/>
          <w:left w:val="nil"/>
          <w:bottom w:val="nil"/>
          <w:right w:val="nil"/>
          <w:between w:val="nil"/>
        </w:pBdr>
        <w:overflowPunct/>
        <w:autoSpaceDE/>
        <w:autoSpaceDN/>
        <w:adjustRightInd/>
        <w:spacing w:before="120" w:after="120"/>
        <w:ind w:left="1134" w:hanging="992"/>
        <w:jc w:val="left"/>
        <w:textAlignment w:val="auto"/>
      </w:pPr>
      <w:r w:rsidRPr="00972997">
        <w:t xml:space="preserve">provide the </w:t>
      </w:r>
      <w:r w:rsidR="00EF499B" w:rsidRPr="00972997">
        <w:t>Appropriate Authority</w:t>
      </w:r>
      <w:r w:rsidRPr="00972997">
        <w:t xml:space="preserve"> with a copy of the latest version of each underlying contract worth more than £5m per contract year and their related key sub-contracts, which shall be included as embedded documents within the CRP Information or via a directly accessible link</w:t>
      </w:r>
      <w:r w:rsidRPr="00972997" w:rsidDel="00CC3A51">
        <w:t xml:space="preserve"> </w:t>
      </w:r>
    </w:p>
    <w:p w14:paraId="4735AB95" w14:textId="77777777" w:rsidR="00F71ABD" w:rsidRPr="00972997" w:rsidRDefault="00F71ABD" w:rsidP="00407EA4">
      <w:pPr>
        <w:spacing w:before="120" w:after="120"/>
        <w:jc w:val="left"/>
      </w:pPr>
      <w:r w:rsidRPr="00972997">
        <w:br w:type="page"/>
      </w:r>
    </w:p>
    <w:p w14:paraId="71044386" w14:textId="0F7400CF" w:rsidR="00F71ABD" w:rsidRPr="00972997" w:rsidRDefault="00972997" w:rsidP="00407EA4">
      <w:pPr>
        <w:spacing w:before="120" w:after="120"/>
        <w:ind w:left="0"/>
        <w:jc w:val="left"/>
        <w:rPr>
          <w:b/>
          <w:sz w:val="36"/>
          <w:szCs w:val="36"/>
        </w:rPr>
      </w:pPr>
      <w:r w:rsidRPr="00972997">
        <w:rPr>
          <w:b/>
          <w:sz w:val="36"/>
          <w:szCs w:val="36"/>
        </w:rPr>
        <w:lastRenderedPageBreak/>
        <w:t>Annex 2: Corporate Resolvability Assessment (Structural Review)</w:t>
      </w:r>
    </w:p>
    <w:p w14:paraId="4B9F680F" w14:textId="602DEE1F" w:rsidR="00F71ABD" w:rsidRPr="00972997" w:rsidRDefault="00F71ABD" w:rsidP="00407EA4">
      <w:pPr>
        <w:spacing w:before="120" w:after="120"/>
        <w:jc w:val="left"/>
      </w:pPr>
    </w:p>
    <w:p w14:paraId="3D67F55F" w14:textId="2E61F217" w:rsidR="00F71ABD" w:rsidRPr="00972997" w:rsidRDefault="00F71ABD" w:rsidP="00407EA4">
      <w:pPr>
        <w:pStyle w:val="AppendixText1"/>
        <w:numPr>
          <w:ilvl w:val="0"/>
          <w:numId w:val="20"/>
        </w:numPr>
        <w:overflowPunct/>
        <w:autoSpaceDE/>
        <w:autoSpaceDN/>
        <w:adjustRightInd/>
        <w:spacing w:before="120" w:after="120"/>
        <w:ind w:left="426" w:hanging="426"/>
        <w:jc w:val="left"/>
        <w:textAlignment w:val="auto"/>
        <w:rPr>
          <w:b/>
        </w:rPr>
      </w:pPr>
      <w:bookmarkStart w:id="26" w:name="_Ref87021166"/>
      <w:r w:rsidRPr="00972997">
        <w:t>The Supplier shall:</w:t>
      </w:r>
      <w:bookmarkEnd w:id="26"/>
    </w:p>
    <w:p w14:paraId="583D02E5" w14:textId="2BBA1001"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t xml:space="preserve">provide sufficient information to allow the </w:t>
      </w:r>
      <w:r w:rsidR="00EF499B">
        <w:t>Appropriate Authority</w:t>
      </w:r>
      <w:r>
        <w:t xml:space="preserve"> to understand the implications on the Supplier Group’s UK Public Sector Business and </w:t>
      </w:r>
      <w:r w:rsidR="004E6777">
        <w:t>Critical National Infrastructure</w:t>
      </w:r>
      <w:r>
        <w:t xml:space="preserve"> agreements listed pursuant to Annex 1 if the Supplier or another member of the Supplier Group is</w:t>
      </w:r>
      <w:r w:rsidR="004C381B">
        <w:t xml:space="preserve"> subject to an Insolvency Event;</w:t>
      </w:r>
    </w:p>
    <w:p w14:paraId="37A4ECAD" w14:textId="77777777"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rsidRPr="00972997">
        <w:t>ensure that the information is presented so as to provide a simple, effective and easily understood overview of the Supplier Group; and</w:t>
      </w:r>
    </w:p>
    <w:p w14:paraId="4D186863" w14:textId="1C04B7A1" w:rsidR="00F71ABD" w:rsidRPr="00972997" w:rsidRDefault="00F71ABD" w:rsidP="00407EA4">
      <w:pPr>
        <w:pStyle w:val="AppendixText2"/>
        <w:numPr>
          <w:ilvl w:val="1"/>
          <w:numId w:val="19"/>
        </w:numPr>
        <w:overflowPunct/>
        <w:autoSpaceDE/>
        <w:autoSpaceDN/>
        <w:adjustRightInd/>
        <w:spacing w:before="120" w:after="120"/>
        <w:ind w:left="1134" w:hanging="708"/>
        <w:jc w:val="left"/>
        <w:textAlignment w:val="auto"/>
      </w:pPr>
      <w:r>
        <w:t>provide full details of the importance of each member of the Supplier Group to the Supplier Group’s UK Public Sector Business and</w:t>
      </w:r>
      <w:r w:rsidR="004E6777">
        <w:t xml:space="preserve"> Critical National Infrastructure</w:t>
      </w:r>
      <w:r>
        <w:t xml:space="preserve"> agreements listed pursuant to Annex 1 and the dependencies between each.</w:t>
      </w:r>
    </w:p>
    <w:p w14:paraId="3C697901" w14:textId="77777777" w:rsidR="00F71ABD" w:rsidRPr="00AA3993" w:rsidRDefault="00F71ABD" w:rsidP="00407EA4">
      <w:pPr>
        <w:pStyle w:val="StdBodyText2"/>
        <w:spacing w:before="120" w:after="120"/>
        <w:rPr>
          <w:rFonts w:cs="Arial"/>
        </w:rPr>
      </w:pPr>
      <w:r w:rsidRPr="00AA3993">
        <w:rPr>
          <w:rFonts w:cs="Arial"/>
        </w:rPr>
        <w:br w:type="page"/>
      </w:r>
    </w:p>
    <w:p w14:paraId="3553E971" w14:textId="57DD9679" w:rsidR="00F71ABD" w:rsidRPr="00972997" w:rsidRDefault="00972997" w:rsidP="00407EA4">
      <w:pPr>
        <w:pStyle w:val="AnnexHeading"/>
        <w:tabs>
          <w:tab w:val="clear" w:pos="720"/>
        </w:tabs>
        <w:spacing w:before="120" w:after="120"/>
        <w:ind w:left="0" w:firstLine="0"/>
        <w:jc w:val="left"/>
        <w:rPr>
          <w:rFonts w:ascii="Arial" w:hAnsi="Arial" w:cs="Arial"/>
          <w:sz w:val="36"/>
          <w:szCs w:val="36"/>
        </w:rPr>
      </w:pPr>
      <w:r w:rsidRPr="00972997">
        <w:rPr>
          <w:rFonts w:ascii="Arial" w:hAnsi="Arial" w:cs="Arial"/>
          <w:caps w:val="0"/>
          <w:sz w:val="36"/>
          <w:szCs w:val="36"/>
        </w:rPr>
        <w:lastRenderedPageBreak/>
        <w:t>Annex 3: Financial Information and Commentary</w:t>
      </w:r>
    </w:p>
    <w:p w14:paraId="6F2F51DD" w14:textId="77777777" w:rsidR="00F71ABD" w:rsidRPr="00972997" w:rsidRDefault="00F71ABD" w:rsidP="00407EA4">
      <w:pPr>
        <w:pStyle w:val="AppendixText1"/>
        <w:numPr>
          <w:ilvl w:val="0"/>
          <w:numId w:val="18"/>
        </w:numPr>
        <w:overflowPunct/>
        <w:autoSpaceDE/>
        <w:autoSpaceDN/>
        <w:adjustRightInd/>
        <w:spacing w:before="120" w:after="120"/>
        <w:ind w:left="426" w:hanging="426"/>
        <w:jc w:val="left"/>
        <w:textAlignment w:val="auto"/>
      </w:pPr>
      <w:r w:rsidRPr="00972997">
        <w:t>The Supplier shall:</w:t>
      </w:r>
    </w:p>
    <w:p w14:paraId="056485DF" w14:textId="1EE79033"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 xml:space="preserve">provide sufficient financial information for the Supplier Group level, contracting operating entities level, and shared services entities’ level to allow the </w:t>
      </w:r>
      <w:r w:rsidR="00EF499B" w:rsidRPr="00972997">
        <w:t>Appropriate Authority</w:t>
      </w:r>
      <w:r w:rsidRPr="00972997">
        <w:t xml:space="preserve"> to understand the current financial interconnectedness of the Supplier Group and the current performance of the Supplier as a standalone entity; and</w:t>
      </w:r>
    </w:p>
    <w:p w14:paraId="7C7075C7" w14:textId="77777777" w:rsidR="00F71ABD" w:rsidRPr="00972997" w:rsidRDefault="00F71ABD" w:rsidP="00407EA4">
      <w:pPr>
        <w:pStyle w:val="AppendixText2"/>
        <w:numPr>
          <w:ilvl w:val="1"/>
          <w:numId w:val="18"/>
        </w:numPr>
        <w:overflowPunct/>
        <w:autoSpaceDE/>
        <w:autoSpaceDN/>
        <w:adjustRightInd/>
        <w:spacing w:before="120" w:after="120"/>
        <w:ind w:left="1134" w:hanging="708"/>
        <w:jc w:val="left"/>
        <w:textAlignment w:val="auto"/>
      </w:pPr>
      <w:r w:rsidRPr="00972997">
        <w:t>ensure that the information is presented in a simple, effective and easily understood manner.</w:t>
      </w:r>
    </w:p>
    <w:p w14:paraId="01635539" w14:textId="79D110A2" w:rsidR="00F71ABD" w:rsidRPr="00972997" w:rsidRDefault="00F71ABD" w:rsidP="00AA25B3">
      <w:pPr>
        <w:pStyle w:val="ListParagraph"/>
        <w:numPr>
          <w:ilvl w:val="0"/>
          <w:numId w:val="18"/>
        </w:numPr>
        <w:overflowPunct/>
        <w:autoSpaceDE/>
        <w:autoSpaceDN/>
        <w:adjustRightInd/>
        <w:spacing w:before="120" w:after="120"/>
        <w:ind w:left="426" w:hanging="426"/>
        <w:contextualSpacing w:val="0"/>
        <w:jc w:val="left"/>
        <w:textAlignment w:val="auto"/>
      </w:pPr>
      <w:r w:rsidRPr="00972997">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w:t>
      </w:r>
      <w:r w:rsidR="005C1D1D" w:rsidRPr="00972997">
        <w:t>Appropriate Authority</w:t>
      </w:r>
      <w:r w:rsidRPr="00972997">
        <w:t xml:space="preserve"> remains protected by confidentiality).</w:t>
      </w:r>
    </w:p>
    <w:p w14:paraId="5AC91DFC" w14:textId="3BA80E8F" w:rsidR="00F71ABD" w:rsidRPr="00972997" w:rsidRDefault="00F71ABD" w:rsidP="00407EA4">
      <w:pPr>
        <w:spacing w:before="120" w:after="120"/>
        <w:jc w:val="left"/>
      </w:pPr>
    </w:p>
    <w:p w14:paraId="000000A5" w14:textId="23497979" w:rsidR="00F810E0" w:rsidRPr="00AA3993" w:rsidRDefault="00F810E0" w:rsidP="00407EA4">
      <w:pPr>
        <w:spacing w:before="120" w:after="120"/>
        <w:ind w:left="0"/>
        <w:jc w:val="left"/>
      </w:pPr>
    </w:p>
    <w:sectPr w:rsidR="00F810E0" w:rsidRPr="00AA3993">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B34B" w14:textId="77777777" w:rsidR="00DF54DE" w:rsidRDefault="00DF54DE">
      <w:pPr>
        <w:spacing w:after="0"/>
      </w:pPr>
      <w:r>
        <w:separator/>
      </w:r>
    </w:p>
  </w:endnote>
  <w:endnote w:type="continuationSeparator" w:id="0">
    <w:p w14:paraId="654196DC" w14:textId="77777777" w:rsidR="00DF54DE" w:rsidRDefault="00DF54DE">
      <w:pPr>
        <w:spacing w:after="0"/>
      </w:pPr>
      <w:r>
        <w:continuationSeparator/>
      </w:r>
    </w:p>
  </w:endnote>
  <w:endnote w:type="continuationNotice" w:id="1">
    <w:p w14:paraId="201A061B" w14:textId="77777777" w:rsidR="00DF54DE" w:rsidRDefault="00DF5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5" w14:textId="77777777" w:rsidR="00DF54DE" w:rsidRDefault="00DF54DE">
    <w:pPr>
      <w:tabs>
        <w:tab w:val="center" w:pos="4513"/>
        <w:tab w:val="right" w:pos="9026"/>
      </w:tabs>
      <w:spacing w:after="0"/>
      <w:ind w:left="0"/>
      <w:rPr>
        <w:rFonts w:ascii="Calibri" w:eastAsia="Calibri" w:hAnsi="Calibri" w:cs="Calibri"/>
        <w:color w:val="A6A6A6"/>
      </w:rPr>
    </w:pPr>
  </w:p>
  <w:p w14:paraId="00000106" w14:textId="3C420A7C"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sidR="005D7682" w:rsidRPr="005D7682">
      <w:rPr>
        <w:sz w:val="20"/>
        <w:szCs w:val="20"/>
      </w:rPr>
      <w:t>1557.15</w:t>
    </w:r>
  </w:p>
  <w:p w14:paraId="00000107" w14:textId="6D313F7A"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B32FB4">
      <w:rPr>
        <w:noProof/>
        <w:sz w:val="20"/>
        <w:szCs w:val="20"/>
      </w:rPr>
      <w:t>9</w:t>
    </w:r>
    <w:r>
      <w:rPr>
        <w:sz w:val="20"/>
        <w:szCs w:val="20"/>
      </w:rPr>
      <w:fldChar w:fldCharType="end"/>
    </w:r>
  </w:p>
  <w:p w14:paraId="00000108" w14:textId="3A128D7E" w:rsidR="00DF54DE" w:rsidRPr="00972997" w:rsidRDefault="00972997" w:rsidP="003E7212">
    <w:pPr>
      <w:pBdr>
        <w:top w:val="nil"/>
        <w:left w:val="nil"/>
        <w:bottom w:val="nil"/>
        <w:right w:val="nil"/>
        <w:between w:val="nil"/>
      </w:pBdr>
      <w:tabs>
        <w:tab w:val="left" w:pos="3488"/>
      </w:tabs>
      <w:spacing w:after="0"/>
      <w:ind w:left="0"/>
      <w:rPr>
        <w:sz w:val="14"/>
        <w:szCs w:val="20"/>
      </w:rPr>
    </w:pPr>
    <w:r>
      <w:rPr>
        <w:sz w:val="20"/>
        <w:szCs w:val="20"/>
      </w:rPr>
      <w:t>Model Version: v1.0 PA</w:t>
    </w:r>
    <w:r w:rsidR="00DF54D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9"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Pr>
        <w:sz w:val="20"/>
        <w:szCs w:val="20"/>
      </w:rPr>
      <w:tab/>
      <w:t xml:space="preserve">                                           </w:t>
    </w:r>
  </w:p>
  <w:p w14:paraId="0000010A" w14:textId="644CDB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tab/>
      <w:t>-</w:t>
    </w:r>
    <w:r>
      <w:rPr>
        <w:sz w:val="20"/>
        <w:szCs w:val="20"/>
      </w:rPr>
      <w:fldChar w:fldCharType="begin"/>
    </w:r>
    <w:r>
      <w:rPr>
        <w:sz w:val="20"/>
        <w:szCs w:val="20"/>
      </w:rPr>
      <w:instrText>PAGE</w:instrText>
    </w:r>
    <w:r>
      <w:rPr>
        <w:sz w:val="20"/>
        <w:szCs w:val="20"/>
      </w:rPr>
      <w:fldChar w:fldCharType="separate"/>
    </w:r>
    <w:r w:rsidR="00203064">
      <w:rPr>
        <w:noProof/>
        <w:sz w:val="20"/>
        <w:szCs w:val="20"/>
      </w:rPr>
      <w:t>15</w:t>
    </w:r>
    <w:r>
      <w:rPr>
        <w:sz w:val="20"/>
        <w:szCs w:val="20"/>
      </w:rPr>
      <w:fldChar w:fldCharType="end"/>
    </w:r>
    <w:r>
      <w:rPr>
        <w:sz w:val="20"/>
        <w:szCs w:val="20"/>
      </w:rPr>
      <w:t>-</w:t>
    </w:r>
  </w:p>
  <w:p w14:paraId="0000010B" w14:textId="77777777" w:rsidR="00DF54DE" w:rsidRDefault="00DF54DE">
    <w:pPr>
      <w:pBdr>
        <w:top w:val="nil"/>
        <w:left w:val="nil"/>
        <w:bottom w:val="nil"/>
        <w:right w:val="nil"/>
        <w:between w:val="nil"/>
      </w:pBdr>
      <w:tabs>
        <w:tab w:val="center" w:pos="4513"/>
        <w:tab w:val="right" w:pos="9026"/>
      </w:tabs>
      <w:spacing w:after="0"/>
      <w:ind w:left="0"/>
      <w:rPr>
        <w:sz w:val="20"/>
        <w:szCs w:val="20"/>
      </w:rPr>
    </w:pPr>
    <w:r>
      <w:rPr>
        <w:sz w:val="20"/>
        <w:szCs w:val="20"/>
      </w:rPr>
      <w:t>Model Version: v2.9</w:t>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5775" w14:textId="77777777" w:rsidR="00DF54DE" w:rsidRDefault="00DF54DE">
      <w:pPr>
        <w:spacing w:after="0"/>
      </w:pPr>
      <w:r>
        <w:separator/>
      </w:r>
    </w:p>
  </w:footnote>
  <w:footnote w:type="continuationSeparator" w:id="0">
    <w:p w14:paraId="48FA3021" w14:textId="77777777" w:rsidR="00DF54DE" w:rsidRDefault="00DF54DE">
      <w:pPr>
        <w:spacing w:after="0"/>
      </w:pPr>
      <w:r>
        <w:continuationSeparator/>
      </w:r>
    </w:p>
  </w:footnote>
  <w:footnote w:type="continuationNotice" w:id="1">
    <w:p w14:paraId="667427E2" w14:textId="77777777" w:rsidR="00DF54DE" w:rsidRDefault="00DF5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40B37EF8" w:rsidR="00DF54DE" w:rsidRPr="00972997" w:rsidRDefault="00DF54DE">
    <w:pPr>
      <w:tabs>
        <w:tab w:val="center" w:pos="4513"/>
        <w:tab w:val="right" w:pos="9026"/>
      </w:tabs>
      <w:spacing w:after="0"/>
      <w:ind w:left="0"/>
      <w:jc w:val="left"/>
      <w:rPr>
        <w:sz w:val="22"/>
        <w:szCs w:val="22"/>
      </w:rPr>
    </w:pPr>
    <w:r w:rsidRPr="00972997">
      <w:rPr>
        <w:b/>
        <w:sz w:val="22"/>
        <w:szCs w:val="22"/>
      </w:rPr>
      <w:t>Call-Off Schedule 24 (Corporate Resolution Planning)</w:t>
    </w:r>
  </w:p>
  <w:p w14:paraId="00000102" w14:textId="77777777" w:rsidR="00DF54DE" w:rsidRPr="00972997" w:rsidRDefault="00DF54DE">
    <w:pPr>
      <w:tabs>
        <w:tab w:val="center" w:pos="4513"/>
        <w:tab w:val="right" w:pos="9026"/>
      </w:tabs>
      <w:spacing w:after="0"/>
      <w:ind w:left="0"/>
      <w:jc w:val="left"/>
      <w:rPr>
        <w:sz w:val="22"/>
        <w:szCs w:val="22"/>
      </w:rPr>
    </w:pPr>
    <w:r w:rsidRPr="00972997">
      <w:rPr>
        <w:sz w:val="22"/>
        <w:szCs w:val="22"/>
      </w:rPr>
      <w:t>Call-Off Ref:</w:t>
    </w:r>
  </w:p>
  <w:p w14:paraId="00000103" w14:textId="28B6B7FD" w:rsidR="00DF54DE" w:rsidRPr="00972997" w:rsidRDefault="00DF54DE">
    <w:pPr>
      <w:tabs>
        <w:tab w:val="center" w:pos="4513"/>
        <w:tab w:val="right" w:pos="9026"/>
      </w:tabs>
      <w:spacing w:after="0"/>
      <w:ind w:left="0"/>
      <w:jc w:val="left"/>
      <w:rPr>
        <w:sz w:val="22"/>
        <w:szCs w:val="22"/>
      </w:rPr>
    </w:pPr>
    <w:r w:rsidRPr="00972997">
      <w:rPr>
        <w:sz w:val="22"/>
        <w:szCs w:val="22"/>
      </w:rPr>
      <w:t>Crown Copyright 202</w:t>
    </w:r>
    <w:r w:rsidR="00BD164E" w:rsidRPr="00972997">
      <w:rPr>
        <w:sz w:val="22"/>
        <w:szCs w:val="22"/>
      </w:rPr>
      <w:t>5</w:t>
    </w:r>
  </w:p>
  <w:p w14:paraId="00000104" w14:textId="77777777" w:rsidR="00DF54DE" w:rsidRDefault="00DF54DE">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201"/>
    <w:multiLevelType w:val="multilevel"/>
    <w:tmpl w:val="964E932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75C504D"/>
    <w:multiLevelType w:val="multilevel"/>
    <w:tmpl w:val="A72607E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91A3F44"/>
    <w:multiLevelType w:val="multilevel"/>
    <w:tmpl w:val="B464D6E6"/>
    <w:lvl w:ilvl="0">
      <w:start w:val="1"/>
      <w:numFmt w:val="decimal"/>
      <w:lvlText w:val="%1"/>
      <w:lvlJc w:val="left"/>
      <w:pPr>
        <w:ind w:left="1146"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1F566CF2"/>
    <w:multiLevelType w:val="multilevel"/>
    <w:tmpl w:val="473E61C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AFA6751"/>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2BF931B4"/>
    <w:multiLevelType w:val="hybridMultilevel"/>
    <w:tmpl w:val="E54C13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FF1"/>
    <w:multiLevelType w:val="hybridMultilevel"/>
    <w:tmpl w:val="7E5042EA"/>
    <w:lvl w:ilvl="0" w:tplc="FA321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21BD"/>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40315382"/>
    <w:multiLevelType w:val="multilevel"/>
    <w:tmpl w:val="B31A7076"/>
    <w:lvl w:ilvl="0">
      <w:start w:val="2"/>
      <w:numFmt w:val="decimal"/>
      <w:lvlText w:val="%1."/>
      <w:lvlJc w:val="left"/>
      <w:pPr>
        <w:ind w:left="720" w:hanging="720"/>
      </w:pPr>
      <w:rPr>
        <w:rFonts w:hint="default"/>
        <w:smallCaps w:val="0"/>
        <w:strike w:val="0"/>
        <w:color w:val="000000"/>
        <w:u w:val="none"/>
        <w:vertAlign w:val="baseline"/>
      </w:rPr>
    </w:lvl>
    <w:lvl w:ilvl="1">
      <w:start w:val="1"/>
      <w:numFmt w:val="decimal"/>
      <w:lvlText w:val="%1.%2"/>
      <w:lvlJc w:val="left"/>
      <w:pPr>
        <w:ind w:left="720" w:hanging="720"/>
      </w:pPr>
      <w:rPr>
        <w:rFonts w:ascii="Arial" w:eastAsia="Arial" w:hAnsi="Arial" w:cs="Arial" w:hint="default"/>
        <w:i w:val="0"/>
        <w:smallCaps w:val="0"/>
        <w:strike w:val="0"/>
        <w:color w:val="000000"/>
        <w:u w:val="none"/>
        <w:vertAlign w:val="baseline"/>
      </w:rPr>
    </w:lvl>
    <w:lvl w:ilvl="2">
      <w:start w:val="1"/>
      <w:numFmt w:val="decimal"/>
      <w:lvlText w:val="%1.%2.%3"/>
      <w:lvlJc w:val="left"/>
      <w:pPr>
        <w:ind w:left="1440" w:hanging="720"/>
      </w:pPr>
      <w:rPr>
        <w:rFonts w:hint="default"/>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hint="default"/>
        <w:i w:val="0"/>
        <w:smallCaps w:val="0"/>
        <w:strike w:val="0"/>
        <w:color w:val="000000"/>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1" w15:restartNumberingAfterBreak="0">
    <w:nsid w:val="41620901"/>
    <w:multiLevelType w:val="multilevel"/>
    <w:tmpl w:val="231EBD9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2" w15:restartNumberingAfterBreak="0">
    <w:nsid w:val="48C02EDB"/>
    <w:multiLevelType w:val="multilevel"/>
    <w:tmpl w:val="7454362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3" w15:restartNumberingAfterBreak="0">
    <w:nsid w:val="55CC40BB"/>
    <w:multiLevelType w:val="multilevel"/>
    <w:tmpl w:val="19CE6582"/>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B11EFF"/>
    <w:multiLevelType w:val="multilevel"/>
    <w:tmpl w:val="CBC268D8"/>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624F15"/>
    <w:multiLevelType w:val="multilevel"/>
    <w:tmpl w:val="22C2D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0631EC"/>
    <w:multiLevelType w:val="multilevel"/>
    <w:tmpl w:val="E836F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055D5F"/>
    <w:multiLevelType w:val="multilevel"/>
    <w:tmpl w:val="8A70659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957250132">
    <w:abstractNumId w:val="10"/>
  </w:num>
  <w:num w:numId="2" w16cid:durableId="1137457700">
    <w:abstractNumId w:val="11"/>
  </w:num>
  <w:num w:numId="3" w16cid:durableId="1913006043">
    <w:abstractNumId w:val="3"/>
  </w:num>
  <w:num w:numId="4" w16cid:durableId="237597049">
    <w:abstractNumId w:val="0"/>
  </w:num>
  <w:num w:numId="5" w16cid:durableId="74478155">
    <w:abstractNumId w:val="18"/>
  </w:num>
  <w:num w:numId="6" w16cid:durableId="774444069">
    <w:abstractNumId w:val="17"/>
  </w:num>
  <w:num w:numId="7" w16cid:durableId="2074574649">
    <w:abstractNumId w:val="14"/>
  </w:num>
  <w:num w:numId="8" w16cid:durableId="1111163991">
    <w:abstractNumId w:val="13"/>
  </w:num>
  <w:num w:numId="9" w16cid:durableId="2038266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886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279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582646">
    <w:abstractNumId w:val="9"/>
  </w:num>
  <w:num w:numId="13" w16cid:durableId="1016230241">
    <w:abstractNumId w:val="1"/>
  </w:num>
  <w:num w:numId="14" w16cid:durableId="282922933">
    <w:abstractNumId w:val="16"/>
  </w:num>
  <w:num w:numId="15" w16cid:durableId="1965769230">
    <w:abstractNumId w:val="2"/>
  </w:num>
  <w:num w:numId="16" w16cid:durableId="1092168755">
    <w:abstractNumId w:val="12"/>
  </w:num>
  <w:num w:numId="17" w16cid:durableId="1248999229">
    <w:abstractNumId w:val="15"/>
  </w:num>
  <w:num w:numId="18" w16cid:durableId="884294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458200">
    <w:abstractNumId w:val="4"/>
  </w:num>
  <w:num w:numId="20" w16cid:durableId="957948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3945106">
    <w:abstractNumId w:val="6"/>
  </w:num>
  <w:num w:numId="22" w16cid:durableId="1184788265">
    <w:abstractNumId w:val="7"/>
  </w:num>
  <w:num w:numId="23" w16cid:durableId="1774669852">
    <w:abstractNumId w:val="5"/>
  </w:num>
  <w:num w:numId="24" w16cid:durableId="614679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E0"/>
    <w:rsid w:val="000142AF"/>
    <w:rsid w:val="00042B4E"/>
    <w:rsid w:val="000465DC"/>
    <w:rsid w:val="00054D10"/>
    <w:rsid w:val="00057D6C"/>
    <w:rsid w:val="00063994"/>
    <w:rsid w:val="000A61B9"/>
    <w:rsid w:val="000E7234"/>
    <w:rsid w:val="000F6A61"/>
    <w:rsid w:val="0010759C"/>
    <w:rsid w:val="001102FE"/>
    <w:rsid w:val="00112BE2"/>
    <w:rsid w:val="0017322A"/>
    <w:rsid w:val="00182042"/>
    <w:rsid w:val="001B2B79"/>
    <w:rsid w:val="001D7197"/>
    <w:rsid w:val="001F583B"/>
    <w:rsid w:val="00203064"/>
    <w:rsid w:val="00211DEE"/>
    <w:rsid w:val="00216310"/>
    <w:rsid w:val="00217BFC"/>
    <w:rsid w:val="00250F51"/>
    <w:rsid w:val="00271812"/>
    <w:rsid w:val="0029177F"/>
    <w:rsid w:val="002D2616"/>
    <w:rsid w:val="002E2CB9"/>
    <w:rsid w:val="002F0DDB"/>
    <w:rsid w:val="00304153"/>
    <w:rsid w:val="00324F5C"/>
    <w:rsid w:val="0036477C"/>
    <w:rsid w:val="00395CF8"/>
    <w:rsid w:val="00396F85"/>
    <w:rsid w:val="003D5E6A"/>
    <w:rsid w:val="003E7212"/>
    <w:rsid w:val="003F2EAC"/>
    <w:rsid w:val="003F4488"/>
    <w:rsid w:val="003F737D"/>
    <w:rsid w:val="00407EA4"/>
    <w:rsid w:val="0042685C"/>
    <w:rsid w:val="004743E1"/>
    <w:rsid w:val="00490B5D"/>
    <w:rsid w:val="004A14C0"/>
    <w:rsid w:val="004A2951"/>
    <w:rsid w:val="004A6B2C"/>
    <w:rsid w:val="004C2FC0"/>
    <w:rsid w:val="004C381B"/>
    <w:rsid w:val="004D233C"/>
    <w:rsid w:val="004E6777"/>
    <w:rsid w:val="004E7615"/>
    <w:rsid w:val="005076FA"/>
    <w:rsid w:val="0052154C"/>
    <w:rsid w:val="0052345E"/>
    <w:rsid w:val="005343A4"/>
    <w:rsid w:val="00545539"/>
    <w:rsid w:val="005653CD"/>
    <w:rsid w:val="00573FD1"/>
    <w:rsid w:val="00576F50"/>
    <w:rsid w:val="0058742B"/>
    <w:rsid w:val="005906E1"/>
    <w:rsid w:val="005A0F23"/>
    <w:rsid w:val="005C1D1D"/>
    <w:rsid w:val="005D7682"/>
    <w:rsid w:val="00612231"/>
    <w:rsid w:val="00616460"/>
    <w:rsid w:val="00623741"/>
    <w:rsid w:val="00634BA0"/>
    <w:rsid w:val="00640399"/>
    <w:rsid w:val="00641999"/>
    <w:rsid w:val="006611AD"/>
    <w:rsid w:val="00672A2E"/>
    <w:rsid w:val="00681293"/>
    <w:rsid w:val="00696ED2"/>
    <w:rsid w:val="007261A6"/>
    <w:rsid w:val="007266D7"/>
    <w:rsid w:val="00751401"/>
    <w:rsid w:val="007578DD"/>
    <w:rsid w:val="00786F40"/>
    <w:rsid w:val="007B2879"/>
    <w:rsid w:val="008131E9"/>
    <w:rsid w:val="0083014E"/>
    <w:rsid w:val="00833222"/>
    <w:rsid w:val="00837FD4"/>
    <w:rsid w:val="0085360A"/>
    <w:rsid w:val="008665B2"/>
    <w:rsid w:val="00867708"/>
    <w:rsid w:val="00880A26"/>
    <w:rsid w:val="008B6D43"/>
    <w:rsid w:val="008E733F"/>
    <w:rsid w:val="008F07D5"/>
    <w:rsid w:val="009603CC"/>
    <w:rsid w:val="00972997"/>
    <w:rsid w:val="00973C63"/>
    <w:rsid w:val="0097484D"/>
    <w:rsid w:val="009C4CA0"/>
    <w:rsid w:val="009D25DC"/>
    <w:rsid w:val="00A12864"/>
    <w:rsid w:val="00A203BD"/>
    <w:rsid w:val="00A85206"/>
    <w:rsid w:val="00AA2319"/>
    <w:rsid w:val="00AA25B3"/>
    <w:rsid w:val="00AA3993"/>
    <w:rsid w:val="00AB0964"/>
    <w:rsid w:val="00AC1050"/>
    <w:rsid w:val="00AC6AB0"/>
    <w:rsid w:val="00AF0FD5"/>
    <w:rsid w:val="00B15219"/>
    <w:rsid w:val="00B31958"/>
    <w:rsid w:val="00B32FB4"/>
    <w:rsid w:val="00B33CE7"/>
    <w:rsid w:val="00B444BC"/>
    <w:rsid w:val="00B97807"/>
    <w:rsid w:val="00BA134E"/>
    <w:rsid w:val="00BA477D"/>
    <w:rsid w:val="00BB4326"/>
    <w:rsid w:val="00BB5D3B"/>
    <w:rsid w:val="00BD164E"/>
    <w:rsid w:val="00C07FA2"/>
    <w:rsid w:val="00C17082"/>
    <w:rsid w:val="00C50DC6"/>
    <w:rsid w:val="00C562A5"/>
    <w:rsid w:val="00C8465F"/>
    <w:rsid w:val="00CD1511"/>
    <w:rsid w:val="00D02588"/>
    <w:rsid w:val="00D15E2A"/>
    <w:rsid w:val="00D73872"/>
    <w:rsid w:val="00D916F1"/>
    <w:rsid w:val="00DD424C"/>
    <w:rsid w:val="00DF54DE"/>
    <w:rsid w:val="00E407A9"/>
    <w:rsid w:val="00E71CD8"/>
    <w:rsid w:val="00EF499B"/>
    <w:rsid w:val="00F0387A"/>
    <w:rsid w:val="00F61AF9"/>
    <w:rsid w:val="00F71ABD"/>
    <w:rsid w:val="00F742D8"/>
    <w:rsid w:val="00F810E0"/>
    <w:rsid w:val="00F9102D"/>
    <w:rsid w:val="00F93FF7"/>
    <w:rsid w:val="00FB0FF8"/>
    <w:rsid w:val="00FF2CFF"/>
    <w:rsid w:val="5D0FC0EE"/>
    <w:rsid w:val="664D45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1379B5"/>
  <w15:docId w15:val="{6D7F0239-425A-4FB5-A090-D8AA07AA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style>
  <w:style w:type="paragraph" w:styleId="Heading1">
    <w:name w:val="heading 1"/>
    <w:basedOn w:val="Normal"/>
    <w:next w:val="Normal"/>
    <w:rsid w:val="0052154C"/>
    <w:pPr>
      <w:keepNext/>
      <w:keepLines/>
      <w:spacing w:before="480" w:after="120"/>
      <w:outlineLvl w:val="0"/>
    </w:pPr>
    <w:rPr>
      <w:b/>
      <w:sz w:val="48"/>
      <w:szCs w:val="48"/>
    </w:rPr>
  </w:style>
  <w:style w:type="paragraph" w:styleId="Heading2">
    <w:name w:val="heading 2"/>
    <w:basedOn w:val="Normal"/>
    <w:next w:val="Normal"/>
    <w:rsid w:val="0052154C"/>
    <w:pPr>
      <w:keepNext/>
      <w:keepLines/>
      <w:spacing w:before="360" w:after="80"/>
      <w:outlineLvl w:val="1"/>
    </w:pPr>
    <w:rPr>
      <w:b/>
      <w:sz w:val="36"/>
      <w:szCs w:val="36"/>
    </w:rPr>
  </w:style>
  <w:style w:type="paragraph" w:styleId="Heading3">
    <w:name w:val="heading 3"/>
    <w:basedOn w:val="Normal"/>
    <w:next w:val="Normal"/>
    <w:rsid w:val="0052154C"/>
    <w:pPr>
      <w:keepNext/>
      <w:keepLines/>
      <w:spacing w:before="280" w:after="80"/>
      <w:outlineLvl w:val="2"/>
    </w:pPr>
    <w:rPr>
      <w:b/>
      <w:sz w:val="28"/>
      <w:szCs w:val="28"/>
    </w:rPr>
  </w:style>
  <w:style w:type="paragraph" w:styleId="Heading4">
    <w:name w:val="heading 4"/>
    <w:basedOn w:val="Normal"/>
    <w:next w:val="Normal"/>
    <w:rsid w:val="0052154C"/>
    <w:pPr>
      <w:keepNext/>
      <w:keepLines/>
      <w:spacing w:before="240" w:after="40"/>
      <w:outlineLvl w:val="3"/>
    </w:pPr>
    <w:rPr>
      <w:b/>
    </w:rPr>
  </w:style>
  <w:style w:type="paragraph" w:styleId="Heading5">
    <w:name w:val="heading 5"/>
    <w:basedOn w:val="Normal"/>
    <w:next w:val="Normal"/>
    <w:rsid w:val="0052154C"/>
    <w:pPr>
      <w:keepNext/>
      <w:keepLines/>
      <w:spacing w:before="220" w:after="40"/>
      <w:outlineLvl w:val="4"/>
    </w:pPr>
    <w:rPr>
      <w:b/>
    </w:rPr>
  </w:style>
  <w:style w:type="paragraph" w:styleId="Heading6">
    <w:name w:val="heading 6"/>
    <w:basedOn w:val="Normal"/>
    <w:next w:val="Normal"/>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rPr>
  </w:style>
  <w:style w:type="paragraph" w:customStyle="1" w:styleId="AppendixText6">
    <w:name w:val="Appendix Text 6"/>
    <w:basedOn w:val="AppendixText5"/>
    <w:rsid w:val="00F71ABD"/>
    <w:pPr>
      <w:numPr>
        <w:ilvl w:val="0"/>
        <w:numId w:val="0"/>
      </w:numPr>
      <w:tabs>
        <w:tab w:val="left" w:pos="720"/>
        <w:tab w:val="left" w:pos="2523"/>
        <w:tab w:val="num" w:pos="4320"/>
      </w:tabs>
      <w:overflowPunct/>
      <w:autoSpaceDE/>
      <w:autoSpaceDN/>
      <w:adjustRightInd/>
      <w:spacing w:before="100" w:after="200"/>
      <w:ind w:left="4320" w:hanging="720"/>
      <w:jc w:val="left"/>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sourcing-and-consultancy-playbook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esolution.planning@cabinetoffice.gov.uk"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87142/Resolution_planning_guidance_note_May_202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Props1.xml><?xml version="1.0" encoding="utf-8"?>
<ds:datastoreItem xmlns:ds="http://schemas.openxmlformats.org/officeDocument/2006/customXml" ds:itemID="{659C8384-6322-4F8D-BEF6-583E4A8502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3474</Words>
  <Characters>19876</Characters>
  <Application>Microsoft Office Word</Application>
  <DocSecurity>0</DocSecurity>
  <PresentationFormat/>
  <Lines>451</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2025-10-16T15:15:00Z</dcterms:created>
  <dcterms:modified xsi:type="dcterms:W3CDTF">2025-10-16T15:16:00Z</dcterms:modified>
  <cp:category/>
  <cp:contentStatus/>
  <dc:language/>
  <cp:version/>
</cp:coreProperties>
</file>