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6AC0" w14:textId="7C87500D" w:rsidR="000909B0" w:rsidRPr="0091094A" w:rsidRDefault="00986518" w:rsidP="00B56DE1">
      <w:pPr>
        <w:widowControl w:val="0"/>
        <w:pBdr>
          <w:top w:val="nil"/>
          <w:left w:val="nil"/>
          <w:bottom w:val="nil"/>
          <w:right w:val="nil"/>
          <w:between w:val="nil"/>
        </w:pBdr>
        <w:tabs>
          <w:tab w:val="center" w:pos="4153"/>
          <w:tab w:val="right" w:pos="8306"/>
          <w:tab w:val="center" w:pos="4513"/>
          <w:tab w:val="right" w:pos="9026"/>
        </w:tabs>
        <w:spacing w:before="120" w:after="120" w:line="240" w:lineRule="auto"/>
        <w:jc w:val="left"/>
        <w:rPr>
          <w:rFonts w:eastAsia="Arial"/>
          <w:b/>
          <w:sz w:val="36"/>
          <w:szCs w:val="36"/>
        </w:rPr>
      </w:pPr>
      <w:r w:rsidRPr="0091094A">
        <w:rPr>
          <w:rFonts w:eastAsia="Arial"/>
          <w:b/>
          <w:sz w:val="36"/>
          <w:szCs w:val="36"/>
        </w:rPr>
        <w:t>Call-Off Schedule 28</w:t>
      </w:r>
      <w:r w:rsidR="00351AFB" w:rsidRPr="0091094A">
        <w:rPr>
          <w:rFonts w:eastAsia="Arial"/>
          <w:b/>
          <w:sz w:val="36"/>
          <w:szCs w:val="36"/>
        </w:rPr>
        <w:t xml:space="preserve"> (</w:t>
      </w:r>
      <w:r w:rsidRPr="0091094A">
        <w:rPr>
          <w:rFonts w:eastAsia="Arial"/>
          <w:b/>
          <w:sz w:val="36"/>
          <w:szCs w:val="36"/>
        </w:rPr>
        <w:t xml:space="preserve">Special </w:t>
      </w:r>
      <w:r w:rsidR="00F67524">
        <w:rPr>
          <w:rFonts w:eastAsia="Arial"/>
          <w:b/>
          <w:sz w:val="36"/>
          <w:szCs w:val="36"/>
        </w:rPr>
        <w:t xml:space="preserve">Call-Off </w:t>
      </w:r>
      <w:r w:rsidR="0091094A" w:rsidRPr="0091094A">
        <w:rPr>
          <w:rFonts w:eastAsia="Arial"/>
          <w:b/>
          <w:sz w:val="36"/>
          <w:szCs w:val="36"/>
        </w:rPr>
        <w:t>Schedule for Lot 1a and Lot 1b</w:t>
      </w:r>
      <w:r w:rsidR="00351AFB" w:rsidRPr="0091094A">
        <w:rPr>
          <w:rFonts w:eastAsia="Arial"/>
          <w:b/>
          <w:sz w:val="36"/>
          <w:szCs w:val="36"/>
        </w:rPr>
        <w:t>)</w:t>
      </w:r>
    </w:p>
    <w:p w14:paraId="41FFC75D" w14:textId="0C079235" w:rsidR="00180BA1" w:rsidRPr="0091094A" w:rsidRDefault="00180BA1" w:rsidP="00B56DE1">
      <w:pPr>
        <w:widowControl w:val="0"/>
        <w:pBdr>
          <w:top w:val="nil"/>
          <w:left w:val="nil"/>
          <w:bottom w:val="nil"/>
          <w:right w:val="nil"/>
          <w:between w:val="nil"/>
        </w:pBdr>
        <w:tabs>
          <w:tab w:val="left" w:pos="142"/>
        </w:tabs>
        <w:spacing w:before="120" w:after="120" w:line="240" w:lineRule="auto"/>
        <w:jc w:val="left"/>
        <w:rPr>
          <w:rFonts w:eastAsia="Arial"/>
          <w:b/>
        </w:rPr>
      </w:pPr>
    </w:p>
    <w:p w14:paraId="144AC64B" w14:textId="03D49E0E" w:rsidR="00986518" w:rsidRPr="0091094A" w:rsidRDefault="00986518" w:rsidP="00B56DE1">
      <w:pPr>
        <w:widowControl w:val="0"/>
        <w:numPr>
          <w:ilvl w:val="0"/>
          <w:numId w:val="1"/>
        </w:numPr>
        <w:pBdr>
          <w:top w:val="nil"/>
          <w:left w:val="nil"/>
          <w:bottom w:val="nil"/>
          <w:right w:val="nil"/>
          <w:between w:val="nil"/>
        </w:pBdr>
        <w:tabs>
          <w:tab w:val="left" w:pos="142"/>
        </w:tabs>
        <w:spacing w:before="120" w:after="120" w:line="240" w:lineRule="auto"/>
        <w:ind w:left="426" w:hanging="426"/>
        <w:jc w:val="left"/>
        <w:rPr>
          <w:rFonts w:eastAsia="Arial"/>
          <w:b/>
        </w:rPr>
      </w:pPr>
      <w:r w:rsidRPr="0091094A">
        <w:rPr>
          <w:rFonts w:eastAsia="Arial"/>
          <w:b/>
        </w:rPr>
        <w:t>Application of this Schedule</w:t>
      </w:r>
    </w:p>
    <w:p w14:paraId="148840BD" w14:textId="48B64717" w:rsidR="0091094A" w:rsidRPr="0091094A" w:rsidRDefault="00986518" w:rsidP="00B56DE1">
      <w:pPr>
        <w:widowControl w:val="0"/>
        <w:numPr>
          <w:ilvl w:val="1"/>
          <w:numId w:val="1"/>
        </w:numPr>
        <w:pBdr>
          <w:top w:val="nil"/>
          <w:left w:val="nil"/>
          <w:bottom w:val="nil"/>
          <w:right w:val="nil"/>
          <w:between w:val="nil"/>
        </w:pBdr>
        <w:tabs>
          <w:tab w:val="left" w:pos="142"/>
        </w:tabs>
        <w:spacing w:before="120" w:after="120" w:line="240" w:lineRule="auto"/>
        <w:ind w:left="1134" w:hanging="708"/>
        <w:jc w:val="left"/>
        <w:rPr>
          <w:rFonts w:eastAsia="Arial"/>
        </w:rPr>
      </w:pPr>
      <w:r w:rsidRPr="0091094A">
        <w:rPr>
          <w:rFonts w:eastAsia="Arial"/>
        </w:rPr>
        <w:t>Part 1 of this Schedule (General</w:t>
      </w:r>
      <w:r w:rsidR="0091094A" w:rsidRPr="0091094A">
        <w:rPr>
          <w:rFonts w:eastAsia="Arial"/>
        </w:rPr>
        <w:t xml:space="preserve"> IaaS/PaaS Specific Terms</w:t>
      </w:r>
      <w:r w:rsidRPr="0091094A">
        <w:rPr>
          <w:rFonts w:eastAsia="Arial"/>
        </w:rPr>
        <w:t>) applies to any Call-Off Contract awarded under</w:t>
      </w:r>
      <w:r w:rsidR="0091094A" w:rsidRPr="0091094A">
        <w:rPr>
          <w:rFonts w:eastAsia="Arial"/>
        </w:rPr>
        <w:t xml:space="preserve"> the following Lots of the Framework:</w:t>
      </w:r>
      <w:r w:rsidRPr="0091094A">
        <w:rPr>
          <w:rFonts w:eastAsia="Arial"/>
        </w:rPr>
        <w:t xml:space="preserve"> </w:t>
      </w:r>
    </w:p>
    <w:p w14:paraId="7294AE72" w14:textId="522BAD34" w:rsidR="0091094A" w:rsidRPr="0091094A" w:rsidRDefault="00986518" w:rsidP="00B56DE1">
      <w:pPr>
        <w:widowControl w:val="0"/>
        <w:numPr>
          <w:ilvl w:val="2"/>
          <w:numId w:val="1"/>
        </w:numPr>
        <w:pBdr>
          <w:top w:val="nil"/>
          <w:left w:val="nil"/>
          <w:bottom w:val="nil"/>
          <w:right w:val="nil"/>
          <w:between w:val="nil"/>
        </w:pBdr>
        <w:tabs>
          <w:tab w:val="left" w:pos="142"/>
        </w:tabs>
        <w:spacing w:before="120" w:after="120" w:line="240" w:lineRule="auto"/>
        <w:ind w:left="1985" w:hanging="851"/>
        <w:jc w:val="left"/>
        <w:rPr>
          <w:rFonts w:eastAsia="Arial"/>
        </w:rPr>
      </w:pPr>
      <w:r w:rsidRPr="0091094A">
        <w:rPr>
          <w:rFonts w:eastAsia="Arial"/>
        </w:rPr>
        <w:t xml:space="preserve">Lot 1a </w:t>
      </w:r>
      <w:r w:rsidR="0091094A" w:rsidRPr="00F04CFD">
        <w:rPr>
          <w:rFonts w:eastAsia="Arial"/>
          <w:i/>
          <w:iCs/>
        </w:rPr>
        <w:t>(Infrastructure as a Service (IaaS) and Platform as a Service (PaaS))</w:t>
      </w:r>
      <w:r w:rsidR="0091094A" w:rsidRPr="0091094A">
        <w:rPr>
          <w:rFonts w:eastAsia="Arial"/>
        </w:rPr>
        <w:t xml:space="preserve">; </w:t>
      </w:r>
      <w:r w:rsidRPr="0091094A">
        <w:rPr>
          <w:rFonts w:eastAsia="Arial"/>
        </w:rPr>
        <w:t xml:space="preserve">or </w:t>
      </w:r>
    </w:p>
    <w:p w14:paraId="5E28623E" w14:textId="4B20DBE2" w:rsidR="0091094A" w:rsidRPr="0091094A" w:rsidRDefault="00986518" w:rsidP="00B56DE1">
      <w:pPr>
        <w:widowControl w:val="0"/>
        <w:numPr>
          <w:ilvl w:val="2"/>
          <w:numId w:val="1"/>
        </w:numPr>
        <w:pBdr>
          <w:top w:val="nil"/>
          <w:left w:val="nil"/>
          <w:bottom w:val="nil"/>
          <w:right w:val="nil"/>
          <w:between w:val="nil"/>
        </w:pBdr>
        <w:tabs>
          <w:tab w:val="left" w:pos="142"/>
        </w:tabs>
        <w:spacing w:before="120" w:after="120" w:line="240" w:lineRule="auto"/>
        <w:ind w:left="1985" w:hanging="851"/>
        <w:jc w:val="left"/>
        <w:rPr>
          <w:rFonts w:eastAsia="Arial"/>
        </w:rPr>
      </w:pPr>
      <w:r w:rsidRPr="0091094A">
        <w:rPr>
          <w:rFonts w:eastAsia="Arial"/>
        </w:rPr>
        <w:t xml:space="preserve">Lot 1b </w:t>
      </w:r>
      <w:r w:rsidR="00F04CFD" w:rsidRPr="00F04CFD">
        <w:rPr>
          <w:rFonts w:eastAsia="Arial"/>
          <w:i/>
          <w:iCs/>
        </w:rPr>
        <w:t>(</w:t>
      </w:r>
      <w:r w:rsidR="0091094A" w:rsidRPr="00F04CFD">
        <w:rPr>
          <w:rFonts w:eastAsia="Arial"/>
          <w:i/>
          <w:iCs/>
        </w:rPr>
        <w:t>Infrastructure as a Service (IaaS) and Platform as a Service (PaaS) above OFFICIAL).</w:t>
      </w:r>
    </w:p>
    <w:p w14:paraId="2BE62EEB" w14:textId="7C7DABB9" w:rsidR="0091094A" w:rsidRPr="0091094A" w:rsidRDefault="0091094A" w:rsidP="00B56DE1">
      <w:pPr>
        <w:widowControl w:val="0"/>
        <w:numPr>
          <w:ilvl w:val="1"/>
          <w:numId w:val="1"/>
        </w:numPr>
        <w:pBdr>
          <w:top w:val="nil"/>
          <w:left w:val="nil"/>
          <w:bottom w:val="nil"/>
          <w:right w:val="nil"/>
          <w:between w:val="nil"/>
        </w:pBdr>
        <w:tabs>
          <w:tab w:val="left" w:pos="142"/>
        </w:tabs>
        <w:spacing w:before="120" w:after="120" w:line="240" w:lineRule="auto"/>
        <w:ind w:left="1134" w:hanging="708"/>
        <w:jc w:val="left"/>
        <w:rPr>
          <w:rFonts w:eastAsia="Arial"/>
        </w:rPr>
      </w:pPr>
      <w:r w:rsidRPr="0091094A">
        <w:rPr>
          <w:rFonts w:eastAsia="Arial"/>
        </w:rPr>
        <w:t xml:space="preserve">Part 2 of this Schedule (Lot 1b Specific Terms) applies </w:t>
      </w:r>
      <w:r w:rsidR="00D24408">
        <w:rPr>
          <w:rFonts w:eastAsia="Arial"/>
        </w:rPr>
        <w:t xml:space="preserve">only </w:t>
      </w:r>
      <w:r w:rsidRPr="0091094A">
        <w:rPr>
          <w:rFonts w:eastAsia="Arial"/>
        </w:rPr>
        <w:t>to any Call-Off Contract awarded under Lot 1</w:t>
      </w:r>
      <w:r w:rsidR="008B5E1E">
        <w:rPr>
          <w:rFonts w:eastAsia="Arial"/>
        </w:rPr>
        <w:t>b</w:t>
      </w:r>
      <w:r w:rsidRPr="0091094A">
        <w:rPr>
          <w:rFonts w:eastAsia="Arial"/>
        </w:rPr>
        <w:t xml:space="preserve"> </w:t>
      </w:r>
      <w:r w:rsidRPr="00F04CFD">
        <w:rPr>
          <w:rFonts w:eastAsia="Arial"/>
          <w:i/>
          <w:iCs/>
        </w:rPr>
        <w:t>(Infrastructure as a Service (IaaS) and Platform as a Service (PaaS) above OFFICIAL)</w:t>
      </w:r>
      <w:r w:rsidRPr="0091094A">
        <w:rPr>
          <w:rFonts w:eastAsia="Arial"/>
        </w:rPr>
        <w:t xml:space="preserve"> of this Framework.</w:t>
      </w:r>
    </w:p>
    <w:p w14:paraId="41B592AC" w14:textId="35242D28" w:rsidR="0091094A" w:rsidRPr="0091094A" w:rsidRDefault="0091094A" w:rsidP="00B56DE1">
      <w:pPr>
        <w:widowControl w:val="0"/>
        <w:pBdr>
          <w:top w:val="nil"/>
          <w:left w:val="nil"/>
          <w:bottom w:val="nil"/>
          <w:right w:val="nil"/>
          <w:between w:val="nil"/>
        </w:pBdr>
        <w:tabs>
          <w:tab w:val="left" w:pos="142"/>
        </w:tabs>
        <w:spacing w:before="120" w:after="120" w:line="240" w:lineRule="auto"/>
        <w:jc w:val="left"/>
        <w:rPr>
          <w:rFonts w:eastAsia="Arial"/>
          <w:b/>
          <w:sz w:val="36"/>
          <w:szCs w:val="36"/>
        </w:rPr>
      </w:pPr>
      <w:r w:rsidRPr="0091094A">
        <w:rPr>
          <w:rFonts w:eastAsia="Arial"/>
          <w:b/>
          <w:sz w:val="36"/>
          <w:szCs w:val="36"/>
        </w:rPr>
        <w:t>Part 1 (General IaaS/PaaS Specific Terms)</w:t>
      </w:r>
    </w:p>
    <w:p w14:paraId="3EF21214" w14:textId="19D7EDCF" w:rsidR="000909B0" w:rsidRPr="0091094A" w:rsidRDefault="00351AFB" w:rsidP="00B56DE1">
      <w:pPr>
        <w:widowControl w:val="0"/>
        <w:numPr>
          <w:ilvl w:val="0"/>
          <w:numId w:val="1"/>
        </w:numPr>
        <w:pBdr>
          <w:top w:val="nil"/>
          <w:left w:val="nil"/>
          <w:bottom w:val="nil"/>
          <w:right w:val="nil"/>
          <w:between w:val="nil"/>
        </w:pBdr>
        <w:tabs>
          <w:tab w:val="left" w:pos="142"/>
        </w:tabs>
        <w:spacing w:before="120" w:after="120" w:line="240" w:lineRule="auto"/>
        <w:ind w:left="426" w:hanging="426"/>
        <w:jc w:val="left"/>
        <w:rPr>
          <w:rFonts w:eastAsia="Arial"/>
          <w:b/>
        </w:rPr>
      </w:pPr>
      <w:r w:rsidRPr="0091094A">
        <w:rPr>
          <w:rFonts w:eastAsia="Arial"/>
          <w:b/>
        </w:rPr>
        <w:t>D</w:t>
      </w:r>
      <w:r w:rsidRPr="0091094A">
        <w:rPr>
          <w:rFonts w:eastAsia="Arial Bold"/>
          <w:b/>
        </w:rPr>
        <w:t>efinitions</w:t>
      </w:r>
    </w:p>
    <w:p w14:paraId="67AC6A4C" w14:textId="77777777" w:rsidR="000909B0" w:rsidRPr="0091094A" w:rsidRDefault="00351AFB" w:rsidP="1A3BC9E4">
      <w:pPr>
        <w:widowControl w:val="0"/>
        <w:numPr>
          <w:ilvl w:val="1"/>
          <w:numId w:val="1"/>
        </w:numPr>
        <w:pBdr>
          <w:top w:val="nil"/>
          <w:left w:val="nil"/>
          <w:bottom w:val="nil"/>
          <w:right w:val="nil"/>
          <w:between w:val="nil"/>
        </w:pBdr>
        <w:tabs>
          <w:tab w:val="left" w:pos="1134"/>
          <w:tab w:val="left" w:pos="1134"/>
        </w:tabs>
        <w:spacing w:before="120" w:after="120" w:line="240" w:lineRule="auto"/>
        <w:ind w:left="1134" w:hanging="708"/>
        <w:jc w:val="left"/>
        <w:rPr>
          <w:rFonts w:eastAsia="Arial"/>
        </w:rPr>
      </w:pPr>
      <w:bookmarkStart w:id="0" w:name="_heading=h.gjdgxs"/>
      <w:bookmarkEnd w:id="0"/>
      <w:r w:rsidRPr="1A3BC9E4">
        <w:rPr>
          <w:rFonts w:eastAsia="Arial"/>
        </w:rPr>
        <w:t xml:space="preserve">In this Schedule, the following words shall have the following meanings and they shall supplement Joint Schedule 1 </w:t>
      </w:r>
      <w:r w:rsidRPr="1A3BC9E4">
        <w:rPr>
          <w:rFonts w:eastAsia="Arial"/>
          <w:i/>
          <w:iCs/>
        </w:rPr>
        <w:t>(Definitions)</w:t>
      </w:r>
      <w:r w:rsidRPr="1A3BC9E4">
        <w:rPr>
          <w:rFonts w:eastAsia="Arial"/>
        </w:rPr>
        <w:t>:</w:t>
      </w:r>
    </w:p>
    <w:tbl>
      <w:tblPr>
        <w:tblStyle w:val="a"/>
        <w:tblW w:w="7780" w:type="dxa"/>
        <w:tblInd w:w="1134" w:type="dxa"/>
        <w:tblLayout w:type="fixed"/>
        <w:tblLook w:val="0400" w:firstRow="0" w:lastRow="0" w:firstColumn="0" w:lastColumn="0" w:noHBand="0" w:noVBand="1"/>
      </w:tblPr>
      <w:tblGrid>
        <w:gridCol w:w="2835"/>
        <w:gridCol w:w="4945"/>
      </w:tblGrid>
      <w:tr w:rsidR="001A0CD2" w:rsidRPr="0091094A" w14:paraId="4386CC31" w14:textId="77777777" w:rsidTr="00E4602F">
        <w:tc>
          <w:tcPr>
            <w:tcW w:w="2835" w:type="dxa"/>
          </w:tcPr>
          <w:p w14:paraId="5010A360" w14:textId="6A80CA9E" w:rsidR="001A0CD2" w:rsidRDefault="001A0CD2" w:rsidP="001A0CD2">
            <w:pPr>
              <w:widowControl w:val="0"/>
              <w:pBdr>
                <w:top w:val="nil"/>
                <w:left w:val="nil"/>
                <w:bottom w:val="nil"/>
                <w:right w:val="nil"/>
                <w:between w:val="nil"/>
              </w:pBdr>
              <w:tabs>
                <w:tab w:val="left" w:pos="1134"/>
              </w:tabs>
              <w:spacing w:before="120" w:after="120" w:line="240" w:lineRule="auto"/>
              <w:jc w:val="left"/>
              <w:rPr>
                <w:rFonts w:eastAsia="Arial"/>
                <w:b/>
              </w:rPr>
            </w:pPr>
            <w:r>
              <w:rPr>
                <w:rFonts w:eastAsia="Arial"/>
                <w:b/>
              </w:rPr>
              <w:t>"Security Assessment Documents"</w:t>
            </w:r>
          </w:p>
        </w:tc>
        <w:tc>
          <w:tcPr>
            <w:tcW w:w="4945" w:type="dxa"/>
          </w:tcPr>
          <w:p w14:paraId="2958822D" w14:textId="30567034" w:rsidR="001A0CD2" w:rsidRDefault="001A0CD2" w:rsidP="00B56DE1">
            <w:pPr>
              <w:widowControl w:val="0"/>
              <w:pBdr>
                <w:top w:val="nil"/>
                <w:left w:val="nil"/>
                <w:bottom w:val="nil"/>
                <w:right w:val="nil"/>
                <w:between w:val="nil"/>
              </w:pBdr>
              <w:tabs>
                <w:tab w:val="left" w:pos="1134"/>
              </w:tabs>
              <w:spacing w:before="120" w:after="120" w:line="240" w:lineRule="auto"/>
              <w:jc w:val="left"/>
              <w:rPr>
                <w:rFonts w:eastAsia="Arial"/>
              </w:rPr>
            </w:pPr>
            <w:r>
              <w:rPr>
                <w:rFonts w:eastAsia="Arial"/>
              </w:rPr>
              <w:t>has the meaning given in Paragraph 3.1.4 of this Schedule;</w:t>
            </w:r>
            <w:r w:rsidR="00B11F1C">
              <w:rPr>
                <w:rFonts w:eastAsia="Arial"/>
              </w:rPr>
              <w:t xml:space="preserve"> and</w:t>
            </w:r>
          </w:p>
        </w:tc>
      </w:tr>
      <w:tr w:rsidR="009068E2" w:rsidRPr="0091094A" w14:paraId="3E62F2DF" w14:textId="77777777" w:rsidTr="00E4602F">
        <w:tc>
          <w:tcPr>
            <w:tcW w:w="2835" w:type="dxa"/>
          </w:tcPr>
          <w:p w14:paraId="52ACF84E" w14:textId="6BB54089" w:rsidR="009068E2" w:rsidRPr="0091094A" w:rsidRDefault="001A0CD2" w:rsidP="001A0CD2">
            <w:pPr>
              <w:widowControl w:val="0"/>
              <w:pBdr>
                <w:top w:val="nil"/>
                <w:left w:val="nil"/>
                <w:bottom w:val="nil"/>
                <w:right w:val="nil"/>
                <w:between w:val="nil"/>
              </w:pBdr>
              <w:tabs>
                <w:tab w:val="left" w:pos="1134"/>
              </w:tabs>
              <w:spacing w:before="120" w:after="120" w:line="240" w:lineRule="auto"/>
              <w:jc w:val="left"/>
              <w:rPr>
                <w:rFonts w:eastAsia="Arial"/>
                <w:b/>
              </w:rPr>
            </w:pPr>
            <w:bookmarkStart w:id="1" w:name="_heading=h.30j0zll" w:colFirst="0" w:colLast="0"/>
            <w:bookmarkEnd w:id="1"/>
            <w:r>
              <w:rPr>
                <w:rFonts w:eastAsia="Arial"/>
                <w:b/>
              </w:rPr>
              <w:t xml:space="preserve">"Security Audit" </w:t>
            </w:r>
          </w:p>
        </w:tc>
        <w:tc>
          <w:tcPr>
            <w:tcW w:w="4945" w:type="dxa"/>
          </w:tcPr>
          <w:p w14:paraId="50BEAF96" w14:textId="342812CF" w:rsidR="009068E2" w:rsidRPr="0091094A" w:rsidRDefault="001A0CD2" w:rsidP="00B56DE1">
            <w:pPr>
              <w:widowControl w:val="0"/>
              <w:pBdr>
                <w:top w:val="nil"/>
                <w:left w:val="nil"/>
                <w:bottom w:val="nil"/>
                <w:right w:val="nil"/>
                <w:between w:val="nil"/>
              </w:pBdr>
              <w:tabs>
                <w:tab w:val="left" w:pos="1134"/>
              </w:tabs>
              <w:spacing w:before="120" w:after="120" w:line="240" w:lineRule="auto"/>
              <w:jc w:val="left"/>
              <w:rPr>
                <w:rFonts w:eastAsia="Arial"/>
              </w:rPr>
            </w:pPr>
            <w:r>
              <w:rPr>
                <w:rFonts w:eastAsia="Arial"/>
              </w:rPr>
              <w:t>has the meaning given in Paragraph 3.1 of this Schedule</w:t>
            </w:r>
            <w:r w:rsidR="00B11F1C">
              <w:rPr>
                <w:rFonts w:eastAsia="Arial"/>
              </w:rPr>
              <w:t>.</w:t>
            </w:r>
          </w:p>
        </w:tc>
      </w:tr>
    </w:tbl>
    <w:p w14:paraId="3B2C2107" w14:textId="2859DF6F" w:rsidR="000909B0" w:rsidRPr="0091094A" w:rsidRDefault="0091094A" w:rsidP="00B56DE1">
      <w:pPr>
        <w:widowControl w:val="0"/>
        <w:numPr>
          <w:ilvl w:val="0"/>
          <w:numId w:val="1"/>
        </w:numPr>
        <w:pBdr>
          <w:top w:val="nil"/>
          <w:left w:val="nil"/>
          <w:bottom w:val="nil"/>
          <w:right w:val="nil"/>
          <w:between w:val="nil"/>
        </w:pBdr>
        <w:tabs>
          <w:tab w:val="left" w:pos="426"/>
        </w:tabs>
        <w:spacing w:before="120" w:after="120" w:line="240" w:lineRule="auto"/>
        <w:ind w:left="426" w:hanging="426"/>
        <w:jc w:val="left"/>
        <w:rPr>
          <w:rFonts w:ascii="Arial Bold" w:eastAsia="Arial" w:hAnsi="Arial Bold"/>
          <w:b/>
        </w:rPr>
      </w:pPr>
      <w:r w:rsidRPr="0091094A">
        <w:rPr>
          <w:rFonts w:ascii="Arial Bold" w:eastAsia="Arial" w:hAnsi="Arial Bold"/>
          <w:b/>
        </w:rPr>
        <w:t>Security Audits</w:t>
      </w:r>
    </w:p>
    <w:p w14:paraId="2F7279DD" w14:textId="1A667D44" w:rsidR="00B56DE1" w:rsidRPr="00B56DE1" w:rsidRDefault="00B56DE1" w:rsidP="00B56DE1">
      <w:pPr>
        <w:widowControl w:val="0"/>
        <w:numPr>
          <w:ilvl w:val="1"/>
          <w:numId w:val="1"/>
        </w:numPr>
        <w:pBdr>
          <w:top w:val="nil"/>
          <w:left w:val="nil"/>
          <w:bottom w:val="nil"/>
          <w:right w:val="nil"/>
          <w:between w:val="nil"/>
        </w:pBdr>
        <w:tabs>
          <w:tab w:val="left" w:pos="1134"/>
        </w:tabs>
        <w:spacing w:before="120" w:after="120" w:line="240" w:lineRule="auto"/>
        <w:jc w:val="left"/>
        <w:rPr>
          <w:rFonts w:eastAsia="Arial"/>
        </w:rPr>
      </w:pPr>
      <w:r w:rsidRPr="00B56DE1">
        <w:rPr>
          <w:rFonts w:eastAsia="Arial"/>
        </w:rPr>
        <w:t xml:space="preserve">Notwithstanding any provisions of the </w:t>
      </w:r>
      <w:r w:rsidR="005664F7">
        <w:rPr>
          <w:rFonts w:eastAsia="Arial"/>
        </w:rPr>
        <w:t xml:space="preserve">Supplier </w:t>
      </w:r>
      <w:r w:rsidRPr="00B56DE1">
        <w:rPr>
          <w:rFonts w:eastAsia="Arial"/>
        </w:rPr>
        <w:t xml:space="preserve">DPA and/or any other </w:t>
      </w:r>
      <w:r w:rsidR="0048212B">
        <w:rPr>
          <w:rFonts w:eastAsia="Arial"/>
        </w:rPr>
        <w:t>a</w:t>
      </w:r>
      <w:r w:rsidRPr="00B56DE1">
        <w:rPr>
          <w:rFonts w:eastAsia="Arial"/>
        </w:rPr>
        <w:t>pplicable Supplier Terms, throughout the Contract Period the Supplier shall appoint external auditors to inspect and verify the continued adequacy and effectiveness of its Protective Measures in respect of the Services (including the security of the physical data centres from which the Supplier provides the Services) (</w:t>
      </w:r>
      <w:r w:rsidRPr="001A0CD2">
        <w:rPr>
          <w:rFonts w:eastAsia="Arial"/>
          <w:b/>
        </w:rPr>
        <w:t>“Security Audit”</w:t>
      </w:r>
      <w:r w:rsidRPr="00B56DE1">
        <w:rPr>
          <w:rFonts w:eastAsia="Arial"/>
        </w:rPr>
        <w:t xml:space="preserve">). The Supplier shall ensure: </w:t>
      </w:r>
    </w:p>
    <w:p w14:paraId="54EDE2C9" w14:textId="2A24A58E" w:rsidR="00B56DE1" w:rsidRPr="00B56DE1" w:rsidRDefault="00B56DE1" w:rsidP="00B56DE1">
      <w:pPr>
        <w:widowControl w:val="0"/>
        <w:numPr>
          <w:ilvl w:val="2"/>
          <w:numId w:val="1"/>
        </w:numPr>
        <w:pBdr>
          <w:top w:val="nil"/>
          <w:left w:val="nil"/>
          <w:bottom w:val="nil"/>
          <w:right w:val="nil"/>
          <w:between w:val="nil"/>
        </w:pBdr>
        <w:tabs>
          <w:tab w:val="left" w:pos="1134"/>
        </w:tabs>
        <w:spacing w:before="120" w:after="120" w:line="240" w:lineRule="auto"/>
        <w:jc w:val="left"/>
        <w:rPr>
          <w:rFonts w:eastAsia="Arial"/>
        </w:rPr>
      </w:pPr>
      <w:r w:rsidRPr="00B56DE1">
        <w:rPr>
          <w:rFonts w:eastAsia="Arial"/>
        </w:rPr>
        <w:t xml:space="preserve">Security Audits are undertaken at least annually by external auditors appointed by the Supplier and at the Supplier’s sole cost and expense; </w:t>
      </w:r>
    </w:p>
    <w:p w14:paraId="46E41779" w14:textId="4E237113" w:rsidR="00B56DE1" w:rsidRPr="00B56DE1" w:rsidRDefault="00B56DE1" w:rsidP="00B56DE1">
      <w:pPr>
        <w:widowControl w:val="0"/>
        <w:numPr>
          <w:ilvl w:val="2"/>
          <w:numId w:val="1"/>
        </w:numPr>
        <w:pBdr>
          <w:top w:val="nil"/>
          <w:left w:val="nil"/>
          <w:bottom w:val="nil"/>
          <w:right w:val="nil"/>
          <w:between w:val="nil"/>
        </w:pBdr>
        <w:tabs>
          <w:tab w:val="left" w:pos="1134"/>
        </w:tabs>
        <w:spacing w:before="120" w:after="120" w:line="240" w:lineRule="auto"/>
        <w:jc w:val="left"/>
        <w:rPr>
          <w:rFonts w:eastAsia="Arial"/>
        </w:rPr>
      </w:pPr>
      <w:r w:rsidRPr="00B56DE1">
        <w:rPr>
          <w:rFonts w:eastAsia="Arial"/>
        </w:rPr>
        <w:t xml:space="preserve">external auditors appointed to undertake Security Audits are suitably qualified and experienced independent third party organisations, whose identity the Supplier shall disclose to the Buyer upon request; </w:t>
      </w:r>
    </w:p>
    <w:p w14:paraId="46F613D0" w14:textId="43056F21" w:rsidR="00B56DE1" w:rsidRPr="00B56DE1" w:rsidRDefault="009A1548" w:rsidP="15FC92B4">
      <w:pPr>
        <w:widowControl w:val="0"/>
        <w:numPr>
          <w:ilvl w:val="2"/>
          <w:numId w:val="1"/>
        </w:numPr>
        <w:pBdr>
          <w:top w:val="nil"/>
          <w:left w:val="nil"/>
          <w:bottom w:val="nil"/>
          <w:right w:val="nil"/>
          <w:between w:val="nil"/>
        </w:pBdr>
        <w:tabs>
          <w:tab w:val="left" w:pos="1134"/>
        </w:tabs>
        <w:spacing w:before="120" w:after="120" w:line="240" w:lineRule="auto"/>
        <w:jc w:val="left"/>
        <w:rPr>
          <w:rFonts w:eastAsia="Arial"/>
        </w:rPr>
      </w:pPr>
      <w:r>
        <w:rPr>
          <w:rFonts w:eastAsia="Arial"/>
        </w:rPr>
        <w:t xml:space="preserve">Security Audits </w:t>
      </w:r>
      <w:r w:rsidR="00B56DE1" w:rsidRPr="15FC92B4">
        <w:rPr>
          <w:rFonts w:eastAsia="Arial"/>
        </w:rPr>
        <w:t xml:space="preserve">are undertaken in accordance with ISO 27001 (or other substantially equivalent alternative standard(s)); and </w:t>
      </w:r>
    </w:p>
    <w:p w14:paraId="154D237C" w14:textId="2869EA37" w:rsidR="00B56DE1" w:rsidRPr="00B56DE1" w:rsidRDefault="00B56DE1" w:rsidP="00B56DE1">
      <w:pPr>
        <w:widowControl w:val="0"/>
        <w:numPr>
          <w:ilvl w:val="2"/>
          <w:numId w:val="1"/>
        </w:numPr>
        <w:pBdr>
          <w:top w:val="nil"/>
          <w:left w:val="nil"/>
          <w:bottom w:val="nil"/>
          <w:right w:val="nil"/>
          <w:between w:val="nil"/>
        </w:pBdr>
        <w:tabs>
          <w:tab w:val="left" w:pos="1134"/>
        </w:tabs>
        <w:spacing w:before="120" w:after="120" w:line="240" w:lineRule="auto"/>
        <w:jc w:val="left"/>
        <w:rPr>
          <w:rFonts w:eastAsia="Arial"/>
        </w:rPr>
      </w:pPr>
      <w:r w:rsidRPr="00B56DE1">
        <w:rPr>
          <w:rFonts w:eastAsia="Arial"/>
        </w:rPr>
        <w:t xml:space="preserve">any Security Audit results in the independent external auditors </w:t>
      </w:r>
      <w:r w:rsidRPr="00B56DE1">
        <w:rPr>
          <w:rFonts w:eastAsia="Arial"/>
        </w:rPr>
        <w:lastRenderedPageBreak/>
        <w:t>providing written summary reports, certifications and/or attestations of compliance (as applicable) in accordance with good industry practice (</w:t>
      </w:r>
      <w:r w:rsidRPr="001A0CD2">
        <w:rPr>
          <w:rFonts w:eastAsia="Arial"/>
          <w:b/>
        </w:rPr>
        <w:t>“Security Assessment Documents”</w:t>
      </w:r>
      <w:r w:rsidRPr="00B56DE1">
        <w:rPr>
          <w:rFonts w:eastAsia="Arial"/>
        </w:rPr>
        <w:t xml:space="preserve">) capable of being used by the Buyer so that it can reasonably assess and assure itself as to the continued adequacy and effectiveness of the Supplier’s Protective Measures, the Supplier’s compliance with those Protective Measures and its obligations under the Data Protection Legislation in respect of its provision of the Services in accordance with this Contract. </w:t>
      </w:r>
    </w:p>
    <w:p w14:paraId="26FBDCCA" w14:textId="619B160C" w:rsidR="000909B0" w:rsidRDefault="00B56DE1" w:rsidP="2A7C6DBE">
      <w:pPr>
        <w:widowControl w:val="0"/>
        <w:numPr>
          <w:ilvl w:val="1"/>
          <w:numId w:val="1"/>
        </w:numPr>
        <w:pBdr>
          <w:top w:val="nil"/>
          <w:left w:val="nil"/>
          <w:bottom w:val="nil"/>
          <w:right w:val="nil"/>
          <w:between w:val="nil"/>
        </w:pBdr>
        <w:tabs>
          <w:tab w:val="left" w:pos="1134"/>
        </w:tabs>
        <w:spacing w:before="120" w:after="120" w:line="240" w:lineRule="auto"/>
        <w:jc w:val="left"/>
        <w:rPr>
          <w:rFonts w:eastAsia="Arial"/>
        </w:rPr>
      </w:pPr>
      <w:r w:rsidRPr="2A7C6DBE">
        <w:rPr>
          <w:rFonts w:eastAsia="Arial"/>
        </w:rPr>
        <w:t>Upon the Buyer’s request, and subject to the conf</w:t>
      </w:r>
      <w:r w:rsidR="001A0CD2" w:rsidRPr="2A7C6DBE">
        <w:rPr>
          <w:rFonts w:eastAsia="Arial"/>
        </w:rPr>
        <w:t>identiality undertakings of the</w:t>
      </w:r>
      <w:r w:rsidRPr="2A7C6DBE">
        <w:rPr>
          <w:rFonts w:eastAsia="Arial"/>
        </w:rPr>
        <w:t xml:space="preserve"> Contract, the Supplier shall at the Buyer’s option either provide a copy or make available to the Buyer for review (including</w:t>
      </w:r>
      <w:r w:rsidR="00B82DD2" w:rsidRPr="2A7C6DBE">
        <w:rPr>
          <w:rFonts w:eastAsia="Arial"/>
        </w:rPr>
        <w:t>, where applicable,</w:t>
      </w:r>
      <w:r w:rsidRPr="2A7C6DBE">
        <w:rPr>
          <w:rFonts w:eastAsia="Arial"/>
        </w:rPr>
        <w:t xml:space="preserve"> </w:t>
      </w:r>
      <w:r w:rsidR="00B11F1C" w:rsidRPr="2A7C6DBE">
        <w:rPr>
          <w:rFonts w:eastAsia="Arial"/>
        </w:rPr>
        <w:t xml:space="preserve">through </w:t>
      </w:r>
      <w:r w:rsidR="00B82DD2" w:rsidRPr="2A7C6DBE">
        <w:rPr>
          <w:rFonts w:eastAsia="Arial"/>
        </w:rPr>
        <w:t xml:space="preserve">any </w:t>
      </w:r>
      <w:r w:rsidRPr="2A7C6DBE">
        <w:rPr>
          <w:rFonts w:eastAsia="Arial"/>
        </w:rPr>
        <w:t>Supplier Portal) the Security Assessment Documents. The Security Assessment Documents will be treated as the Supplier’s Confidential Information.</w:t>
      </w:r>
    </w:p>
    <w:p w14:paraId="126B0CF9" w14:textId="77777777" w:rsidR="00D85414" w:rsidRPr="0091094A" w:rsidRDefault="00D85414" w:rsidP="2A062108">
      <w:pPr>
        <w:widowControl w:val="0"/>
        <w:numPr>
          <w:ilvl w:val="0"/>
          <w:numId w:val="1"/>
        </w:numPr>
        <w:pBdr>
          <w:top w:val="nil"/>
          <w:left w:val="nil"/>
          <w:bottom w:val="nil"/>
          <w:right w:val="nil"/>
          <w:between w:val="nil"/>
        </w:pBdr>
        <w:spacing w:before="120" w:after="120" w:line="240" w:lineRule="auto"/>
        <w:ind w:left="426" w:hanging="426"/>
        <w:jc w:val="left"/>
        <w:rPr>
          <w:rFonts w:eastAsia="Arial"/>
          <w:b/>
          <w:bCs/>
        </w:rPr>
      </w:pPr>
      <w:r w:rsidRPr="2A062108">
        <w:rPr>
          <w:rFonts w:eastAsia="Arial"/>
          <w:b/>
          <w:bCs/>
        </w:rPr>
        <w:t>Security Aspects Letter</w:t>
      </w:r>
    </w:p>
    <w:p w14:paraId="2FDD627B" w14:textId="77777777" w:rsidR="00D85414" w:rsidRDefault="00D85414" w:rsidP="00D85414">
      <w:pPr>
        <w:widowControl w:val="0"/>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Pr>
          <w:rFonts w:eastAsia="Arial"/>
        </w:rPr>
        <w:t>The Supplier shall comply with the Security Aspects Letter (if any) that is issued by the Buyer in connection with the Call-Off Contract.</w:t>
      </w:r>
    </w:p>
    <w:p w14:paraId="5B17E119" w14:textId="77777777" w:rsidR="00D85414" w:rsidRDefault="00D85414" w:rsidP="00D85414">
      <w:pPr>
        <w:widowControl w:val="0"/>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Pr>
          <w:rFonts w:eastAsia="Arial"/>
        </w:rPr>
        <w:t>The Supplier shall ensure that all Subc</w:t>
      </w:r>
      <w:r w:rsidRPr="007466A5">
        <w:rPr>
          <w:rFonts w:eastAsia="Arial"/>
        </w:rPr>
        <w:t xml:space="preserve">ontractors </w:t>
      </w:r>
      <w:r>
        <w:rPr>
          <w:rFonts w:eastAsia="Arial"/>
        </w:rPr>
        <w:t xml:space="preserve">(including </w:t>
      </w:r>
      <w:r w:rsidRPr="007466A5">
        <w:rPr>
          <w:rFonts w:eastAsia="Arial"/>
        </w:rPr>
        <w:t>Key Sub</w:t>
      </w:r>
      <w:r>
        <w:rPr>
          <w:rFonts w:eastAsia="Arial"/>
        </w:rPr>
        <w:t>c</w:t>
      </w:r>
      <w:r w:rsidRPr="007466A5">
        <w:rPr>
          <w:rFonts w:eastAsia="Arial"/>
        </w:rPr>
        <w:t>ontractors</w:t>
      </w:r>
      <w:r>
        <w:rPr>
          <w:rFonts w:eastAsia="Arial"/>
        </w:rPr>
        <w:t>)</w:t>
      </w:r>
      <w:r w:rsidRPr="007466A5">
        <w:rPr>
          <w:rFonts w:eastAsia="Arial"/>
        </w:rPr>
        <w:t xml:space="preserve"> shall be provided with a copy of the Security Aspects Letter by the </w:t>
      </w:r>
      <w:r>
        <w:rPr>
          <w:rFonts w:eastAsia="Arial"/>
        </w:rPr>
        <w:t>Supplier</w:t>
      </w:r>
      <w:r w:rsidRPr="007466A5">
        <w:rPr>
          <w:rFonts w:eastAsia="Arial"/>
        </w:rPr>
        <w:t xml:space="preserve"> and are required to comply with the</w:t>
      </w:r>
      <w:r>
        <w:rPr>
          <w:rFonts w:eastAsia="Arial"/>
        </w:rPr>
        <w:t xml:space="preserve"> </w:t>
      </w:r>
      <w:r w:rsidRPr="00E30644">
        <w:rPr>
          <w:rFonts w:eastAsia="Arial"/>
        </w:rPr>
        <w:t xml:space="preserve">requirements contained within the </w:t>
      </w:r>
      <w:r>
        <w:rPr>
          <w:rFonts w:eastAsia="Arial"/>
        </w:rPr>
        <w:t>Security Aspects Letter</w:t>
      </w:r>
      <w:r w:rsidRPr="00E30644">
        <w:rPr>
          <w:rFonts w:eastAsia="Arial"/>
        </w:rPr>
        <w:t>.</w:t>
      </w:r>
    </w:p>
    <w:p w14:paraId="3E2362CF" w14:textId="77777777" w:rsidR="00D85414" w:rsidRPr="00E30644" w:rsidRDefault="00D85414" w:rsidP="00D85414">
      <w:pPr>
        <w:widowControl w:val="0"/>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r>
        <w:rPr>
          <w:rFonts w:eastAsia="Arial"/>
        </w:rPr>
        <w:t>If there is any conflict or inconsistency between the terms of the Security Aspects Letter and any of the other Security Requirements that apply under the Call-Off Contract, the terms of the Security Aspects Letter will have precedence.</w:t>
      </w:r>
    </w:p>
    <w:p w14:paraId="1214619E" w14:textId="739C2067" w:rsidR="0091094A" w:rsidRPr="0091094A" w:rsidRDefault="0091094A" w:rsidP="2A7C6DBE">
      <w:pPr>
        <w:widowControl w:val="0"/>
        <w:pBdr>
          <w:top w:val="nil"/>
          <w:left w:val="nil"/>
          <w:bottom w:val="nil"/>
          <w:right w:val="nil"/>
          <w:between w:val="nil"/>
        </w:pBdr>
        <w:tabs>
          <w:tab w:val="left" w:pos="142"/>
        </w:tabs>
        <w:spacing w:before="120" w:after="120" w:line="240" w:lineRule="auto"/>
        <w:jc w:val="left"/>
        <w:rPr>
          <w:rFonts w:eastAsia="Arial"/>
          <w:b/>
          <w:bCs/>
          <w:sz w:val="36"/>
          <w:szCs w:val="36"/>
        </w:rPr>
      </w:pPr>
      <w:r w:rsidRPr="2A7C6DBE">
        <w:rPr>
          <w:rFonts w:eastAsia="Arial"/>
          <w:b/>
          <w:bCs/>
          <w:sz w:val="36"/>
          <w:szCs w:val="36"/>
        </w:rPr>
        <w:t>Part 2 (Lot 1b Specific Terms)</w:t>
      </w:r>
    </w:p>
    <w:p w14:paraId="5627B9F7" w14:textId="2E42A41D" w:rsidR="000909B0" w:rsidRPr="009A319E" w:rsidRDefault="009A319E" w:rsidP="2A7C6DBE">
      <w:pPr>
        <w:widowControl w:val="0"/>
        <w:numPr>
          <w:ilvl w:val="0"/>
          <w:numId w:val="1"/>
        </w:numPr>
        <w:pBdr>
          <w:top w:val="nil"/>
          <w:left w:val="nil"/>
          <w:bottom w:val="nil"/>
          <w:right w:val="nil"/>
          <w:between w:val="nil"/>
        </w:pBdr>
        <w:spacing w:before="120" w:after="120" w:line="240" w:lineRule="auto"/>
        <w:ind w:left="426" w:hanging="426"/>
        <w:jc w:val="left"/>
        <w:rPr>
          <w:rFonts w:eastAsia="Arial"/>
          <w:b/>
          <w:bCs/>
        </w:rPr>
      </w:pPr>
      <w:r w:rsidRPr="009A319E">
        <w:rPr>
          <w:rFonts w:eastAsia="Arial"/>
          <w:b/>
          <w:bCs/>
        </w:rPr>
        <w:t>Key Subcontractors</w:t>
      </w:r>
    </w:p>
    <w:p w14:paraId="61CAA1CD" w14:textId="46A33918" w:rsidR="007466A5" w:rsidRDefault="006E5B02" w:rsidP="00E30644">
      <w:pPr>
        <w:widowControl w:val="0"/>
        <w:numPr>
          <w:ilvl w:val="1"/>
          <w:numId w:val="1"/>
        </w:numPr>
        <w:pBdr>
          <w:top w:val="nil"/>
          <w:left w:val="nil"/>
          <w:bottom w:val="nil"/>
          <w:right w:val="nil"/>
          <w:between w:val="nil"/>
        </w:pBdr>
        <w:tabs>
          <w:tab w:val="left" w:pos="1134"/>
        </w:tabs>
        <w:spacing w:before="120" w:after="120" w:line="240" w:lineRule="auto"/>
        <w:ind w:left="1134" w:hanging="708"/>
        <w:jc w:val="left"/>
        <w:rPr>
          <w:rFonts w:eastAsia="Arial"/>
        </w:rPr>
      </w:pPr>
      <w:bookmarkStart w:id="2" w:name="_heading=h.3znysh7" w:colFirst="0" w:colLast="0"/>
      <w:bookmarkEnd w:id="2"/>
      <w:r>
        <w:rPr>
          <w:rFonts w:eastAsia="Arial"/>
        </w:rPr>
        <w:t xml:space="preserve">In spite of the terms of Joint Schedule 6 </w:t>
      </w:r>
      <w:r w:rsidRPr="00164343">
        <w:rPr>
          <w:rFonts w:eastAsia="Arial"/>
          <w:i/>
        </w:rPr>
        <w:t>(Key Subcontractors)</w:t>
      </w:r>
      <w:r>
        <w:rPr>
          <w:rFonts w:eastAsia="Arial"/>
        </w:rPr>
        <w:t>, t</w:t>
      </w:r>
      <w:r w:rsidR="007466A5" w:rsidRPr="007466A5">
        <w:rPr>
          <w:rFonts w:eastAsia="Arial"/>
        </w:rPr>
        <w:t xml:space="preserve">he Supplier must </w:t>
      </w:r>
      <w:r w:rsidR="00164343">
        <w:rPr>
          <w:rFonts w:eastAsia="Arial"/>
        </w:rPr>
        <w:t>req</w:t>
      </w:r>
      <w:r>
        <w:rPr>
          <w:rFonts w:eastAsia="Arial"/>
        </w:rPr>
        <w:t>uest</w:t>
      </w:r>
      <w:r w:rsidR="007466A5" w:rsidRPr="007466A5">
        <w:rPr>
          <w:rFonts w:eastAsia="Arial"/>
        </w:rPr>
        <w:t xml:space="preserve"> approval from the </w:t>
      </w:r>
      <w:r w:rsidR="00E30644">
        <w:rPr>
          <w:rFonts w:eastAsia="Arial"/>
        </w:rPr>
        <w:t>Buyer</w:t>
      </w:r>
      <w:r w:rsidR="007466A5" w:rsidRPr="007466A5">
        <w:rPr>
          <w:rFonts w:eastAsia="Arial"/>
        </w:rPr>
        <w:t xml:space="preserve"> before a new </w:t>
      </w:r>
      <w:r w:rsidR="00E30644">
        <w:rPr>
          <w:rFonts w:eastAsia="Arial"/>
        </w:rPr>
        <w:t>proposed Sub</w:t>
      </w:r>
      <w:r w:rsidR="007466A5" w:rsidRPr="007466A5">
        <w:rPr>
          <w:rFonts w:eastAsia="Arial"/>
        </w:rPr>
        <w:t>contractor o</w:t>
      </w:r>
      <w:r w:rsidR="00E30644">
        <w:rPr>
          <w:rFonts w:eastAsia="Arial"/>
        </w:rPr>
        <w:t xml:space="preserve">r other third </w:t>
      </w:r>
      <w:r w:rsidR="007466A5" w:rsidRPr="007466A5">
        <w:rPr>
          <w:rFonts w:eastAsia="Arial"/>
        </w:rPr>
        <w:t>party provider is onboarded</w:t>
      </w:r>
      <w:r>
        <w:rPr>
          <w:rFonts w:eastAsia="Arial"/>
        </w:rPr>
        <w:t xml:space="preserve"> in the performance of the Call-Off Contract if</w:t>
      </w:r>
      <w:r w:rsidR="007466A5" w:rsidRPr="007466A5">
        <w:rPr>
          <w:rFonts w:eastAsia="Arial"/>
        </w:rPr>
        <w:t xml:space="preserve"> their inclusion into the </w:t>
      </w:r>
      <w:r>
        <w:rPr>
          <w:rFonts w:eastAsia="Arial"/>
        </w:rPr>
        <w:t>Supplier's supply chain will or may</w:t>
      </w:r>
      <w:r w:rsidR="007466A5" w:rsidRPr="007466A5">
        <w:rPr>
          <w:rFonts w:eastAsia="Arial"/>
        </w:rPr>
        <w:t xml:space="preserve"> adversely impact the successful delivery and/or operation of the </w:t>
      </w:r>
      <w:r>
        <w:rPr>
          <w:rFonts w:eastAsia="Arial"/>
        </w:rPr>
        <w:t>Services or other Deliverables to be provided under the Call-Off Contract</w:t>
      </w:r>
      <w:r w:rsidR="007466A5" w:rsidRPr="007466A5">
        <w:rPr>
          <w:rFonts w:eastAsia="Arial"/>
        </w:rPr>
        <w:t xml:space="preserve">, </w:t>
      </w:r>
      <w:r>
        <w:rPr>
          <w:rFonts w:eastAsia="Arial"/>
        </w:rPr>
        <w:t>including, for example</w:t>
      </w:r>
      <w:r w:rsidR="007466A5" w:rsidRPr="007466A5">
        <w:rPr>
          <w:rFonts w:eastAsia="Arial"/>
        </w:rPr>
        <w:t xml:space="preserve">, </w:t>
      </w:r>
      <w:r>
        <w:rPr>
          <w:rFonts w:eastAsia="Arial"/>
        </w:rPr>
        <w:t xml:space="preserve">if the Subcontractor or third </w:t>
      </w:r>
      <w:r w:rsidR="007466A5" w:rsidRPr="007466A5">
        <w:rPr>
          <w:rFonts w:eastAsia="Arial"/>
        </w:rPr>
        <w:t xml:space="preserve">party </w:t>
      </w:r>
      <w:r>
        <w:rPr>
          <w:rFonts w:eastAsia="Arial"/>
        </w:rPr>
        <w:t>supplier is or may</w:t>
      </w:r>
      <w:r w:rsidR="007466A5" w:rsidRPr="007466A5">
        <w:rPr>
          <w:rFonts w:eastAsia="Arial"/>
        </w:rPr>
        <w:t xml:space="preserve"> be on a</w:t>
      </w:r>
      <w:r w:rsidR="00DE7B7A">
        <w:rPr>
          <w:rFonts w:eastAsia="Arial"/>
        </w:rPr>
        <w:t>n</w:t>
      </w:r>
      <w:r w:rsidR="007466A5" w:rsidRPr="007466A5">
        <w:rPr>
          <w:rFonts w:eastAsia="Arial"/>
        </w:rPr>
        <w:t xml:space="preserve"> HMG Restricted Countries List</w:t>
      </w:r>
      <w:r w:rsidR="00DE3F24">
        <w:rPr>
          <w:rFonts w:eastAsia="Arial"/>
        </w:rPr>
        <w:t xml:space="preserve"> (</w:t>
      </w:r>
      <w:r w:rsidR="00DE3F24" w:rsidRPr="00DE3F24">
        <w:rPr>
          <w:rFonts w:eastAsia="Arial"/>
        </w:rPr>
        <w:t>https://www.gov.uk/guidance/current-arms-embargoes-and-other-restrictions</w:t>
      </w:r>
      <w:r w:rsidR="00CD26B2">
        <w:rPr>
          <w:rFonts w:eastAsia="Arial"/>
        </w:rPr>
        <w:t>)</w:t>
      </w:r>
      <w:r w:rsidR="007466A5" w:rsidRPr="007466A5">
        <w:rPr>
          <w:rFonts w:eastAsia="Arial"/>
        </w:rPr>
        <w:t>. Con</w:t>
      </w:r>
      <w:r>
        <w:rPr>
          <w:rFonts w:eastAsia="Arial"/>
        </w:rPr>
        <w:t xml:space="preserve">tracts with suppliers and third </w:t>
      </w:r>
      <w:r w:rsidR="007466A5" w:rsidRPr="007466A5">
        <w:rPr>
          <w:rFonts w:eastAsia="Arial"/>
        </w:rPr>
        <w:t xml:space="preserve">party partners shall be utilised to implement appropriate measures designed to meet the objectives of the Supplier and </w:t>
      </w:r>
      <w:r>
        <w:rPr>
          <w:rFonts w:eastAsia="Arial"/>
        </w:rPr>
        <w:t>Buyer</w:t>
      </w:r>
      <w:r w:rsidR="007466A5" w:rsidRPr="007466A5">
        <w:rPr>
          <w:rFonts w:eastAsia="Arial"/>
        </w:rPr>
        <w:t>'s cybersecurity program(s) and Cyber Supply Chain Risk Management (C-SCRM) Plan.</w:t>
      </w:r>
    </w:p>
    <w:p w14:paraId="69F8E6A3" w14:textId="77777777" w:rsidR="006763C6" w:rsidRPr="004B6344" w:rsidRDefault="006763C6" w:rsidP="2A7C6DBE">
      <w:pPr>
        <w:widowControl w:val="0"/>
        <w:numPr>
          <w:ilvl w:val="0"/>
          <w:numId w:val="1"/>
        </w:numPr>
        <w:pBdr>
          <w:top w:val="nil"/>
          <w:left w:val="nil"/>
          <w:bottom w:val="nil"/>
          <w:right w:val="nil"/>
          <w:between w:val="nil"/>
        </w:pBdr>
        <w:tabs>
          <w:tab w:val="left" w:pos="1134"/>
        </w:tabs>
        <w:spacing w:before="120" w:after="120" w:line="240" w:lineRule="auto"/>
        <w:jc w:val="left"/>
        <w:rPr>
          <w:rFonts w:eastAsia="Arial"/>
          <w:b/>
          <w:bCs/>
        </w:rPr>
      </w:pPr>
      <w:r w:rsidRPr="2A7C6DBE">
        <w:rPr>
          <w:rFonts w:eastAsia="Arial"/>
          <w:b/>
          <w:bCs/>
        </w:rPr>
        <w:t>Security breach</w:t>
      </w:r>
    </w:p>
    <w:p w14:paraId="0CB4D847" w14:textId="205B1942" w:rsidR="006763C6" w:rsidRDefault="006763C6" w:rsidP="003F6CD9">
      <w:pPr>
        <w:widowControl w:val="0"/>
        <w:numPr>
          <w:ilvl w:val="1"/>
          <w:numId w:val="1"/>
        </w:numPr>
        <w:pBdr>
          <w:top w:val="nil"/>
          <w:left w:val="nil"/>
          <w:bottom w:val="nil"/>
          <w:right w:val="nil"/>
          <w:between w:val="nil"/>
        </w:pBdr>
        <w:tabs>
          <w:tab w:val="left" w:pos="1134"/>
        </w:tabs>
        <w:spacing w:before="120" w:after="120" w:line="240" w:lineRule="auto"/>
        <w:ind w:left="1134" w:hanging="774"/>
        <w:jc w:val="left"/>
        <w:rPr>
          <w:rFonts w:eastAsia="Arial"/>
        </w:rPr>
      </w:pPr>
      <w:r>
        <w:rPr>
          <w:rFonts w:eastAsia="Arial"/>
        </w:rPr>
        <w:t>Without prejudice to the Buyer's other rights and remedies under the Call-</w:t>
      </w:r>
      <w:r>
        <w:rPr>
          <w:rFonts w:eastAsia="Arial"/>
        </w:rPr>
        <w:lastRenderedPageBreak/>
        <w:t xml:space="preserve">Off Contract, any "security breach" by the Supplier (within the meaning of </w:t>
      </w:r>
      <w:r w:rsidRPr="004B6344">
        <w:rPr>
          <w:rFonts w:eastAsia="Arial"/>
        </w:rPr>
        <w:t>Gov</w:t>
      </w:r>
      <w:r>
        <w:rPr>
          <w:rFonts w:eastAsia="Arial"/>
        </w:rPr>
        <w:t>ernment</w:t>
      </w:r>
      <w:r w:rsidRPr="004B6344">
        <w:rPr>
          <w:rFonts w:eastAsia="Arial"/>
        </w:rPr>
        <w:t xml:space="preserve"> Functional Standard 7</w:t>
      </w:r>
      <w:r>
        <w:rPr>
          <w:rFonts w:eastAsia="Arial"/>
        </w:rPr>
        <w:t xml:space="preserve"> (</w:t>
      </w:r>
      <w:hyperlink r:id="rId9" w:history="1">
        <w:r w:rsidRPr="00D73C3E">
          <w:rPr>
            <w:rStyle w:val="Hyperlink"/>
            <w:rFonts w:eastAsia="Arial"/>
          </w:rPr>
          <w:t>https://assets.publishing.service.gov.uk/government/uploads/system/uploads/attachment_data/file/1016424/GovS_007-_Security.pdf</w:t>
        </w:r>
      </w:hyperlink>
      <w:r>
        <w:rPr>
          <w:rFonts w:eastAsia="Arial"/>
        </w:rPr>
        <w:t>) shall be deemed to be a Material Default.</w:t>
      </w:r>
    </w:p>
    <w:p w14:paraId="45BA815F" w14:textId="77777777" w:rsidR="000909B0" w:rsidRPr="0091094A" w:rsidRDefault="000909B0" w:rsidP="00B56DE1">
      <w:pPr>
        <w:widowControl w:val="0"/>
        <w:pBdr>
          <w:top w:val="nil"/>
          <w:left w:val="nil"/>
          <w:bottom w:val="nil"/>
          <w:right w:val="nil"/>
          <w:between w:val="nil"/>
        </w:pBdr>
        <w:spacing w:before="120" w:after="120" w:line="240" w:lineRule="auto"/>
        <w:jc w:val="left"/>
        <w:rPr>
          <w:rFonts w:eastAsia="Arial"/>
          <w:b/>
          <w:i/>
        </w:rPr>
      </w:pPr>
    </w:p>
    <w:sectPr w:rsidR="000909B0" w:rsidRPr="0091094A">
      <w:headerReference w:type="default" r:id="rId10"/>
      <w:footerReference w:type="default" r:id="rId11"/>
      <w:headerReference w:type="first" r:id="rId12"/>
      <w:footerReference w:type="first" r:id="rId13"/>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5FEC" w14:textId="77777777" w:rsidR="00F8461B" w:rsidRDefault="00F8461B">
      <w:pPr>
        <w:spacing w:after="0" w:line="240" w:lineRule="auto"/>
      </w:pPr>
      <w:r>
        <w:separator/>
      </w:r>
    </w:p>
  </w:endnote>
  <w:endnote w:type="continuationSeparator" w:id="0">
    <w:p w14:paraId="6ED4AA4C" w14:textId="77777777" w:rsidR="00F8461B" w:rsidRDefault="00F8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2E72" w14:textId="77777777" w:rsidR="0046579B" w:rsidRDefault="0046579B">
    <w:pPr>
      <w:pBdr>
        <w:top w:val="nil"/>
        <w:left w:val="nil"/>
        <w:bottom w:val="nil"/>
        <w:right w:val="nil"/>
        <w:between w:val="nil"/>
      </w:pBdr>
      <w:tabs>
        <w:tab w:val="center" w:pos="4153"/>
        <w:tab w:val="right" w:pos="8306"/>
      </w:tabs>
      <w:spacing w:after="0" w:line="240" w:lineRule="auto"/>
      <w:rPr>
        <w:rFonts w:eastAsia="Arial"/>
        <w:sz w:val="20"/>
        <w:szCs w:val="20"/>
      </w:rPr>
    </w:pPr>
  </w:p>
  <w:p w14:paraId="22E4B49E" w14:textId="5F7071E4" w:rsidR="0046579B" w:rsidRDefault="0046579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Framework Ref:</w:t>
    </w:r>
    <w:r w:rsidRPr="009E132F">
      <w:rPr>
        <w:rFonts w:eastAsia="Arial"/>
        <w:sz w:val="20"/>
        <w:szCs w:val="20"/>
      </w:rPr>
      <w:t xml:space="preserve"> </w:t>
    </w:r>
    <w:r>
      <w:rPr>
        <w:rFonts w:eastAsia="Arial"/>
        <w:sz w:val="20"/>
        <w:szCs w:val="20"/>
      </w:rPr>
      <w:t>RM</w:t>
    </w:r>
    <w:r w:rsidRPr="009E132F">
      <w:rPr>
        <w:rFonts w:eastAsia="Arial"/>
        <w:sz w:val="20"/>
        <w:szCs w:val="20"/>
      </w:rPr>
      <w:t>1557.15</w:t>
    </w:r>
  </w:p>
  <w:p w14:paraId="3AF1C5C6" w14:textId="5AF1A49E" w:rsidR="0046579B" w:rsidRDefault="0046579B">
    <w:pPr>
      <w:pBdr>
        <w:top w:val="nil"/>
        <w:left w:val="nil"/>
        <w:bottom w:val="nil"/>
        <w:right w:val="nil"/>
        <w:between w:val="nil"/>
      </w:pBdr>
      <w:tabs>
        <w:tab w:val="center" w:pos="4153"/>
        <w:tab w:val="right" w:pos="830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354C4E">
      <w:rPr>
        <w:rFonts w:eastAsia="Arial"/>
        <w:noProof/>
        <w:sz w:val="20"/>
        <w:szCs w:val="20"/>
      </w:rPr>
      <w:t>6</w:t>
    </w:r>
    <w:r>
      <w:rPr>
        <w:rFonts w:eastAsia="Arial"/>
        <w:sz w:val="20"/>
        <w:szCs w:val="20"/>
      </w:rPr>
      <w:fldChar w:fldCharType="end"/>
    </w:r>
  </w:p>
  <w:p w14:paraId="683D157E" w14:textId="1138C507" w:rsidR="0046579B" w:rsidRPr="00601318" w:rsidRDefault="0046579B">
    <w:pPr>
      <w:pBdr>
        <w:top w:val="nil"/>
        <w:left w:val="nil"/>
        <w:bottom w:val="nil"/>
        <w:right w:val="nil"/>
        <w:between w:val="nil"/>
      </w:pBdr>
      <w:tabs>
        <w:tab w:val="center" w:pos="4153"/>
        <w:tab w:val="right" w:pos="8306"/>
      </w:tabs>
      <w:spacing w:after="0" w:line="240" w:lineRule="auto"/>
      <w:rPr>
        <w:rFonts w:eastAsia="Arial"/>
        <w:sz w:val="14"/>
        <w:szCs w:val="20"/>
      </w:rPr>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43F9" w14:textId="77777777" w:rsidR="0046579B" w:rsidRDefault="0046579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20428EDC" w14:textId="77777777" w:rsidR="0046579B" w:rsidRDefault="0046579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346F5AE0" w14:textId="77777777" w:rsidR="0046579B" w:rsidRDefault="0046579B">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2EFE0BC2" w14:textId="77777777" w:rsidR="0046579B" w:rsidRDefault="0046579B">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11B3" w14:textId="77777777" w:rsidR="00F8461B" w:rsidRDefault="00F8461B">
      <w:pPr>
        <w:spacing w:after="0" w:line="240" w:lineRule="auto"/>
      </w:pPr>
      <w:r>
        <w:separator/>
      </w:r>
    </w:p>
  </w:footnote>
  <w:footnote w:type="continuationSeparator" w:id="0">
    <w:p w14:paraId="508EC808" w14:textId="77777777" w:rsidR="00F8461B" w:rsidRDefault="00F84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CFC6" w14:textId="3E51B104" w:rsidR="0046579B" w:rsidRPr="002B5BFC" w:rsidRDefault="0046579B">
    <w:pPr>
      <w:tabs>
        <w:tab w:val="center" w:pos="4513"/>
        <w:tab w:val="right" w:pos="9026"/>
      </w:tabs>
      <w:spacing w:after="0" w:line="240" w:lineRule="auto"/>
      <w:rPr>
        <w:rFonts w:eastAsia="Arial"/>
        <w:sz w:val="22"/>
        <w:szCs w:val="22"/>
      </w:rPr>
    </w:pPr>
    <w:r>
      <w:rPr>
        <w:rFonts w:eastAsia="Arial"/>
        <w:b/>
        <w:sz w:val="22"/>
        <w:szCs w:val="22"/>
      </w:rPr>
      <w:t>Call-Off Schedule 28</w:t>
    </w:r>
    <w:r w:rsidRPr="002B5BFC">
      <w:rPr>
        <w:rFonts w:eastAsia="Arial"/>
        <w:b/>
        <w:sz w:val="22"/>
        <w:szCs w:val="22"/>
      </w:rPr>
      <w:t xml:space="preserve"> (</w:t>
    </w:r>
    <w:r>
      <w:rPr>
        <w:rFonts w:eastAsia="Arial"/>
        <w:b/>
        <w:sz w:val="22"/>
        <w:szCs w:val="22"/>
      </w:rPr>
      <w:t>Special Call-Off Schedule for Lot 1a and Lot 1b</w:t>
    </w:r>
    <w:r w:rsidRPr="002B5BFC">
      <w:rPr>
        <w:rFonts w:eastAsia="Arial"/>
        <w:b/>
        <w:sz w:val="22"/>
        <w:szCs w:val="22"/>
      </w:rPr>
      <w:t>)</w:t>
    </w:r>
  </w:p>
  <w:p w14:paraId="25DDC968" w14:textId="77777777" w:rsidR="0046579B" w:rsidRPr="002B5BFC" w:rsidRDefault="0046579B">
    <w:pPr>
      <w:tabs>
        <w:tab w:val="center" w:pos="4513"/>
        <w:tab w:val="right" w:pos="9026"/>
      </w:tabs>
      <w:spacing w:after="0" w:line="240" w:lineRule="auto"/>
      <w:rPr>
        <w:rFonts w:eastAsia="Arial"/>
        <w:sz w:val="22"/>
        <w:szCs w:val="22"/>
      </w:rPr>
    </w:pPr>
    <w:r w:rsidRPr="002B5BFC">
      <w:rPr>
        <w:rFonts w:eastAsia="Arial"/>
        <w:sz w:val="22"/>
        <w:szCs w:val="22"/>
      </w:rPr>
      <w:t>Call-Off Ref:</w:t>
    </w:r>
  </w:p>
  <w:p w14:paraId="48845287" w14:textId="186CC087" w:rsidR="0046579B" w:rsidRPr="002B5BFC" w:rsidRDefault="0046579B">
    <w:pPr>
      <w:tabs>
        <w:tab w:val="center" w:pos="4513"/>
        <w:tab w:val="right" w:pos="9026"/>
      </w:tabs>
      <w:spacing w:after="0" w:line="240" w:lineRule="auto"/>
      <w:rPr>
        <w:rFonts w:eastAsia="Arial"/>
        <w:sz w:val="22"/>
        <w:szCs w:val="22"/>
      </w:rPr>
    </w:pPr>
    <w:r w:rsidRPr="002B5BFC">
      <w:rPr>
        <w:rFonts w:eastAsia="Arial"/>
        <w:sz w:val="22"/>
        <w:szCs w:val="22"/>
      </w:rPr>
      <w:t>Crown Copyright 2025</w:t>
    </w:r>
  </w:p>
  <w:p w14:paraId="175EE448" w14:textId="77777777" w:rsidR="0046579B" w:rsidRDefault="0046579B">
    <w:pPr>
      <w:pBdr>
        <w:top w:val="nil"/>
        <w:left w:val="nil"/>
        <w:bottom w:val="nil"/>
        <w:right w:val="nil"/>
        <w:between w:val="nil"/>
      </w:pBdr>
      <w:tabs>
        <w:tab w:val="center" w:pos="4153"/>
        <w:tab w:val="right" w:pos="8306"/>
      </w:tabs>
      <w:spacing w:after="0"/>
      <w:rPr>
        <w:rFonts w:eastAsia="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D668" w14:textId="77777777" w:rsidR="0046579B" w:rsidRDefault="0046579B">
    <w:pPr>
      <w:tabs>
        <w:tab w:val="center" w:pos="4513"/>
        <w:tab w:val="right" w:pos="9026"/>
      </w:tabs>
      <w:spacing w:after="0" w:line="240" w:lineRule="auto"/>
      <w:rPr>
        <w:rFonts w:ascii="Calibri" w:eastAsia="Calibri" w:hAnsi="Calibri" w:cs="Calibri"/>
      </w:rPr>
    </w:pPr>
  </w:p>
  <w:p w14:paraId="61764200" w14:textId="77777777" w:rsidR="0046579B" w:rsidRDefault="0046579B">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80F"/>
    <w:multiLevelType w:val="hybridMultilevel"/>
    <w:tmpl w:val="468E01B2"/>
    <w:lvl w:ilvl="0" w:tplc="0666C7B2">
      <w:start w:val="1"/>
      <w:numFmt w:val="lowerRoman"/>
      <w:lvlText w:val="(%1)"/>
      <w:lvlJc w:val="left"/>
      <w:pPr>
        <w:ind w:left="2952" w:hanging="360"/>
      </w:pPr>
      <w:rPr>
        <w:rFonts w:hint="default"/>
      </w:rPr>
    </w:lvl>
    <w:lvl w:ilvl="1" w:tplc="08090019" w:tentative="1">
      <w:start w:val="1"/>
      <w:numFmt w:val="lowerLetter"/>
      <w:lvlText w:val="%2."/>
      <w:lvlJc w:val="left"/>
      <w:pPr>
        <w:ind w:left="3672" w:hanging="360"/>
      </w:pPr>
    </w:lvl>
    <w:lvl w:ilvl="2" w:tplc="0809001B" w:tentative="1">
      <w:start w:val="1"/>
      <w:numFmt w:val="lowerRoman"/>
      <w:lvlText w:val="%3."/>
      <w:lvlJc w:val="right"/>
      <w:pPr>
        <w:ind w:left="4392" w:hanging="180"/>
      </w:pPr>
    </w:lvl>
    <w:lvl w:ilvl="3" w:tplc="0809000F" w:tentative="1">
      <w:start w:val="1"/>
      <w:numFmt w:val="decimal"/>
      <w:lvlText w:val="%4."/>
      <w:lvlJc w:val="left"/>
      <w:pPr>
        <w:ind w:left="5112" w:hanging="360"/>
      </w:pPr>
    </w:lvl>
    <w:lvl w:ilvl="4" w:tplc="08090019" w:tentative="1">
      <w:start w:val="1"/>
      <w:numFmt w:val="lowerLetter"/>
      <w:lvlText w:val="%5."/>
      <w:lvlJc w:val="left"/>
      <w:pPr>
        <w:ind w:left="5832" w:hanging="360"/>
      </w:pPr>
    </w:lvl>
    <w:lvl w:ilvl="5" w:tplc="0809001B" w:tentative="1">
      <w:start w:val="1"/>
      <w:numFmt w:val="lowerRoman"/>
      <w:lvlText w:val="%6."/>
      <w:lvlJc w:val="right"/>
      <w:pPr>
        <w:ind w:left="6552" w:hanging="180"/>
      </w:pPr>
    </w:lvl>
    <w:lvl w:ilvl="6" w:tplc="0809000F" w:tentative="1">
      <w:start w:val="1"/>
      <w:numFmt w:val="decimal"/>
      <w:lvlText w:val="%7."/>
      <w:lvlJc w:val="left"/>
      <w:pPr>
        <w:ind w:left="7272" w:hanging="360"/>
      </w:pPr>
    </w:lvl>
    <w:lvl w:ilvl="7" w:tplc="08090019" w:tentative="1">
      <w:start w:val="1"/>
      <w:numFmt w:val="lowerLetter"/>
      <w:lvlText w:val="%8."/>
      <w:lvlJc w:val="left"/>
      <w:pPr>
        <w:ind w:left="7992" w:hanging="360"/>
      </w:pPr>
    </w:lvl>
    <w:lvl w:ilvl="8" w:tplc="0809001B" w:tentative="1">
      <w:start w:val="1"/>
      <w:numFmt w:val="lowerRoman"/>
      <w:lvlText w:val="%9."/>
      <w:lvlJc w:val="right"/>
      <w:pPr>
        <w:ind w:left="8712" w:hanging="180"/>
      </w:pPr>
    </w:lvl>
  </w:abstractNum>
  <w:abstractNum w:abstractNumId="1" w15:restartNumberingAfterBreak="0">
    <w:nsid w:val="0C75097E"/>
    <w:multiLevelType w:val="multilevel"/>
    <w:tmpl w:val="C0CCEC54"/>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2" w15:restartNumberingAfterBreak="0">
    <w:nsid w:val="18F230EB"/>
    <w:multiLevelType w:val="multilevel"/>
    <w:tmpl w:val="0318F828"/>
    <w:lvl w:ilvl="0">
      <w:start w:val="1"/>
      <w:numFmt w:val="decimal"/>
      <w:pStyle w:val="Heading1"/>
      <w:lvlText w:val="%1"/>
      <w:lvlJc w:val="left"/>
      <w:pPr>
        <w:ind w:left="170" w:hanging="170"/>
      </w:pPr>
      <w:rPr>
        <w:rFonts w:ascii="Arial" w:eastAsia="Arial" w:hAnsi="Arial" w:cs="Arial" w:hint="default"/>
        <w:sz w:val="22"/>
        <w:szCs w:val="22"/>
      </w:rPr>
    </w:lvl>
    <w:lvl w:ilvl="1">
      <w:start w:val="1"/>
      <w:numFmt w:val="lowerLetter"/>
      <w:pStyle w:val="Heading2"/>
      <w:lvlText w:val="(%2)"/>
      <w:lvlJc w:val="left"/>
      <w:pPr>
        <w:ind w:left="720" w:hanging="360"/>
      </w:pPr>
      <w:rPr>
        <w:rFonts w:ascii="Arial" w:eastAsia="Arial" w:hAnsi="Arial" w:cs="Arial" w:hint="default"/>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hint="default"/>
        <w:sz w:val="22"/>
        <w:szCs w:val="22"/>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3" w15:restartNumberingAfterBreak="0">
    <w:nsid w:val="2B3D068F"/>
    <w:multiLevelType w:val="multilevel"/>
    <w:tmpl w:val="7FD6BB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145EF"/>
    <w:multiLevelType w:val="multilevel"/>
    <w:tmpl w:val="6B38D0D4"/>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6" w15:restartNumberingAfterBreak="0">
    <w:nsid w:val="7F065568"/>
    <w:multiLevelType w:val="multilevel"/>
    <w:tmpl w:val="C83AE374"/>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lowerLetter"/>
      <w:lvlText w:val="(%4)"/>
      <w:lvlJc w:val="left"/>
      <w:pPr>
        <w:ind w:left="2592" w:hanging="936"/>
      </w:pPr>
      <w:rPr>
        <w:rFonts w:ascii="Arial" w:eastAsia="Arial" w:hAnsi="Arial" w:cs="Arial"/>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3626">
    <w:abstractNumId w:val="6"/>
  </w:num>
  <w:num w:numId="2" w16cid:durableId="884413053">
    <w:abstractNumId w:val="2"/>
  </w:num>
  <w:num w:numId="3" w16cid:durableId="1600679607">
    <w:abstractNumId w:val="1"/>
  </w:num>
  <w:num w:numId="4" w16cid:durableId="1332830634">
    <w:abstractNumId w:val="3"/>
  </w:num>
  <w:num w:numId="5" w16cid:durableId="664667353">
    <w:abstractNumId w:val="5"/>
  </w:num>
  <w:num w:numId="6" w16cid:durableId="1889219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623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24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9659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5933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222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151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0907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8497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950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218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6211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81582">
    <w:abstractNumId w:val="4"/>
  </w:num>
  <w:num w:numId="19" w16cid:durableId="93578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B0"/>
    <w:rsid w:val="00000FA1"/>
    <w:rsid w:val="000465DC"/>
    <w:rsid w:val="00054D10"/>
    <w:rsid w:val="000859DB"/>
    <w:rsid w:val="000908BE"/>
    <w:rsid w:val="000909B0"/>
    <w:rsid w:val="00094247"/>
    <w:rsid w:val="000954E0"/>
    <w:rsid w:val="000E1574"/>
    <w:rsid w:val="000F058A"/>
    <w:rsid w:val="0010759C"/>
    <w:rsid w:val="0012159C"/>
    <w:rsid w:val="0015602F"/>
    <w:rsid w:val="00164343"/>
    <w:rsid w:val="00171601"/>
    <w:rsid w:val="00180BA1"/>
    <w:rsid w:val="001A0CD2"/>
    <w:rsid w:val="001A474C"/>
    <w:rsid w:val="001B1C58"/>
    <w:rsid w:val="001B3A70"/>
    <w:rsid w:val="001B7A50"/>
    <w:rsid w:val="001F4DCE"/>
    <w:rsid w:val="002027FB"/>
    <w:rsid w:val="00204571"/>
    <w:rsid w:val="00240CF8"/>
    <w:rsid w:val="002455DC"/>
    <w:rsid w:val="00255E2B"/>
    <w:rsid w:val="00274617"/>
    <w:rsid w:val="00275418"/>
    <w:rsid w:val="002A3C76"/>
    <w:rsid w:val="002B5BFC"/>
    <w:rsid w:val="003424E1"/>
    <w:rsid w:val="00344D87"/>
    <w:rsid w:val="00351AFB"/>
    <w:rsid w:val="00354C4E"/>
    <w:rsid w:val="003A5ACD"/>
    <w:rsid w:val="003B2CBC"/>
    <w:rsid w:val="003F6CD9"/>
    <w:rsid w:val="00432981"/>
    <w:rsid w:val="00441CCA"/>
    <w:rsid w:val="0046084C"/>
    <w:rsid w:val="0046579B"/>
    <w:rsid w:val="0048212B"/>
    <w:rsid w:val="004A0DD7"/>
    <w:rsid w:val="004A3D3F"/>
    <w:rsid w:val="004B6344"/>
    <w:rsid w:val="004C4F95"/>
    <w:rsid w:val="004E63F2"/>
    <w:rsid w:val="00540D75"/>
    <w:rsid w:val="00546060"/>
    <w:rsid w:val="00552EDE"/>
    <w:rsid w:val="005664F7"/>
    <w:rsid w:val="00580C8E"/>
    <w:rsid w:val="00584D86"/>
    <w:rsid w:val="005D1A16"/>
    <w:rsid w:val="005D4F2B"/>
    <w:rsid w:val="005F4A83"/>
    <w:rsid w:val="00601318"/>
    <w:rsid w:val="006316BD"/>
    <w:rsid w:val="006324F1"/>
    <w:rsid w:val="0063386E"/>
    <w:rsid w:val="006763C6"/>
    <w:rsid w:val="006E5B02"/>
    <w:rsid w:val="007466A5"/>
    <w:rsid w:val="007520C2"/>
    <w:rsid w:val="00796117"/>
    <w:rsid w:val="007C43E2"/>
    <w:rsid w:val="007D7057"/>
    <w:rsid w:val="007E27AB"/>
    <w:rsid w:val="007F6BB2"/>
    <w:rsid w:val="00810106"/>
    <w:rsid w:val="00822004"/>
    <w:rsid w:val="00827375"/>
    <w:rsid w:val="00885E89"/>
    <w:rsid w:val="00887AB9"/>
    <w:rsid w:val="008B5E1E"/>
    <w:rsid w:val="008F64F8"/>
    <w:rsid w:val="009068E2"/>
    <w:rsid w:val="0091094A"/>
    <w:rsid w:val="00986518"/>
    <w:rsid w:val="00991EF2"/>
    <w:rsid w:val="00996117"/>
    <w:rsid w:val="009A1548"/>
    <w:rsid w:val="009A319E"/>
    <w:rsid w:val="009C324B"/>
    <w:rsid w:val="009E132F"/>
    <w:rsid w:val="009E40DA"/>
    <w:rsid w:val="009F7BEE"/>
    <w:rsid w:val="00A10C5F"/>
    <w:rsid w:val="00A11AE8"/>
    <w:rsid w:val="00A37177"/>
    <w:rsid w:val="00AB7AEE"/>
    <w:rsid w:val="00AC68AF"/>
    <w:rsid w:val="00B11F1C"/>
    <w:rsid w:val="00B470A2"/>
    <w:rsid w:val="00B56DE1"/>
    <w:rsid w:val="00B67E39"/>
    <w:rsid w:val="00B81800"/>
    <w:rsid w:val="00B82DD2"/>
    <w:rsid w:val="00B978D8"/>
    <w:rsid w:val="00BA1CBE"/>
    <w:rsid w:val="00BB01F7"/>
    <w:rsid w:val="00BC3798"/>
    <w:rsid w:val="00BD601E"/>
    <w:rsid w:val="00C17082"/>
    <w:rsid w:val="00C3772C"/>
    <w:rsid w:val="00C503F9"/>
    <w:rsid w:val="00C75F0F"/>
    <w:rsid w:val="00C87969"/>
    <w:rsid w:val="00C91068"/>
    <w:rsid w:val="00C95CB6"/>
    <w:rsid w:val="00CA051A"/>
    <w:rsid w:val="00CB1DBD"/>
    <w:rsid w:val="00CC31C6"/>
    <w:rsid w:val="00CC734F"/>
    <w:rsid w:val="00CD1AEC"/>
    <w:rsid w:val="00CD26B2"/>
    <w:rsid w:val="00CE23F8"/>
    <w:rsid w:val="00CE3124"/>
    <w:rsid w:val="00D24408"/>
    <w:rsid w:val="00D259BE"/>
    <w:rsid w:val="00D26AB7"/>
    <w:rsid w:val="00D41A3D"/>
    <w:rsid w:val="00D55A08"/>
    <w:rsid w:val="00D85414"/>
    <w:rsid w:val="00D93DFD"/>
    <w:rsid w:val="00DA3E95"/>
    <w:rsid w:val="00DB229A"/>
    <w:rsid w:val="00DE3F24"/>
    <w:rsid w:val="00DE7B7A"/>
    <w:rsid w:val="00E002DB"/>
    <w:rsid w:val="00E154FB"/>
    <w:rsid w:val="00E27C51"/>
    <w:rsid w:val="00E30644"/>
    <w:rsid w:val="00E4602F"/>
    <w:rsid w:val="00EE6C73"/>
    <w:rsid w:val="00EF20A2"/>
    <w:rsid w:val="00F0185B"/>
    <w:rsid w:val="00F04CFD"/>
    <w:rsid w:val="00F32E73"/>
    <w:rsid w:val="00F37AA9"/>
    <w:rsid w:val="00F524A1"/>
    <w:rsid w:val="00F67524"/>
    <w:rsid w:val="00F8461B"/>
    <w:rsid w:val="00FB1B22"/>
    <w:rsid w:val="00FD07F7"/>
    <w:rsid w:val="00FE06A7"/>
    <w:rsid w:val="02C533C9"/>
    <w:rsid w:val="03BF8790"/>
    <w:rsid w:val="04C24962"/>
    <w:rsid w:val="07A4886F"/>
    <w:rsid w:val="0B026B57"/>
    <w:rsid w:val="0FA3CDF4"/>
    <w:rsid w:val="15FC92B4"/>
    <w:rsid w:val="1738114E"/>
    <w:rsid w:val="173C90D9"/>
    <w:rsid w:val="1A3BC9E4"/>
    <w:rsid w:val="1AD7BA0D"/>
    <w:rsid w:val="2184D310"/>
    <w:rsid w:val="2974C568"/>
    <w:rsid w:val="2A062108"/>
    <w:rsid w:val="2A7C6DBE"/>
    <w:rsid w:val="2BC76B4E"/>
    <w:rsid w:val="2CC4F8F3"/>
    <w:rsid w:val="2F3088BA"/>
    <w:rsid w:val="38D00935"/>
    <w:rsid w:val="3E8536ED"/>
    <w:rsid w:val="4224D64A"/>
    <w:rsid w:val="4260BEA6"/>
    <w:rsid w:val="44431E9E"/>
    <w:rsid w:val="44B74896"/>
    <w:rsid w:val="4AB8FA34"/>
    <w:rsid w:val="4E38D3D7"/>
    <w:rsid w:val="507B6863"/>
    <w:rsid w:val="51D8CEF9"/>
    <w:rsid w:val="53E694D0"/>
    <w:rsid w:val="58DD6080"/>
    <w:rsid w:val="5B8883D0"/>
    <w:rsid w:val="67442246"/>
    <w:rsid w:val="6CB6610A"/>
    <w:rsid w:val="6DD8377A"/>
    <w:rsid w:val="70E7E7BD"/>
    <w:rsid w:val="7276FB20"/>
    <w:rsid w:val="76508E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744A0"/>
  <w15:docId w15:val="{2CEACA6B-50F1-4505-9D0A-56E19236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sz w:val="24"/>
        <w:szCs w:val="24"/>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urfulGrid">
    <w:name w:val="Colorful Grid"/>
    <w:basedOn w:val="TableNormal"/>
    <w:uiPriority w:val="73"/>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sz w:val="20"/>
      <w:lang w:eastAsia="en-US"/>
    </w:rPr>
  </w:style>
  <w:style w:type="paragraph" w:customStyle="1" w:styleId="Body2">
    <w:name w:val="Body2"/>
    <w:basedOn w:val="Normal"/>
    <w:pPr>
      <w:overflowPunct/>
      <w:autoSpaceDE/>
      <w:autoSpaceDN/>
      <w:adjustRightInd/>
      <w:ind w:left="709"/>
      <w:textAlignment w:val="auto"/>
    </w:p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5664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1016424/GovS_007-_Securit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qzeLXAFGr/VeMuReykZ0O1K5g==">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E30C88-9B55-48B9-8004-EB893E4D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4233</Characters>
  <Application>Microsoft Office Word</Application>
  <DocSecurity>0</DocSecurity>
  <PresentationFormat/>
  <Lines>88</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3</cp:revision>
  <dcterms:created xsi:type="dcterms:W3CDTF">2025-10-16T15:17:00Z</dcterms:created>
  <dcterms:modified xsi:type="dcterms:W3CDTF">2025-10-16T15:18:00Z</dcterms:modified>
  <cp:category/>
  <cp:contentStatus/>
  <dc:language/>
  <cp:version/>
</cp:coreProperties>
</file>