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458C4" w14:textId="77777777" w:rsidR="005C0911" w:rsidRDefault="00A347C3" w:rsidP="005E206D">
      <w:pPr>
        <w:keepNext/>
        <w:pBdr>
          <w:top w:val="nil"/>
          <w:left w:val="nil"/>
          <w:bottom w:val="nil"/>
          <w:right w:val="nil"/>
          <w:between w:val="nil"/>
        </w:pBdr>
        <w:spacing w:before="120" w:after="120"/>
        <w:ind w:left="0"/>
        <w:jc w:val="left"/>
        <w:rPr>
          <w:b/>
          <w:color w:val="000000"/>
          <w:sz w:val="36"/>
          <w:szCs w:val="36"/>
        </w:rPr>
      </w:pPr>
      <w:r>
        <w:rPr>
          <w:b/>
          <w:color w:val="000000"/>
          <w:sz w:val="36"/>
          <w:szCs w:val="36"/>
          <w:lang w:eastAsia="en-GB"/>
        </w:rPr>
        <w:t xml:space="preserve">Call-Off </w:t>
      </w:r>
      <w:r>
        <w:rPr>
          <w:b/>
          <w:color w:val="000000"/>
          <w:sz w:val="36"/>
          <w:szCs w:val="36"/>
        </w:rPr>
        <w:t xml:space="preserve">Schedule </w:t>
      </w:r>
      <w:r>
        <w:rPr>
          <w:b/>
          <w:color w:val="000000"/>
          <w:sz w:val="36"/>
          <w:szCs w:val="36"/>
          <w:lang w:eastAsia="en-GB"/>
        </w:rPr>
        <w:t>8</w:t>
      </w:r>
      <w:r>
        <w:rPr>
          <w:b/>
          <w:color w:val="000000"/>
          <w:sz w:val="36"/>
          <w:szCs w:val="36"/>
        </w:rPr>
        <w:t xml:space="preserve"> (Business Continuity and Disaster Recovery)</w:t>
      </w:r>
    </w:p>
    <w:p w14:paraId="4B9AC98A" w14:textId="65A1B96D" w:rsidR="00DA0701" w:rsidRPr="00DA0701" w:rsidRDefault="00DA0701" w:rsidP="005E206D">
      <w:pPr>
        <w:keepNext/>
        <w:pBdr>
          <w:top w:val="nil"/>
          <w:left w:val="nil"/>
          <w:bottom w:val="nil"/>
          <w:right w:val="nil"/>
          <w:between w:val="nil"/>
        </w:pBdr>
        <w:tabs>
          <w:tab w:val="left" w:pos="0"/>
        </w:tabs>
        <w:spacing w:before="120" w:after="120"/>
        <w:ind w:left="0"/>
        <w:jc w:val="left"/>
      </w:pPr>
      <w:bookmarkStart w:id="0" w:name="_heading=h.gjdgxs" w:colFirst="0" w:colLast="0"/>
      <w:bookmarkEnd w:id="0"/>
    </w:p>
    <w:p w14:paraId="142E322B" w14:textId="639C3BD6" w:rsidR="005C0911" w:rsidRPr="001D7D5B" w:rsidRDefault="00A347C3" w:rsidP="003E7BA9">
      <w:pPr>
        <w:keepNext/>
        <w:numPr>
          <w:ilvl w:val="0"/>
          <w:numId w:val="1"/>
        </w:numPr>
        <w:pBdr>
          <w:top w:val="nil"/>
          <w:left w:val="nil"/>
          <w:bottom w:val="nil"/>
          <w:right w:val="nil"/>
          <w:between w:val="nil"/>
        </w:pBdr>
        <w:tabs>
          <w:tab w:val="left" w:pos="0"/>
        </w:tabs>
        <w:spacing w:before="120" w:after="120"/>
        <w:ind w:left="426" w:hanging="426"/>
        <w:jc w:val="left"/>
        <w:rPr>
          <w:szCs w:val="24"/>
        </w:rPr>
      </w:pPr>
      <w:r w:rsidRPr="001D7D5B">
        <w:rPr>
          <w:rFonts w:eastAsia="Arial Bold"/>
          <w:b/>
          <w:color w:val="000000"/>
          <w:szCs w:val="24"/>
        </w:rPr>
        <w:t>Definitions</w:t>
      </w:r>
    </w:p>
    <w:p w14:paraId="4B4762BA" w14:textId="77777777" w:rsidR="005C0911" w:rsidRPr="001D7D5B" w:rsidRDefault="00A347C3" w:rsidP="003E7BA9">
      <w:pPr>
        <w:keepNext/>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 xml:space="preserve">In this Schedule, the following words shall have the following meanings and they shall supplement </w:t>
      </w:r>
      <w:r w:rsidRPr="001D7D5B">
        <w:rPr>
          <w:color w:val="000000"/>
          <w:szCs w:val="24"/>
          <w:lang w:eastAsia="en-GB"/>
        </w:rPr>
        <w:t xml:space="preserve">Joint </w:t>
      </w:r>
      <w:r w:rsidRPr="001D7D5B">
        <w:rPr>
          <w:color w:val="000000"/>
          <w:szCs w:val="24"/>
        </w:rPr>
        <w:t xml:space="preserve">Schedule 1 </w:t>
      </w:r>
      <w:r w:rsidRPr="00E64AF2">
        <w:rPr>
          <w:i/>
          <w:color w:val="000000"/>
          <w:szCs w:val="24"/>
        </w:rPr>
        <w:t>(Definitions)</w:t>
      </w:r>
      <w:r w:rsidRPr="001D7D5B">
        <w:rPr>
          <w:color w:val="000000"/>
          <w:szCs w:val="24"/>
        </w:rPr>
        <w:t>:</w:t>
      </w:r>
    </w:p>
    <w:tbl>
      <w:tblPr>
        <w:tblStyle w:val="a"/>
        <w:tblW w:w="8172" w:type="dxa"/>
        <w:tblInd w:w="1008" w:type="dxa"/>
        <w:tblLayout w:type="fixed"/>
        <w:tblLook w:val="0400" w:firstRow="0" w:lastRow="0" w:firstColumn="0" w:lastColumn="0" w:noHBand="0" w:noVBand="1"/>
      </w:tblPr>
      <w:tblGrid>
        <w:gridCol w:w="3097"/>
        <w:gridCol w:w="5075"/>
      </w:tblGrid>
      <w:tr w:rsidR="005C0911" w:rsidRPr="001D7D5B" w14:paraId="4DD48DEF" w14:textId="77777777" w:rsidTr="00951857">
        <w:tc>
          <w:tcPr>
            <w:tcW w:w="3097" w:type="dxa"/>
          </w:tcPr>
          <w:p w14:paraId="569B5BEF" w14:textId="77777777" w:rsidR="005C0911" w:rsidRPr="001D7D5B" w:rsidRDefault="00A347C3"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"BCDR Plan"</w:t>
            </w:r>
          </w:p>
        </w:tc>
        <w:tc>
          <w:tcPr>
            <w:tcW w:w="5075" w:type="dxa"/>
          </w:tcPr>
          <w:p w14:paraId="2122C461" w14:textId="30DAA3E3" w:rsidR="005C0911" w:rsidRPr="001D7D5B" w:rsidRDefault="00A347C3"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has the meaning given to it in Paragraph </w:t>
            </w:r>
            <w:r w:rsidRPr="001D7D5B">
              <w:rPr>
                <w:color w:val="000000"/>
                <w:szCs w:val="24"/>
              </w:rPr>
              <w:fldChar w:fldCharType="begin"/>
            </w:r>
            <w:r w:rsidRPr="001D7D5B">
              <w:rPr>
                <w:rFonts w:ascii="Arial" w:hAnsi="Arial" w:cs="Arial"/>
                <w:color w:val="000000"/>
                <w:sz w:val="24"/>
                <w:szCs w:val="24"/>
              </w:rPr>
              <w:instrText xml:space="preserve"> REF _Ref141083623 \r \h </w:instrText>
            </w:r>
            <w:r w:rsidR="00020D3B" w:rsidRPr="001D7D5B">
              <w:rPr>
                <w:rFonts w:ascii="Arial" w:hAnsi="Arial" w:cs="Arial"/>
                <w:color w:val="000000"/>
                <w:sz w:val="24"/>
                <w:szCs w:val="24"/>
              </w:rPr>
              <w:instrText xml:space="preserve"> \* MERGEFORMAT </w:instrText>
            </w:r>
            <w:r w:rsidRPr="001D7D5B">
              <w:rPr>
                <w:color w:val="000000"/>
                <w:szCs w:val="24"/>
              </w:rPr>
            </w:r>
            <w:r w:rsidRPr="001D7D5B">
              <w:rPr>
                <w:color w:val="000000"/>
                <w:szCs w:val="24"/>
              </w:rPr>
              <w:fldChar w:fldCharType="separate"/>
            </w:r>
            <w:r w:rsidR="00476382">
              <w:rPr>
                <w:rFonts w:ascii="Arial" w:hAnsi="Arial" w:cs="Arial"/>
                <w:color w:val="000000"/>
                <w:sz w:val="24"/>
                <w:szCs w:val="24"/>
              </w:rPr>
              <w:t>2.2</w:t>
            </w:r>
            <w:r w:rsidRPr="001D7D5B">
              <w:rPr>
                <w:color w:val="000000"/>
                <w:szCs w:val="24"/>
              </w:rPr>
              <w:fldChar w:fldCharType="end"/>
            </w:r>
            <w:r w:rsidRPr="001D7D5B">
              <w:rPr>
                <w:rFonts w:ascii="Arial" w:hAnsi="Arial" w:cs="Arial"/>
                <w:color w:val="000000"/>
                <w:sz w:val="24"/>
                <w:szCs w:val="24"/>
              </w:rPr>
              <w:t xml:space="preserve"> of this Schedule;</w:t>
            </w:r>
          </w:p>
        </w:tc>
      </w:tr>
      <w:tr w:rsidR="00F4319D" w:rsidRPr="001D7D5B" w14:paraId="54799654" w14:textId="77777777" w:rsidTr="00951857">
        <w:tc>
          <w:tcPr>
            <w:tcW w:w="3097" w:type="dxa"/>
          </w:tcPr>
          <w:p w14:paraId="6E55FBB6" w14:textId="77777777" w:rsidR="00F4319D" w:rsidRPr="001D7D5B" w:rsidRDefault="00F4319D"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"Business Continuity Plan"</w:t>
            </w:r>
          </w:p>
        </w:tc>
        <w:tc>
          <w:tcPr>
            <w:tcW w:w="5075" w:type="dxa"/>
          </w:tcPr>
          <w:p w14:paraId="73A678EA" w14:textId="4EDB53A2" w:rsidR="00F4319D" w:rsidRPr="001D7D5B" w:rsidRDefault="00F4319D"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has the meaning given to it in Paragraph </w:t>
            </w:r>
            <w:r w:rsidRPr="001D7D5B">
              <w:rPr>
                <w:color w:val="000000"/>
                <w:szCs w:val="24"/>
              </w:rPr>
              <w:fldChar w:fldCharType="begin"/>
            </w:r>
            <w:r w:rsidRPr="001D7D5B">
              <w:rPr>
                <w:rFonts w:ascii="Arial" w:hAnsi="Arial" w:cs="Arial"/>
                <w:color w:val="000000"/>
                <w:sz w:val="24"/>
                <w:szCs w:val="24"/>
              </w:rPr>
              <w:instrText xml:space="preserve"> REF _Ref141083629 \r \h </w:instrText>
            </w:r>
            <w:r w:rsidR="00020D3B" w:rsidRPr="001D7D5B">
              <w:rPr>
                <w:rFonts w:ascii="Arial" w:hAnsi="Arial" w:cs="Arial"/>
                <w:color w:val="000000"/>
                <w:sz w:val="24"/>
                <w:szCs w:val="24"/>
              </w:rPr>
              <w:instrText xml:space="preserve"> \* MERGEFORMAT </w:instrText>
            </w:r>
            <w:r w:rsidRPr="001D7D5B">
              <w:rPr>
                <w:color w:val="000000"/>
                <w:szCs w:val="24"/>
              </w:rPr>
            </w:r>
            <w:r w:rsidRPr="001D7D5B">
              <w:rPr>
                <w:color w:val="000000"/>
                <w:szCs w:val="24"/>
              </w:rPr>
              <w:fldChar w:fldCharType="separate"/>
            </w:r>
            <w:r w:rsidR="00476382">
              <w:rPr>
                <w:rFonts w:ascii="Arial" w:hAnsi="Arial" w:cs="Arial"/>
                <w:color w:val="000000"/>
                <w:sz w:val="24"/>
                <w:szCs w:val="24"/>
              </w:rPr>
              <w:t>2.3.2</w:t>
            </w:r>
            <w:r w:rsidRPr="001D7D5B">
              <w:rPr>
                <w:color w:val="000000"/>
                <w:szCs w:val="24"/>
              </w:rPr>
              <w:fldChar w:fldCharType="end"/>
            </w:r>
            <w:r w:rsidRPr="001D7D5B">
              <w:rPr>
                <w:rFonts w:ascii="Arial" w:hAnsi="Arial" w:cs="Arial"/>
                <w:color w:val="000000"/>
                <w:sz w:val="24"/>
                <w:szCs w:val="24"/>
              </w:rPr>
              <w:t xml:space="preserve"> of this Schedule;</w:t>
            </w:r>
          </w:p>
        </w:tc>
      </w:tr>
      <w:tr w:rsidR="005C0911" w:rsidRPr="001D7D5B" w14:paraId="1D8822EA" w14:textId="77777777" w:rsidTr="00951857">
        <w:tc>
          <w:tcPr>
            <w:tcW w:w="3097" w:type="dxa"/>
          </w:tcPr>
          <w:p w14:paraId="62B73741" w14:textId="77777777" w:rsidR="005C0911" w:rsidRPr="001D7D5B" w:rsidRDefault="00A347C3"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"Disaster Recovery Plan"</w:t>
            </w:r>
          </w:p>
        </w:tc>
        <w:tc>
          <w:tcPr>
            <w:tcW w:w="5075" w:type="dxa"/>
          </w:tcPr>
          <w:p w14:paraId="29CFA20A" w14:textId="2E0D5966" w:rsidR="005C0911" w:rsidRPr="001D7D5B" w:rsidRDefault="00A347C3"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has the meaning given to it in Paragraph </w:t>
            </w:r>
            <w:r w:rsidR="00B8245F" w:rsidRPr="001D7D5B">
              <w:rPr>
                <w:rFonts w:ascii="Arial" w:hAnsi="Arial" w:cs="Arial"/>
                <w:color w:val="000000"/>
                <w:sz w:val="24"/>
                <w:szCs w:val="24"/>
              </w:rPr>
              <w:t>2.3.3</w:t>
            </w:r>
            <w:r w:rsidRPr="001D7D5B">
              <w:rPr>
                <w:rFonts w:ascii="Arial" w:hAnsi="Arial" w:cs="Arial"/>
                <w:color w:val="000000"/>
                <w:sz w:val="24"/>
                <w:szCs w:val="24"/>
              </w:rPr>
              <w:t xml:space="preserve"> of this Schedule;</w:t>
            </w:r>
          </w:p>
        </w:tc>
      </w:tr>
      <w:tr w:rsidR="005C0911" w:rsidRPr="001D7D5B" w14:paraId="20E57CEE" w14:textId="77777777" w:rsidTr="00951857">
        <w:trPr>
          <w:trHeight w:val="560"/>
        </w:trPr>
        <w:tc>
          <w:tcPr>
            <w:tcW w:w="3097" w:type="dxa"/>
          </w:tcPr>
          <w:p w14:paraId="540216EF" w14:textId="77777777" w:rsidR="005C0911" w:rsidRPr="001D7D5B" w:rsidRDefault="00A347C3"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"Related Supplier"</w:t>
            </w:r>
          </w:p>
        </w:tc>
        <w:tc>
          <w:tcPr>
            <w:tcW w:w="5075" w:type="dxa"/>
          </w:tcPr>
          <w:p w14:paraId="6F36B5B3" w14:textId="77777777" w:rsidR="005C0911" w:rsidRPr="001D7D5B" w:rsidRDefault="00A347C3"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any person who provides Deliverables to the Buyer which are related to the Deliverables from time to time;</w:t>
            </w:r>
          </w:p>
        </w:tc>
      </w:tr>
      <w:tr w:rsidR="005C0911" w:rsidRPr="001D7D5B" w14:paraId="4562C9B1" w14:textId="77777777" w:rsidTr="00951857">
        <w:trPr>
          <w:trHeight w:val="560"/>
        </w:trPr>
        <w:tc>
          <w:tcPr>
            <w:tcW w:w="3097" w:type="dxa"/>
          </w:tcPr>
          <w:p w14:paraId="1EF67554" w14:textId="77777777" w:rsidR="005C0911" w:rsidRPr="001D7D5B" w:rsidRDefault="00A347C3"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"Review Report"</w:t>
            </w:r>
          </w:p>
        </w:tc>
        <w:tc>
          <w:tcPr>
            <w:tcW w:w="5075" w:type="dxa"/>
          </w:tcPr>
          <w:p w14:paraId="6FFFDA33" w14:textId="400CC9E2" w:rsidR="005C0911" w:rsidRPr="001D7D5B" w:rsidRDefault="00A347C3"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has the meaning given to it in Paragraph </w:t>
            </w:r>
            <w:r w:rsidRPr="001D7D5B">
              <w:rPr>
                <w:color w:val="000000"/>
                <w:szCs w:val="24"/>
              </w:rPr>
              <w:fldChar w:fldCharType="begin"/>
            </w:r>
            <w:r w:rsidRPr="001D7D5B">
              <w:rPr>
                <w:rFonts w:ascii="Arial" w:hAnsi="Arial" w:cs="Arial"/>
                <w:color w:val="000000"/>
                <w:sz w:val="24"/>
                <w:szCs w:val="24"/>
              </w:rPr>
              <w:instrText xml:space="preserve"> REF _Ref141083643 \r \h </w:instrText>
            </w:r>
            <w:r w:rsidR="001D7D5B" w:rsidRPr="001D7D5B">
              <w:rPr>
                <w:rFonts w:ascii="Arial" w:hAnsi="Arial" w:cs="Arial"/>
                <w:color w:val="000000"/>
                <w:sz w:val="24"/>
                <w:szCs w:val="24"/>
              </w:rPr>
              <w:instrText xml:space="preserve"> \* MERGEFORMAT </w:instrText>
            </w:r>
            <w:r w:rsidRPr="001D7D5B">
              <w:rPr>
                <w:color w:val="000000"/>
                <w:szCs w:val="24"/>
              </w:rPr>
            </w:r>
            <w:r w:rsidRPr="001D7D5B">
              <w:rPr>
                <w:color w:val="000000"/>
                <w:szCs w:val="24"/>
              </w:rPr>
              <w:fldChar w:fldCharType="separate"/>
            </w:r>
            <w:r w:rsidR="00476382">
              <w:rPr>
                <w:rFonts w:ascii="Arial" w:hAnsi="Arial" w:cs="Arial"/>
                <w:color w:val="000000"/>
                <w:sz w:val="24"/>
                <w:szCs w:val="24"/>
              </w:rPr>
              <w:t>6.3</w:t>
            </w:r>
            <w:r w:rsidRPr="001D7D5B">
              <w:rPr>
                <w:color w:val="000000"/>
                <w:szCs w:val="24"/>
              </w:rPr>
              <w:fldChar w:fldCharType="end"/>
            </w:r>
            <w:r w:rsidRPr="001D7D5B">
              <w:rPr>
                <w:rFonts w:ascii="Arial" w:hAnsi="Arial" w:cs="Arial"/>
                <w:color w:val="000000"/>
                <w:sz w:val="24"/>
                <w:szCs w:val="24"/>
              </w:rPr>
              <w:t xml:space="preserve"> of this Schedule; and</w:t>
            </w:r>
          </w:p>
        </w:tc>
      </w:tr>
      <w:tr w:rsidR="005C0911" w:rsidRPr="001D7D5B" w14:paraId="59666BDC" w14:textId="77777777" w:rsidTr="00951857">
        <w:tc>
          <w:tcPr>
            <w:tcW w:w="3097" w:type="dxa"/>
          </w:tcPr>
          <w:p w14:paraId="79E06C2E" w14:textId="77777777" w:rsidR="005C0911" w:rsidRPr="001D7D5B" w:rsidRDefault="00A347C3"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"Supplier's Proposals"</w:t>
            </w:r>
          </w:p>
        </w:tc>
        <w:tc>
          <w:tcPr>
            <w:tcW w:w="5075" w:type="dxa"/>
          </w:tcPr>
          <w:p w14:paraId="31A31B98" w14:textId="1C9CB165" w:rsidR="005C0911" w:rsidRPr="001D7D5B" w:rsidRDefault="00A347C3"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has the meaning given to it in Paragraph </w:t>
            </w:r>
            <w:r w:rsidRPr="001D7D5B">
              <w:rPr>
                <w:color w:val="000000"/>
                <w:szCs w:val="24"/>
              </w:rPr>
              <w:fldChar w:fldCharType="begin"/>
            </w:r>
            <w:r w:rsidRPr="001D7D5B">
              <w:rPr>
                <w:rFonts w:ascii="Arial" w:hAnsi="Arial" w:cs="Arial"/>
                <w:color w:val="000000"/>
                <w:sz w:val="24"/>
                <w:szCs w:val="24"/>
              </w:rPr>
              <w:instrText xml:space="preserve"> REF _Ref141083643 \r \h </w:instrText>
            </w:r>
            <w:r w:rsidR="001D7D5B" w:rsidRPr="001D7D5B">
              <w:rPr>
                <w:rFonts w:ascii="Arial" w:hAnsi="Arial" w:cs="Arial"/>
                <w:color w:val="000000"/>
                <w:sz w:val="24"/>
                <w:szCs w:val="24"/>
              </w:rPr>
              <w:instrText xml:space="preserve"> \* MERGEFORMAT </w:instrText>
            </w:r>
            <w:r w:rsidRPr="001D7D5B">
              <w:rPr>
                <w:color w:val="000000"/>
                <w:szCs w:val="24"/>
              </w:rPr>
            </w:r>
            <w:r w:rsidRPr="001D7D5B">
              <w:rPr>
                <w:color w:val="000000"/>
                <w:szCs w:val="24"/>
              </w:rPr>
              <w:fldChar w:fldCharType="separate"/>
            </w:r>
            <w:r w:rsidR="00476382">
              <w:rPr>
                <w:rFonts w:ascii="Arial" w:hAnsi="Arial" w:cs="Arial"/>
                <w:color w:val="000000"/>
                <w:sz w:val="24"/>
                <w:szCs w:val="24"/>
              </w:rPr>
              <w:t>6.3</w:t>
            </w:r>
            <w:r w:rsidRPr="001D7D5B">
              <w:rPr>
                <w:color w:val="000000"/>
                <w:szCs w:val="24"/>
              </w:rPr>
              <w:fldChar w:fldCharType="end"/>
            </w:r>
            <w:r w:rsidRPr="001D7D5B">
              <w:rPr>
                <w:rFonts w:ascii="Arial" w:hAnsi="Arial" w:cs="Arial"/>
                <w:color w:val="000000"/>
                <w:sz w:val="24"/>
                <w:szCs w:val="24"/>
              </w:rPr>
              <w:t xml:space="preserve"> of this Schedule</w:t>
            </w:r>
            <w:r w:rsidR="001D7D5B" w:rsidRPr="001D7D5B">
              <w:rPr>
                <w:rFonts w:ascii="Arial" w:hAnsi="Arial" w:cs="Arial"/>
                <w:color w:val="000000"/>
                <w:sz w:val="24"/>
                <w:szCs w:val="24"/>
              </w:rPr>
              <w:t>.</w:t>
            </w:r>
          </w:p>
        </w:tc>
      </w:tr>
    </w:tbl>
    <w:p w14:paraId="523CB748" w14:textId="292BF97F" w:rsidR="005C0911" w:rsidRPr="001D7D5B" w:rsidRDefault="00A347C3" w:rsidP="003E7BA9">
      <w:pPr>
        <w:keepNext/>
        <w:numPr>
          <w:ilvl w:val="0"/>
          <w:numId w:val="1"/>
        </w:numPr>
        <w:pBdr>
          <w:top w:val="nil"/>
          <w:left w:val="nil"/>
          <w:bottom w:val="nil"/>
          <w:right w:val="nil"/>
          <w:between w:val="nil"/>
        </w:pBdr>
        <w:tabs>
          <w:tab w:val="left" w:pos="426"/>
        </w:tabs>
        <w:spacing w:before="120" w:after="120"/>
        <w:ind w:left="426" w:hanging="426"/>
        <w:jc w:val="left"/>
        <w:rPr>
          <w:szCs w:val="24"/>
        </w:rPr>
      </w:pPr>
      <w:r w:rsidRPr="001D7D5B">
        <w:rPr>
          <w:rFonts w:eastAsia="Arial Bold"/>
          <w:b/>
          <w:color w:val="000000"/>
          <w:szCs w:val="24"/>
        </w:rPr>
        <w:t>BCDR Plan</w:t>
      </w:r>
    </w:p>
    <w:p w14:paraId="7E501434" w14:textId="74D0EE0A" w:rsidR="00E776E4" w:rsidRPr="001D7D5B" w:rsidRDefault="00020D3B" w:rsidP="003E7BA9">
      <w:pPr>
        <w:keepNext/>
        <w:numPr>
          <w:ilvl w:val="1"/>
          <w:numId w:val="1"/>
        </w:numPr>
        <w:pBdr>
          <w:top w:val="nil"/>
          <w:left w:val="nil"/>
          <w:bottom w:val="nil"/>
          <w:right w:val="nil"/>
          <w:between w:val="nil"/>
        </w:pBdr>
        <w:tabs>
          <w:tab w:val="left" w:pos="0"/>
        </w:tabs>
        <w:spacing w:before="120" w:after="120"/>
        <w:ind w:left="1134" w:hanging="708"/>
        <w:jc w:val="left"/>
        <w:rPr>
          <w:szCs w:val="24"/>
        </w:rPr>
      </w:pPr>
      <w:r w:rsidRPr="001D7D5B">
        <w:rPr>
          <w:color w:val="000000"/>
          <w:szCs w:val="24"/>
          <w:lang w:eastAsia="en-GB"/>
        </w:rPr>
        <w:t xml:space="preserve">The Buyer and the Supplier recognise that, where specified in Framework Schedule 4 </w:t>
      </w:r>
      <w:r w:rsidRPr="001D7D5B">
        <w:rPr>
          <w:i/>
          <w:color w:val="000000"/>
          <w:szCs w:val="24"/>
          <w:lang w:eastAsia="en-GB"/>
        </w:rPr>
        <w:t>(Framework Management)</w:t>
      </w:r>
      <w:r w:rsidRPr="001D7D5B">
        <w:rPr>
          <w:color w:val="000000"/>
          <w:szCs w:val="24"/>
          <w:lang w:eastAsia="en-GB"/>
        </w:rPr>
        <w:t>, CCS shall have the right to enforce the Buyer's rights under this Schedule.</w:t>
      </w:r>
    </w:p>
    <w:p w14:paraId="612400EE" w14:textId="0E4B41F5" w:rsidR="005C0911" w:rsidRPr="001D7D5B" w:rsidRDefault="00951D6A" w:rsidP="003E7BA9">
      <w:pPr>
        <w:keepNext/>
        <w:numPr>
          <w:ilvl w:val="1"/>
          <w:numId w:val="1"/>
        </w:numPr>
        <w:pBdr>
          <w:top w:val="nil"/>
          <w:left w:val="nil"/>
          <w:bottom w:val="nil"/>
          <w:right w:val="nil"/>
          <w:between w:val="nil"/>
        </w:pBdr>
        <w:spacing w:before="120" w:after="120"/>
        <w:ind w:left="1134" w:hanging="708"/>
        <w:jc w:val="left"/>
        <w:rPr>
          <w:color w:val="000000"/>
          <w:szCs w:val="24"/>
        </w:rPr>
      </w:pPr>
      <w:bookmarkStart w:id="1" w:name="_heading=h.30j0zll" w:colFirst="0" w:colLast="0"/>
      <w:bookmarkStart w:id="2" w:name="_Ref141083623"/>
      <w:bookmarkEnd w:id="1"/>
      <w:r w:rsidRPr="001D7D5B">
        <w:rPr>
          <w:color w:val="000000"/>
          <w:szCs w:val="24"/>
        </w:rPr>
        <w:t xml:space="preserve">Within </w:t>
      </w:r>
      <w:r w:rsidR="00A347C3" w:rsidRPr="001D7D5B">
        <w:rPr>
          <w:color w:val="000000"/>
          <w:szCs w:val="24"/>
        </w:rPr>
        <w:t>forty</w:t>
      </w:r>
      <w:r w:rsidR="00A347C3" w:rsidRPr="001D7D5B">
        <w:rPr>
          <w:szCs w:val="24"/>
        </w:rPr>
        <w:t xml:space="preserve"> </w:t>
      </w:r>
      <w:r w:rsidR="00A347C3" w:rsidRPr="001D7D5B">
        <w:rPr>
          <w:color w:val="000000"/>
          <w:szCs w:val="24"/>
        </w:rPr>
        <w:t xml:space="preserve">(40) Working Days </w:t>
      </w:r>
      <w:r w:rsidRPr="001D7D5B">
        <w:rPr>
          <w:color w:val="000000"/>
          <w:szCs w:val="24"/>
          <w:lang w:eastAsia="en-GB"/>
        </w:rPr>
        <w:t>of</w:t>
      </w:r>
      <w:r w:rsidR="00A347C3" w:rsidRPr="001D7D5B">
        <w:rPr>
          <w:color w:val="000000"/>
          <w:szCs w:val="24"/>
        </w:rPr>
        <w:t xml:space="preserve"> the </w:t>
      </w:r>
      <w:r w:rsidR="00A347C3" w:rsidRPr="001D7D5B">
        <w:rPr>
          <w:szCs w:val="24"/>
        </w:rPr>
        <w:t>Effective</w:t>
      </w:r>
      <w:r w:rsidR="00A347C3" w:rsidRPr="001D7D5B">
        <w:rPr>
          <w:color w:val="000000"/>
          <w:szCs w:val="24"/>
        </w:rPr>
        <w:t xml:space="preserve"> Date the Supplier shall prepare and deliver to the Buyer for the Buyer’s written approval a plan (a </w:t>
      </w:r>
      <w:r w:rsidR="00A347C3" w:rsidRPr="001D7D5B">
        <w:rPr>
          <w:b/>
          <w:color w:val="000000"/>
          <w:szCs w:val="24"/>
        </w:rPr>
        <w:t>"BCDR Plan"</w:t>
      </w:r>
      <w:r w:rsidR="00A347C3" w:rsidRPr="001D7D5B">
        <w:rPr>
          <w:color w:val="000000"/>
          <w:szCs w:val="24"/>
        </w:rPr>
        <w:t>), which shall detail the processes and arrangements that the Supplier shall follow to:</w:t>
      </w:r>
      <w:bookmarkEnd w:id="2"/>
    </w:p>
    <w:p w14:paraId="3D4495FC" w14:textId="77777777" w:rsidR="005C0911" w:rsidRPr="001D7D5B" w:rsidRDefault="00A347C3"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ensure continuity of the business processes and operations supported by the Services following any failure or disruption of any element of the Deliverables; and</w:t>
      </w:r>
    </w:p>
    <w:p w14:paraId="0B3AB121" w14:textId="77777777" w:rsidR="005C0911" w:rsidRPr="001D7D5B" w:rsidRDefault="00A347C3"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3" w:name="_heading=h.1fob9te" w:colFirst="0" w:colLast="0"/>
      <w:bookmarkEnd w:id="3"/>
      <w:r w:rsidRPr="001D7D5B">
        <w:rPr>
          <w:color w:val="000000"/>
          <w:szCs w:val="24"/>
        </w:rPr>
        <w:t>the recovery of the Deliverables in the event of a Disaster.</w:t>
      </w:r>
    </w:p>
    <w:p w14:paraId="65A9E486" w14:textId="0763C35E" w:rsidR="005C0911" w:rsidRPr="001D7D5B" w:rsidRDefault="00A347C3" w:rsidP="003E7BA9">
      <w:pPr>
        <w:numPr>
          <w:ilvl w:val="1"/>
          <w:numId w:val="1"/>
        </w:numPr>
        <w:pBdr>
          <w:top w:val="nil"/>
          <w:left w:val="nil"/>
          <w:bottom w:val="nil"/>
          <w:right w:val="nil"/>
          <w:between w:val="nil"/>
        </w:pBdr>
        <w:tabs>
          <w:tab w:val="left" w:pos="1985"/>
          <w:tab w:val="left" w:pos="2127"/>
        </w:tabs>
        <w:spacing w:before="120" w:after="120"/>
        <w:ind w:left="1134" w:hanging="708"/>
        <w:jc w:val="left"/>
        <w:rPr>
          <w:color w:val="000000"/>
          <w:szCs w:val="24"/>
        </w:rPr>
      </w:pPr>
      <w:r w:rsidRPr="001D7D5B">
        <w:rPr>
          <w:color w:val="000000"/>
          <w:szCs w:val="24"/>
        </w:rPr>
        <w:t xml:space="preserve">The BCDR Plan shall be divided into </w:t>
      </w:r>
      <w:r w:rsidR="00F4319D" w:rsidRPr="001D7D5B">
        <w:rPr>
          <w:color w:val="000000"/>
          <w:szCs w:val="24"/>
          <w:lang w:eastAsia="en-GB"/>
        </w:rPr>
        <w:t>the following</w:t>
      </w:r>
      <w:r w:rsidR="00F4319D" w:rsidRPr="001D7D5B">
        <w:rPr>
          <w:color w:val="000000"/>
          <w:szCs w:val="24"/>
        </w:rPr>
        <w:t xml:space="preserve"> </w:t>
      </w:r>
      <w:r w:rsidRPr="001D7D5B">
        <w:rPr>
          <w:color w:val="000000"/>
          <w:szCs w:val="24"/>
        </w:rPr>
        <w:t>sections:</w:t>
      </w:r>
    </w:p>
    <w:p w14:paraId="41B0E8F5" w14:textId="77777777" w:rsidR="005C0911" w:rsidRPr="001D7D5B" w:rsidRDefault="00A347C3"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4" w:name="_heading=h.3znysh7" w:colFirst="0" w:colLast="0"/>
      <w:bookmarkEnd w:id="4"/>
      <w:r w:rsidRPr="001D7D5B">
        <w:rPr>
          <w:color w:val="000000"/>
          <w:szCs w:val="24"/>
        </w:rPr>
        <w:t xml:space="preserve">Section 1 which shall set out general principles applicable to the BCDR Plan; </w:t>
      </w:r>
    </w:p>
    <w:p w14:paraId="3AE5D7A5" w14:textId="77777777" w:rsidR="005C0911" w:rsidRPr="001D7D5B" w:rsidRDefault="00A347C3"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5" w:name="_heading=h.2et92p0" w:colFirst="0" w:colLast="0"/>
      <w:bookmarkStart w:id="6" w:name="_Ref141083629"/>
      <w:bookmarkEnd w:id="5"/>
      <w:r w:rsidRPr="001D7D5B">
        <w:rPr>
          <w:color w:val="000000"/>
          <w:szCs w:val="24"/>
        </w:rPr>
        <w:t xml:space="preserve">Section 2 which shall relate to business continuity (the </w:t>
      </w:r>
      <w:r w:rsidRPr="001D7D5B">
        <w:rPr>
          <w:b/>
          <w:color w:val="000000"/>
          <w:szCs w:val="24"/>
        </w:rPr>
        <w:t>"Business Continuity Plan"</w:t>
      </w:r>
      <w:r w:rsidRPr="001D7D5B">
        <w:rPr>
          <w:color w:val="000000"/>
          <w:szCs w:val="24"/>
        </w:rPr>
        <w:t>); and</w:t>
      </w:r>
      <w:bookmarkEnd w:id="6"/>
    </w:p>
    <w:p w14:paraId="1E8EAA36" w14:textId="77777777" w:rsidR="005C0911" w:rsidRPr="001D7D5B" w:rsidRDefault="00A347C3"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7" w:name="_heading=h.tyjcwt" w:colFirst="0" w:colLast="0"/>
      <w:bookmarkStart w:id="8" w:name="_Ref141083634"/>
      <w:bookmarkEnd w:id="7"/>
      <w:r w:rsidRPr="001D7D5B">
        <w:rPr>
          <w:color w:val="000000"/>
          <w:szCs w:val="24"/>
        </w:rPr>
        <w:lastRenderedPageBreak/>
        <w:t xml:space="preserve">Section 3 which shall relate to disaster recovery (the </w:t>
      </w:r>
      <w:r w:rsidRPr="001D7D5B">
        <w:rPr>
          <w:b/>
          <w:color w:val="000000"/>
          <w:szCs w:val="24"/>
        </w:rPr>
        <w:t>"Disaster Recovery Plan"</w:t>
      </w:r>
      <w:r w:rsidRPr="001D7D5B">
        <w:rPr>
          <w:color w:val="000000"/>
          <w:szCs w:val="24"/>
        </w:rPr>
        <w:t>)</w:t>
      </w:r>
      <w:r w:rsidRPr="001D7D5B">
        <w:rPr>
          <w:color w:val="000000"/>
          <w:szCs w:val="24"/>
          <w:lang w:eastAsia="en-GB"/>
        </w:rPr>
        <w:t xml:space="preserve">; </w:t>
      </w:r>
      <w:r w:rsidRPr="001D7D5B">
        <w:rPr>
          <w:color w:val="000000"/>
          <w:szCs w:val="24"/>
          <w:highlight w:val="yellow"/>
          <w:lang w:eastAsia="en-GB"/>
        </w:rPr>
        <w:t>[and</w:t>
      </w:r>
      <w:r w:rsidRPr="001D7D5B">
        <w:rPr>
          <w:color w:val="000000"/>
          <w:szCs w:val="24"/>
        </w:rPr>
        <w:t>.</w:t>
      </w:r>
      <w:bookmarkEnd w:id="8"/>
    </w:p>
    <w:p w14:paraId="6224A837" w14:textId="77777777" w:rsidR="00E776E4" w:rsidRPr="001D7D5B" w:rsidRDefault="00020D3B"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highlight w:val="yellow"/>
          <w:lang w:eastAsia="en-GB"/>
        </w:rPr>
        <w:t>Section 4 which shall relate to an Insolvency Event of the Supplier, and Key-Subcontractors and/or any Supplier Group member (the “</w:t>
      </w:r>
      <w:r w:rsidRPr="001D7D5B">
        <w:rPr>
          <w:b/>
          <w:color w:val="000000"/>
          <w:szCs w:val="24"/>
          <w:highlight w:val="yellow"/>
          <w:lang w:eastAsia="en-GB"/>
        </w:rPr>
        <w:t>Insolvency Continuity Plan</w:t>
      </w:r>
      <w:r w:rsidRPr="001D7D5B">
        <w:rPr>
          <w:color w:val="000000"/>
          <w:szCs w:val="24"/>
          <w:highlight w:val="yellow"/>
          <w:lang w:eastAsia="en-GB"/>
        </w:rPr>
        <w:t>”).]</w:t>
      </w:r>
      <w:r w:rsidRPr="001D7D5B">
        <w:rPr>
          <w:color w:val="000000"/>
          <w:szCs w:val="24"/>
          <w:lang w:eastAsia="en-GB"/>
        </w:rPr>
        <w:t xml:space="preserve"> </w:t>
      </w:r>
    </w:p>
    <w:p w14:paraId="33563493" w14:textId="77777777" w:rsidR="005C0911" w:rsidRPr="001D7D5B" w:rsidRDefault="00A347C3" w:rsidP="003E7BA9">
      <w:pPr>
        <w:numPr>
          <w:ilvl w:val="1"/>
          <w:numId w:val="1"/>
        </w:numPr>
        <w:pBdr>
          <w:top w:val="nil"/>
          <w:left w:val="nil"/>
          <w:bottom w:val="nil"/>
          <w:right w:val="nil"/>
          <w:between w:val="nil"/>
        </w:pBdr>
        <w:spacing w:before="120" w:after="120"/>
        <w:ind w:left="1134" w:hanging="708"/>
        <w:jc w:val="left"/>
        <w:rPr>
          <w:color w:val="000000"/>
          <w:szCs w:val="24"/>
        </w:rPr>
      </w:pPr>
      <w:bookmarkStart w:id="9" w:name="_heading=h.3dy6vkm" w:colFirst="0" w:colLast="0"/>
      <w:bookmarkEnd w:id="9"/>
      <w:r w:rsidRPr="001D7D5B">
        <w:rPr>
          <w:color w:val="000000"/>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0D2BC924" w14:textId="77777777" w:rsidR="005C0911" w:rsidRPr="001D7D5B" w:rsidRDefault="00A347C3" w:rsidP="794BA04D">
      <w:pPr>
        <w:keepNext/>
        <w:numPr>
          <w:ilvl w:val="0"/>
          <w:numId w:val="1"/>
        </w:numPr>
        <w:pBdr>
          <w:top w:val="nil"/>
          <w:left w:val="nil"/>
          <w:bottom w:val="nil"/>
          <w:right w:val="nil"/>
          <w:between w:val="nil"/>
        </w:pBdr>
        <w:spacing w:before="120" w:after="120"/>
        <w:ind w:left="426" w:hanging="426"/>
        <w:jc w:val="left"/>
        <w:rPr>
          <w:rFonts w:eastAsia="Arial Bold"/>
          <w:b/>
          <w:bCs/>
          <w:smallCaps/>
          <w:color w:val="000000"/>
        </w:rPr>
      </w:pPr>
      <w:bookmarkStart w:id="10" w:name="_heading=h.1t3h5sf"/>
      <w:bookmarkEnd w:id="10"/>
      <w:r w:rsidRPr="794BA04D">
        <w:rPr>
          <w:rFonts w:eastAsia="Arial Bold"/>
          <w:b/>
          <w:bCs/>
          <w:color w:val="000000" w:themeColor="text1"/>
        </w:rPr>
        <w:t xml:space="preserve">General Principles of the BCDR Plan (Section </w:t>
      </w:r>
      <w:r w:rsidRPr="00881728">
        <w:rPr>
          <w:rFonts w:eastAsia="Arial Bold"/>
          <w:b/>
          <w:bCs/>
          <w:color w:val="000000" w:themeColor="text1"/>
        </w:rPr>
        <w:t>1</w:t>
      </w:r>
      <w:r w:rsidRPr="794BA04D">
        <w:rPr>
          <w:rFonts w:eastAsia="Arial Bold"/>
          <w:b/>
          <w:bCs/>
          <w:color w:val="000000" w:themeColor="text1"/>
        </w:rPr>
        <w:t>)</w:t>
      </w:r>
    </w:p>
    <w:p w14:paraId="63D02678" w14:textId="77777777" w:rsidR="005C0911" w:rsidRPr="001D7D5B" w:rsidRDefault="00A347C3" w:rsidP="004B25D0">
      <w:pPr>
        <w:keepNext/>
        <w:numPr>
          <w:ilvl w:val="1"/>
          <w:numId w:val="1"/>
        </w:numPr>
        <w:pBdr>
          <w:top w:val="nil"/>
          <w:left w:val="nil"/>
          <w:bottom w:val="nil"/>
          <w:right w:val="nil"/>
          <w:between w:val="nil"/>
        </w:pBdr>
        <w:spacing w:before="120" w:after="120"/>
        <w:ind w:hanging="481"/>
        <w:jc w:val="left"/>
        <w:rPr>
          <w:color w:val="000000"/>
          <w:szCs w:val="24"/>
        </w:rPr>
      </w:pPr>
      <w:r w:rsidRPr="001D7D5B">
        <w:rPr>
          <w:color w:val="000000"/>
          <w:szCs w:val="24"/>
        </w:rPr>
        <w:t>Section 1 of the BCDR Plan shall:</w:t>
      </w:r>
    </w:p>
    <w:p w14:paraId="4360B2DE"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set out how the business continuity and disaster recovery elements of the BCDR Plan link to each other;</w:t>
      </w:r>
    </w:p>
    <w:p w14:paraId="6FBAD05A"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provide details of how the invocation of any element of the BCDR Plan may impact upon the provision of the Deliverables and any goods and/or services provided to the Buyer by a Related Supplier;</w:t>
      </w:r>
    </w:p>
    <w:p w14:paraId="6CD80780"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contain an obligation upon the Supplier to liaise with the Buyer and any Related Suppliers with respect to business continuity and disaster recovery;</w:t>
      </w:r>
    </w:p>
    <w:p w14:paraId="36A4AE9D"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detail how the BCDR Plan interoperates with any overarching disaster recovery or business continuity plan of the Buyer and any of its other Related </w:t>
      </w:r>
      <w:r w:rsidRPr="001D7D5B">
        <w:rPr>
          <w:color w:val="000000"/>
          <w:szCs w:val="24"/>
          <w:lang w:eastAsia="en-GB"/>
        </w:rPr>
        <w:t>Suppliers</w:t>
      </w:r>
      <w:r w:rsidRPr="001D7D5B">
        <w:rPr>
          <w:color w:val="000000"/>
          <w:szCs w:val="24"/>
        </w:rPr>
        <w:t xml:space="preserve"> in each case as notified to the Supplier by the Buyer from time to time;</w:t>
      </w:r>
    </w:p>
    <w:p w14:paraId="66CB9347"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contain a communication strategy including details of an incident and problem management service and advice and help desk facility which can be accessed via multiple channels;</w:t>
      </w:r>
    </w:p>
    <w:p w14:paraId="2ADDE742" w14:textId="77777777" w:rsidR="005C0911" w:rsidRPr="001D7D5B" w:rsidRDefault="00A347C3" w:rsidP="004B25D0">
      <w:pPr>
        <w:keepNext/>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contain a risk analysis, including:</w:t>
      </w:r>
    </w:p>
    <w:p w14:paraId="1DFD8800" w14:textId="77777777" w:rsidR="005C0911" w:rsidRPr="001D7D5B" w:rsidRDefault="00CB2A66" w:rsidP="004B25D0">
      <w:pPr>
        <w:numPr>
          <w:ilvl w:val="3"/>
          <w:numId w:val="1"/>
        </w:numPr>
        <w:pBdr>
          <w:top w:val="nil"/>
          <w:left w:val="nil"/>
          <w:bottom w:val="nil"/>
          <w:right w:val="nil"/>
          <w:between w:val="nil"/>
        </w:pBdr>
        <w:tabs>
          <w:tab w:val="left" w:pos="2835"/>
        </w:tabs>
        <w:spacing w:before="120" w:after="120"/>
        <w:ind w:left="2835" w:hanging="850"/>
        <w:jc w:val="left"/>
        <w:rPr>
          <w:color w:val="000000"/>
          <w:szCs w:val="24"/>
        </w:rPr>
      </w:pPr>
      <w:r w:rsidRPr="001D7D5B">
        <w:rPr>
          <w:color w:val="000000"/>
          <w:szCs w:val="24"/>
        </w:rPr>
        <w:t>failure or disruption scenarios and assessments of likely frequency of occurrence;</w:t>
      </w:r>
    </w:p>
    <w:p w14:paraId="2257243F" w14:textId="77777777" w:rsidR="005C0911" w:rsidRPr="001D7D5B" w:rsidRDefault="00CB2A66" w:rsidP="004B25D0">
      <w:pPr>
        <w:numPr>
          <w:ilvl w:val="3"/>
          <w:numId w:val="1"/>
        </w:numPr>
        <w:pBdr>
          <w:top w:val="nil"/>
          <w:left w:val="nil"/>
          <w:bottom w:val="nil"/>
          <w:right w:val="nil"/>
          <w:between w:val="nil"/>
        </w:pBdr>
        <w:tabs>
          <w:tab w:val="left" w:pos="2835"/>
        </w:tabs>
        <w:spacing w:before="120" w:after="120"/>
        <w:ind w:left="2835" w:hanging="850"/>
        <w:jc w:val="left"/>
        <w:rPr>
          <w:color w:val="000000"/>
          <w:szCs w:val="24"/>
        </w:rPr>
      </w:pPr>
      <w:r w:rsidRPr="001D7D5B">
        <w:rPr>
          <w:color w:val="000000"/>
          <w:szCs w:val="24"/>
        </w:rPr>
        <w:t>identification of any single points of failure within the provision of Deliverables and processes for managing those risks;</w:t>
      </w:r>
    </w:p>
    <w:p w14:paraId="041639DD" w14:textId="77777777" w:rsidR="005C0911" w:rsidRPr="001D7D5B" w:rsidRDefault="00CB2A66" w:rsidP="004B25D0">
      <w:pPr>
        <w:numPr>
          <w:ilvl w:val="3"/>
          <w:numId w:val="1"/>
        </w:numPr>
        <w:pBdr>
          <w:top w:val="nil"/>
          <w:left w:val="nil"/>
          <w:bottom w:val="nil"/>
          <w:right w:val="nil"/>
          <w:between w:val="nil"/>
        </w:pBdr>
        <w:tabs>
          <w:tab w:val="left" w:pos="2835"/>
        </w:tabs>
        <w:spacing w:before="120" w:after="120"/>
        <w:ind w:left="2835" w:hanging="850"/>
        <w:jc w:val="left"/>
        <w:rPr>
          <w:color w:val="000000"/>
          <w:szCs w:val="24"/>
        </w:rPr>
      </w:pPr>
      <w:r w:rsidRPr="001D7D5B">
        <w:rPr>
          <w:color w:val="000000"/>
          <w:szCs w:val="24"/>
        </w:rPr>
        <w:t>identification of risks arising from an Insolvency Event of the Supplier, any Key Subcontractors and/or Supplier Group member;</w:t>
      </w:r>
    </w:p>
    <w:p w14:paraId="63B696DE" w14:textId="77777777" w:rsidR="005C0911" w:rsidRPr="001D7D5B" w:rsidRDefault="00CB2A66" w:rsidP="004B25D0">
      <w:pPr>
        <w:numPr>
          <w:ilvl w:val="3"/>
          <w:numId w:val="1"/>
        </w:numPr>
        <w:pBdr>
          <w:top w:val="nil"/>
          <w:left w:val="nil"/>
          <w:bottom w:val="nil"/>
          <w:right w:val="nil"/>
          <w:between w:val="nil"/>
        </w:pBdr>
        <w:tabs>
          <w:tab w:val="left" w:pos="2835"/>
        </w:tabs>
        <w:spacing w:before="120" w:after="120"/>
        <w:ind w:left="2835" w:hanging="850"/>
        <w:jc w:val="left"/>
        <w:rPr>
          <w:color w:val="000000"/>
          <w:szCs w:val="24"/>
        </w:rPr>
      </w:pPr>
      <w:r w:rsidRPr="001D7D5B">
        <w:rPr>
          <w:color w:val="000000"/>
          <w:szCs w:val="24"/>
        </w:rPr>
        <w:t>identification of risks arising from the interaction of the provision of Deliverables with the goods and/or services provided by a Related Supplier; and</w:t>
      </w:r>
    </w:p>
    <w:p w14:paraId="6EC6BCB4" w14:textId="77777777" w:rsidR="005C0911" w:rsidRPr="001D7D5B" w:rsidRDefault="00CB2A66" w:rsidP="004B25D0">
      <w:pPr>
        <w:numPr>
          <w:ilvl w:val="3"/>
          <w:numId w:val="1"/>
        </w:numPr>
        <w:pBdr>
          <w:top w:val="nil"/>
          <w:left w:val="nil"/>
          <w:bottom w:val="nil"/>
          <w:right w:val="nil"/>
          <w:between w:val="nil"/>
        </w:pBdr>
        <w:tabs>
          <w:tab w:val="left" w:pos="2835"/>
        </w:tabs>
        <w:spacing w:before="120" w:after="120"/>
        <w:ind w:left="2835" w:hanging="850"/>
        <w:jc w:val="left"/>
        <w:rPr>
          <w:color w:val="000000"/>
          <w:szCs w:val="24"/>
        </w:rPr>
      </w:pPr>
      <w:r w:rsidRPr="001D7D5B">
        <w:rPr>
          <w:color w:val="000000"/>
          <w:szCs w:val="24"/>
        </w:rPr>
        <w:lastRenderedPageBreak/>
        <w:t>a business impact analysis of different anticipated failures or disruptions;</w:t>
      </w:r>
    </w:p>
    <w:p w14:paraId="59424178"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provide for documentation of processes, including business processes, and procedures;</w:t>
      </w:r>
    </w:p>
    <w:p w14:paraId="5DD69101"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set out key contact details for the Supplier (and any Subcontractors) and for the Buyer;</w:t>
      </w:r>
    </w:p>
    <w:p w14:paraId="0B85A93C"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identify the procedures for reverting to "normal service";</w:t>
      </w:r>
    </w:p>
    <w:p w14:paraId="21BA1C6B"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set out method(s) of recovering or updating data collected (or which ought to have been collected) during a failure or disruption to minimise data loss;</w:t>
      </w:r>
    </w:p>
    <w:p w14:paraId="7BE1027E" w14:textId="37ECF123"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identify the responsibilities (if any) that the Buyer has agreed it will assume in the event of the invocation of the BCDR Plan;</w:t>
      </w:r>
    </w:p>
    <w:p w14:paraId="0229A2E0" w14:textId="20021298"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provide for the provision of technical assistance to key contacts at the Buyer as required by the Buyer to inform decisions in support of the Buyer’s business continuity plans</w:t>
      </w:r>
      <w:r w:rsidR="000075C7" w:rsidRPr="001D7D5B">
        <w:rPr>
          <w:color w:val="000000"/>
          <w:szCs w:val="24"/>
          <w:lang w:eastAsia="en-GB"/>
        </w:rPr>
        <w:t>;</w:t>
      </w:r>
    </w:p>
    <w:p w14:paraId="125A0BAC" w14:textId="090C620F" w:rsidR="00E776E4" w:rsidRPr="001D7D5B" w:rsidRDefault="00020D3B"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lang w:eastAsia="en-GB"/>
        </w:rPr>
        <w:t>contain an obligation upon the Supplier to liaise with the Buyer and (at the Buyer’s request) any Related Supplier with respect to issues concerning insolvency continuity where applicable; and</w:t>
      </w:r>
    </w:p>
    <w:p w14:paraId="237E83FB" w14:textId="736679DE" w:rsidR="00E776E4" w:rsidRPr="001D7D5B" w:rsidRDefault="00020D3B"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lang w:eastAsia="en-GB"/>
        </w:rPr>
        <w:t>detail how the BCDR Plan links and interoperates with any overarching and/or connected insolvency continuity plan of the Buyer and any of its other Related Suppliers in each case as notified to the Supplier by the Buyer from time to time.</w:t>
      </w:r>
    </w:p>
    <w:p w14:paraId="4799EB08"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BCDR Plan shall be designed so as to ensure that:</w:t>
      </w:r>
    </w:p>
    <w:p w14:paraId="76DA6A3E" w14:textId="7674F76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the Deliverables are </w:t>
      </w:r>
      <w:r w:rsidR="000F6318">
        <w:rPr>
          <w:color w:val="000000"/>
          <w:szCs w:val="24"/>
        </w:rPr>
        <w:t>provided in accordance with the</w:t>
      </w:r>
      <w:r w:rsidRPr="001D7D5B">
        <w:rPr>
          <w:color w:val="000000"/>
          <w:szCs w:val="24"/>
        </w:rPr>
        <w:t xml:space="preserve"> Contract at all times during and after the invocation of the BCDR Plan;</w:t>
      </w:r>
    </w:p>
    <w:p w14:paraId="342AD2A5"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the adverse impact of any Disaster is minimised as far as reasonably possible;</w:t>
      </w:r>
    </w:p>
    <w:p w14:paraId="69DFE32C"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it complies with the relevant provisions of ISO/IEC 27002; ISO22301/ISO22313 and all other industry standards from time to time in force; and</w:t>
      </w:r>
    </w:p>
    <w:p w14:paraId="4D1B0A04"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it details a process for the management of disaster recovery testing.</w:t>
      </w:r>
    </w:p>
    <w:p w14:paraId="215C1F09"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BCDR Plan shall be upgradeable and sufficiently flexible to support any changes to the Deliverables and the business operations supported by the provision of Deliverables.</w:t>
      </w:r>
    </w:p>
    <w:p w14:paraId="661F5F1B" w14:textId="1B10F48E"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 xml:space="preserve">The Supplier shall not be entitled to any relief from its obligations under the </w:t>
      </w:r>
      <w:r w:rsidR="00325C0D" w:rsidRPr="001D7D5B">
        <w:rPr>
          <w:color w:val="000000"/>
          <w:szCs w:val="24"/>
        </w:rPr>
        <w:t xml:space="preserve">Framework </w:t>
      </w:r>
      <w:r w:rsidR="00325C0D" w:rsidRPr="001D7D5B">
        <w:rPr>
          <w:color w:val="000000"/>
          <w:szCs w:val="24"/>
          <w:lang w:eastAsia="en-GB"/>
        </w:rPr>
        <w:t xml:space="preserve">Performance Measures (FPMs) </w:t>
      </w:r>
      <w:r w:rsidRPr="001D7D5B">
        <w:rPr>
          <w:color w:val="000000"/>
          <w:szCs w:val="24"/>
          <w:lang w:eastAsia="en-GB"/>
        </w:rPr>
        <w:t xml:space="preserve">or </w:t>
      </w:r>
      <w:r w:rsidR="00325C0D" w:rsidRPr="001D7D5B">
        <w:rPr>
          <w:color w:val="000000"/>
          <w:szCs w:val="24"/>
        </w:rPr>
        <w:t>Key Performance Indicators</w:t>
      </w:r>
      <w:r w:rsidRPr="001D7D5B">
        <w:rPr>
          <w:color w:val="000000"/>
          <w:szCs w:val="24"/>
        </w:rPr>
        <w:t>, or to any increase in the Charges to the extent that a Disaster occurs as a consequence of any</w:t>
      </w:r>
      <w:r w:rsidR="000F6318">
        <w:rPr>
          <w:color w:val="000000"/>
          <w:szCs w:val="24"/>
        </w:rPr>
        <w:t xml:space="preserve"> Default by the Supplier of the</w:t>
      </w:r>
      <w:r w:rsidRPr="001D7D5B">
        <w:rPr>
          <w:color w:val="000000"/>
          <w:szCs w:val="24"/>
        </w:rPr>
        <w:t xml:space="preserve"> Contract.</w:t>
      </w:r>
    </w:p>
    <w:p w14:paraId="5C90698C"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b/>
          <w:smallCaps/>
          <w:color w:val="000000"/>
          <w:szCs w:val="24"/>
        </w:rPr>
      </w:pPr>
      <w:r w:rsidRPr="001D7D5B">
        <w:rPr>
          <w:rFonts w:eastAsia="Arial Bold"/>
          <w:b/>
          <w:color w:val="000000"/>
          <w:szCs w:val="24"/>
        </w:rPr>
        <w:lastRenderedPageBreak/>
        <w:t>Business Continuity (Section 2)</w:t>
      </w:r>
    </w:p>
    <w:p w14:paraId="2B2DF86D"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bookmarkStart w:id="11" w:name="_heading=h.4d34og8" w:colFirst="0" w:colLast="0"/>
      <w:bookmarkEnd w:id="11"/>
      <w:r w:rsidRPr="001D7D5B">
        <w:rPr>
          <w:color w:val="000000"/>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1DA03BE6"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the alternative processes, options and responsibilities that may be adopted in the event of a failure in or disruption to the provision of Deliverables; and</w:t>
      </w:r>
    </w:p>
    <w:p w14:paraId="2726B947"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the steps to be taken by the Supplier upon resumption of the provision of Deliverables in order to address the effect of the failure or disruption.</w:t>
      </w:r>
    </w:p>
    <w:p w14:paraId="139EA0A7"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Business Continuity Plan shall:</w:t>
      </w:r>
    </w:p>
    <w:p w14:paraId="4785E190"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address the various possible levels of failures of or disruptions to the provision of Deliverables;</w:t>
      </w:r>
    </w:p>
    <w:p w14:paraId="762B224F"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12" w:name="_heading=h.2s8eyo1" w:colFirst="0" w:colLast="0"/>
      <w:bookmarkEnd w:id="12"/>
      <w:r w:rsidRPr="001D7D5B">
        <w:rPr>
          <w:color w:val="000000"/>
          <w:szCs w:val="24"/>
        </w:rPr>
        <w:t>set out the goods and/or services to be provided and the steps to be taken to remedy the different levels of failures of and disruption to the Deliverables;</w:t>
      </w:r>
    </w:p>
    <w:p w14:paraId="6FD01819" w14:textId="222B24C5"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specify any applicable </w:t>
      </w:r>
      <w:r w:rsidR="005D3ABB" w:rsidRPr="001D7D5B">
        <w:rPr>
          <w:color w:val="000000"/>
          <w:szCs w:val="24"/>
        </w:rPr>
        <w:t xml:space="preserve">Framework </w:t>
      </w:r>
      <w:r w:rsidR="005D3ABB" w:rsidRPr="001D7D5B">
        <w:rPr>
          <w:color w:val="000000"/>
          <w:szCs w:val="24"/>
          <w:lang w:eastAsia="en-GB"/>
        </w:rPr>
        <w:t xml:space="preserve">Performance Measures (FPMs) </w:t>
      </w:r>
      <w:r w:rsidR="004D475E" w:rsidRPr="001D7D5B">
        <w:rPr>
          <w:color w:val="000000"/>
          <w:szCs w:val="24"/>
          <w:lang w:eastAsia="en-GB"/>
        </w:rPr>
        <w:t xml:space="preserve">and/or </w:t>
      </w:r>
      <w:r w:rsidR="00325C0D" w:rsidRPr="001D7D5B">
        <w:rPr>
          <w:color w:val="000000"/>
          <w:szCs w:val="24"/>
        </w:rPr>
        <w:t>Key Performance Indicators</w:t>
      </w:r>
      <w:r w:rsidRPr="001D7D5B">
        <w:rPr>
          <w:color w:val="000000"/>
          <w:szCs w:val="24"/>
        </w:rPr>
        <w:t xml:space="preserve"> with respect to</w:t>
      </w:r>
      <w:r w:rsidR="00A80334">
        <w:rPr>
          <w:color w:val="000000"/>
          <w:szCs w:val="24"/>
        </w:rPr>
        <w:t xml:space="preserve"> the provision of the business c</w:t>
      </w:r>
      <w:r w:rsidRPr="001D7D5B">
        <w:rPr>
          <w:color w:val="000000"/>
          <w:szCs w:val="24"/>
        </w:rPr>
        <w:t xml:space="preserve">ontinuity Services and details of any agreed relaxation to the </w:t>
      </w:r>
      <w:r w:rsidR="00325C0D" w:rsidRPr="001D7D5B">
        <w:rPr>
          <w:color w:val="000000"/>
          <w:szCs w:val="24"/>
        </w:rPr>
        <w:t>Key Performance Indicators</w:t>
      </w:r>
      <w:r w:rsidRPr="001D7D5B">
        <w:rPr>
          <w:color w:val="000000"/>
          <w:szCs w:val="24"/>
        </w:rPr>
        <w:t xml:space="preserve"> in respect of the provision of other Deliverables during any period of invocation of the Business Continuity Plan; and</w:t>
      </w:r>
    </w:p>
    <w:p w14:paraId="1D396A66"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set out the circumstances in which the Business Continuity Plan is invoked.</w:t>
      </w:r>
    </w:p>
    <w:p w14:paraId="3EB39383" w14:textId="77777777" w:rsidR="005C0911" w:rsidRPr="001D7D5B" w:rsidRDefault="00A347C3" w:rsidP="794BA04D">
      <w:pPr>
        <w:keepNext/>
        <w:numPr>
          <w:ilvl w:val="0"/>
          <w:numId w:val="1"/>
        </w:numPr>
        <w:pBdr>
          <w:top w:val="nil"/>
          <w:left w:val="nil"/>
          <w:bottom w:val="nil"/>
          <w:right w:val="nil"/>
          <w:between w:val="nil"/>
        </w:pBdr>
        <w:spacing w:before="120" w:after="120"/>
        <w:ind w:left="426" w:hanging="426"/>
        <w:jc w:val="left"/>
        <w:rPr>
          <w:rFonts w:eastAsia="Arial Bold"/>
          <w:b/>
          <w:bCs/>
          <w:smallCaps/>
          <w:color w:val="000000"/>
        </w:rPr>
      </w:pPr>
      <w:r w:rsidRPr="794BA04D">
        <w:rPr>
          <w:rFonts w:eastAsia="Arial Bold"/>
          <w:b/>
          <w:bCs/>
          <w:color w:val="000000" w:themeColor="text1"/>
        </w:rPr>
        <w:t xml:space="preserve">Disaster Recovery (Section </w:t>
      </w:r>
      <w:r w:rsidRPr="00881728">
        <w:rPr>
          <w:rFonts w:eastAsia="Arial Bold"/>
          <w:b/>
          <w:bCs/>
          <w:color w:val="000000" w:themeColor="text1"/>
        </w:rPr>
        <w:t>3</w:t>
      </w:r>
      <w:r w:rsidRPr="794BA04D">
        <w:rPr>
          <w:rFonts w:eastAsia="Arial Bold"/>
          <w:b/>
          <w:bCs/>
          <w:color w:val="000000" w:themeColor="text1"/>
        </w:rPr>
        <w:t>)</w:t>
      </w:r>
    </w:p>
    <w:p w14:paraId="0A2ED4DF"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13" w:name="_heading=h.17dp8vu" w:colFirst="0" w:colLast="0"/>
      <w:bookmarkEnd w:id="13"/>
      <w:r w:rsidRPr="001D7D5B">
        <w:rPr>
          <w:color w:val="000000"/>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41A91F0A"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Supplier's BCDR Plan shall include an approach to business continuity and disaster recovery that addresses the following:</w:t>
      </w:r>
    </w:p>
    <w:p w14:paraId="1018AD09"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loss of access to the Buyer Premises;</w:t>
      </w:r>
    </w:p>
    <w:p w14:paraId="1DB2E30D"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loss of utilities to the Buyer Premises;</w:t>
      </w:r>
    </w:p>
    <w:p w14:paraId="72BD26B6"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loss of the Supplier's helpdesk or CAFM system;</w:t>
      </w:r>
    </w:p>
    <w:p w14:paraId="5D830EC6"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loss of a Subcontractor;</w:t>
      </w:r>
    </w:p>
    <w:p w14:paraId="07DAA91C"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emergency notification and escalation process;</w:t>
      </w:r>
    </w:p>
    <w:p w14:paraId="6A964F37"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contact lists;</w:t>
      </w:r>
    </w:p>
    <w:p w14:paraId="2369EC17"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lastRenderedPageBreak/>
        <w:t>staff training and awareness;</w:t>
      </w:r>
    </w:p>
    <w:p w14:paraId="3192F28B"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BCDR Plan testing;</w:t>
      </w:r>
    </w:p>
    <w:p w14:paraId="6D6F7D35"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post implementation review process;</w:t>
      </w:r>
    </w:p>
    <w:p w14:paraId="69235BBA" w14:textId="2B01A16D"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any applicable </w:t>
      </w:r>
      <w:r w:rsidR="00325C0D" w:rsidRPr="001D7D5B">
        <w:rPr>
          <w:color w:val="000000"/>
          <w:szCs w:val="24"/>
        </w:rPr>
        <w:t xml:space="preserve">Framework </w:t>
      </w:r>
      <w:r w:rsidRPr="001D7D5B">
        <w:rPr>
          <w:color w:val="000000"/>
          <w:szCs w:val="24"/>
          <w:lang w:eastAsia="en-GB"/>
        </w:rPr>
        <w:t xml:space="preserve">Performance </w:t>
      </w:r>
      <w:r w:rsidR="00325C0D" w:rsidRPr="001D7D5B">
        <w:rPr>
          <w:color w:val="000000"/>
          <w:szCs w:val="24"/>
          <w:lang w:eastAsia="en-GB"/>
        </w:rPr>
        <w:t xml:space="preserve">Measures </w:t>
      </w:r>
      <w:r w:rsidRPr="001D7D5B">
        <w:rPr>
          <w:color w:val="000000"/>
          <w:szCs w:val="24"/>
          <w:lang w:eastAsia="en-GB"/>
        </w:rPr>
        <w:t>(</w:t>
      </w:r>
      <w:r w:rsidR="00325C0D" w:rsidRPr="001D7D5B">
        <w:rPr>
          <w:color w:val="000000"/>
          <w:szCs w:val="24"/>
          <w:lang w:eastAsia="en-GB"/>
        </w:rPr>
        <w:t>FPMs</w:t>
      </w:r>
      <w:r w:rsidRPr="001D7D5B">
        <w:rPr>
          <w:color w:val="000000"/>
          <w:szCs w:val="24"/>
          <w:lang w:eastAsia="en-GB"/>
        </w:rPr>
        <w:t>)</w:t>
      </w:r>
      <w:r w:rsidR="004D475E" w:rsidRPr="001D7D5B">
        <w:rPr>
          <w:color w:val="000000"/>
          <w:szCs w:val="24"/>
          <w:lang w:eastAsia="en-GB"/>
        </w:rPr>
        <w:t xml:space="preserve"> and/or </w:t>
      </w:r>
      <w:r w:rsidR="00325C0D" w:rsidRPr="001D7D5B">
        <w:rPr>
          <w:color w:val="000000"/>
          <w:szCs w:val="24"/>
        </w:rPr>
        <w:t>Key Performance Indicators</w:t>
      </w:r>
      <w:r w:rsidRPr="001D7D5B">
        <w:rPr>
          <w:color w:val="000000"/>
          <w:szCs w:val="24"/>
        </w:rPr>
        <w:t xml:space="preserve"> with respect to the provision of the disaster recovery services and details of any agreed relaxation to the </w:t>
      </w:r>
      <w:r w:rsidR="00325C0D" w:rsidRPr="001D7D5B">
        <w:rPr>
          <w:color w:val="000000"/>
          <w:szCs w:val="24"/>
        </w:rPr>
        <w:t xml:space="preserve">Framework </w:t>
      </w:r>
      <w:r w:rsidR="00325C0D" w:rsidRPr="001D7D5B">
        <w:rPr>
          <w:color w:val="000000"/>
          <w:szCs w:val="24"/>
          <w:lang w:eastAsia="en-GB"/>
        </w:rPr>
        <w:t>Performance Measures (FPMs)</w:t>
      </w:r>
      <w:r w:rsidRPr="001D7D5B">
        <w:rPr>
          <w:color w:val="000000"/>
          <w:szCs w:val="24"/>
          <w:lang w:eastAsia="en-GB"/>
        </w:rPr>
        <w:t xml:space="preserve"> </w:t>
      </w:r>
      <w:r w:rsidR="004D475E" w:rsidRPr="001D7D5B">
        <w:rPr>
          <w:color w:val="000000"/>
          <w:szCs w:val="24"/>
          <w:lang w:eastAsia="en-GB"/>
        </w:rPr>
        <w:t>and/</w:t>
      </w:r>
      <w:r w:rsidRPr="001D7D5B">
        <w:rPr>
          <w:color w:val="000000"/>
          <w:szCs w:val="24"/>
          <w:lang w:eastAsia="en-GB"/>
        </w:rPr>
        <w:t xml:space="preserve">or </w:t>
      </w:r>
      <w:r w:rsidR="00E64AF2">
        <w:rPr>
          <w:color w:val="000000"/>
          <w:szCs w:val="24"/>
        </w:rPr>
        <w:t>Key Performance Indicators</w:t>
      </w:r>
      <w:r w:rsidRPr="001D7D5B">
        <w:rPr>
          <w:color w:val="000000"/>
          <w:szCs w:val="24"/>
        </w:rPr>
        <w:t xml:space="preserve"> in respect of the provision of other Deliverables during any period of invocation of the Disaster Recovery Plan;</w:t>
      </w:r>
    </w:p>
    <w:p w14:paraId="0C82E9FB"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details of how the Supplier shall ensure compliance with security standards ensuring that compliance is maintained for any period during which the Disaster Recovery Plan is invoked;</w:t>
      </w:r>
    </w:p>
    <w:p w14:paraId="1556FBE2"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access controls to any disaster recovery sites used by the Supplier in relation to its obligations pursuant to this Schedule; and</w:t>
      </w:r>
    </w:p>
    <w:p w14:paraId="4509BB55"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testing and management arrangements.</w:t>
      </w:r>
    </w:p>
    <w:p w14:paraId="2164887E"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b/>
          <w:smallCaps/>
          <w:color w:val="000000"/>
          <w:szCs w:val="24"/>
        </w:rPr>
      </w:pPr>
      <w:r w:rsidRPr="001D7D5B">
        <w:rPr>
          <w:rFonts w:eastAsia="Arial Bold"/>
          <w:b/>
          <w:color w:val="000000"/>
          <w:szCs w:val="24"/>
        </w:rPr>
        <w:t>Review and changing the BCDR Plan</w:t>
      </w:r>
    </w:p>
    <w:p w14:paraId="28D510BB"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bookmarkStart w:id="14" w:name="_heading=h.3rdcrjn" w:colFirst="0" w:colLast="0"/>
      <w:bookmarkStart w:id="15" w:name="_Ref141084237"/>
      <w:bookmarkEnd w:id="14"/>
      <w:r w:rsidRPr="001D7D5B">
        <w:rPr>
          <w:color w:val="000000"/>
          <w:szCs w:val="24"/>
        </w:rPr>
        <w:t>The Supplier shall review the BCDR Plan:</w:t>
      </w:r>
      <w:bookmarkEnd w:id="15"/>
    </w:p>
    <w:p w14:paraId="10EFB04D"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16" w:name="_heading=h.26in1rg" w:colFirst="0" w:colLast="0"/>
      <w:bookmarkStart w:id="17" w:name="_Ref141084227"/>
      <w:bookmarkEnd w:id="16"/>
      <w:r w:rsidRPr="001D7D5B">
        <w:rPr>
          <w:color w:val="000000"/>
          <w:szCs w:val="24"/>
        </w:rPr>
        <w:t>on a regular basis and as a minimum once every six (6) Months;</w:t>
      </w:r>
      <w:bookmarkEnd w:id="17"/>
    </w:p>
    <w:p w14:paraId="564B2FB2" w14:textId="6A4F87C1"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18" w:name="_heading=h.lnxbz9" w:colFirst="0" w:colLast="0"/>
      <w:bookmarkStart w:id="19" w:name="_Ref141084232"/>
      <w:bookmarkEnd w:id="18"/>
      <w:r w:rsidRPr="001D7D5B">
        <w:rPr>
          <w:color w:val="000000"/>
          <w:szCs w:val="24"/>
        </w:rPr>
        <w:t>within three (3) calendar Months of the BCDR Plan (or any part) having been invoked pursuant to Paragraph </w:t>
      </w:r>
      <w:r w:rsidR="00020D3B" w:rsidRPr="001D7D5B">
        <w:rPr>
          <w:color w:val="000000"/>
          <w:szCs w:val="24"/>
          <w:lang w:eastAsia="en-GB"/>
        </w:rPr>
        <w:t>8</w:t>
      </w:r>
      <w:r w:rsidRPr="001D7D5B">
        <w:rPr>
          <w:color w:val="000000"/>
          <w:szCs w:val="24"/>
        </w:rPr>
        <w:t>; and</w:t>
      </w:r>
      <w:bookmarkEnd w:id="19"/>
    </w:p>
    <w:p w14:paraId="1D71A292" w14:textId="1D6AB903"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20" w:name="_heading=h.35nkun2" w:colFirst="0" w:colLast="0"/>
      <w:bookmarkEnd w:id="20"/>
      <w:r w:rsidRPr="001D7D5B">
        <w:rPr>
          <w:color w:val="000000"/>
          <w:szCs w:val="24"/>
        </w:rPr>
        <w:t>where the Buyer requests in writing any additional reviews (over and above those provided for in Paragraphs </w:t>
      </w:r>
      <w:r w:rsidRPr="001D7D5B">
        <w:rPr>
          <w:color w:val="000000"/>
          <w:szCs w:val="24"/>
        </w:rPr>
        <w:fldChar w:fldCharType="begin"/>
      </w:r>
      <w:r w:rsidRPr="001D7D5B">
        <w:rPr>
          <w:color w:val="000000"/>
          <w:szCs w:val="24"/>
        </w:rPr>
        <w:instrText xml:space="preserve"> REF _Ref141084227 \n \h </w:instrText>
      </w:r>
      <w:r w:rsidR="001D7D5B" w:rsidRPr="001D7D5B">
        <w:rPr>
          <w:color w:val="000000"/>
          <w:szCs w:val="24"/>
        </w:rPr>
        <w:instrText xml:space="preserve"> \* MERGEFORMAT </w:instrText>
      </w:r>
      <w:r w:rsidRPr="001D7D5B">
        <w:rPr>
          <w:color w:val="000000"/>
          <w:szCs w:val="24"/>
        </w:rPr>
      </w:r>
      <w:r w:rsidRPr="001D7D5B">
        <w:rPr>
          <w:color w:val="000000"/>
          <w:szCs w:val="24"/>
        </w:rPr>
        <w:fldChar w:fldCharType="separate"/>
      </w:r>
      <w:r w:rsidR="00476382">
        <w:rPr>
          <w:color w:val="000000"/>
          <w:szCs w:val="24"/>
        </w:rPr>
        <w:t>6.1.1</w:t>
      </w:r>
      <w:r w:rsidRPr="001D7D5B">
        <w:rPr>
          <w:color w:val="000000"/>
          <w:szCs w:val="24"/>
        </w:rPr>
        <w:fldChar w:fldCharType="end"/>
      </w:r>
      <w:r w:rsidRPr="001D7D5B">
        <w:rPr>
          <w:color w:val="000000"/>
          <w:szCs w:val="24"/>
        </w:rPr>
        <w:t xml:space="preserve"> and </w:t>
      </w:r>
      <w:r w:rsidRPr="001D7D5B">
        <w:rPr>
          <w:color w:val="000000"/>
          <w:szCs w:val="24"/>
        </w:rPr>
        <w:fldChar w:fldCharType="begin"/>
      </w:r>
      <w:r w:rsidRPr="001D7D5B">
        <w:rPr>
          <w:color w:val="000000"/>
          <w:szCs w:val="24"/>
        </w:rPr>
        <w:instrText xml:space="preserve"> REF _Ref141084232 \n \h </w:instrText>
      </w:r>
      <w:r w:rsidR="001D7D5B" w:rsidRPr="001D7D5B">
        <w:rPr>
          <w:color w:val="000000"/>
          <w:szCs w:val="24"/>
        </w:rPr>
        <w:instrText xml:space="preserve"> \* MERGEFORMAT </w:instrText>
      </w:r>
      <w:r w:rsidRPr="001D7D5B">
        <w:rPr>
          <w:color w:val="000000"/>
          <w:szCs w:val="24"/>
        </w:rPr>
      </w:r>
      <w:r w:rsidRPr="001D7D5B">
        <w:rPr>
          <w:color w:val="000000"/>
          <w:szCs w:val="24"/>
        </w:rPr>
        <w:fldChar w:fldCharType="separate"/>
      </w:r>
      <w:r w:rsidR="00476382">
        <w:rPr>
          <w:color w:val="000000"/>
          <w:szCs w:val="24"/>
        </w:rPr>
        <w:t>6.1.2</w:t>
      </w:r>
      <w:r w:rsidRPr="001D7D5B">
        <w:rPr>
          <w:color w:val="000000"/>
          <w:szCs w:val="24"/>
        </w:rPr>
        <w:fldChar w:fldCharType="end"/>
      </w:r>
      <w:r w:rsidRPr="001D7D5B">
        <w:rPr>
          <w:color w:val="000000"/>
          <w:szCs w:val="24"/>
        </w:rPr>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w:t>
      </w:r>
    </w:p>
    <w:p w14:paraId="2B768BE3" w14:textId="4C582212"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21" w:name="_heading=h.1ksv4uv" w:colFirst="0" w:colLast="0"/>
      <w:bookmarkEnd w:id="21"/>
      <w:r w:rsidRPr="001D7D5B">
        <w:rPr>
          <w:color w:val="000000"/>
          <w:szCs w:val="24"/>
        </w:rPr>
        <w:t>Each review of the BCDR Plan pursuant to Paragraph </w:t>
      </w:r>
      <w:r w:rsidRPr="001D7D5B">
        <w:rPr>
          <w:color w:val="000000"/>
          <w:szCs w:val="24"/>
        </w:rPr>
        <w:fldChar w:fldCharType="begin"/>
      </w:r>
      <w:r w:rsidRPr="001D7D5B">
        <w:rPr>
          <w:color w:val="000000"/>
          <w:szCs w:val="24"/>
        </w:rPr>
        <w:instrText xml:space="preserve"> REF _Ref141084237 \n \h </w:instrText>
      </w:r>
      <w:r w:rsidR="001D7D5B" w:rsidRPr="001D7D5B">
        <w:rPr>
          <w:color w:val="000000"/>
          <w:szCs w:val="24"/>
        </w:rPr>
        <w:instrText xml:space="preserve"> \* MERGEFORMAT </w:instrText>
      </w:r>
      <w:r w:rsidRPr="001D7D5B">
        <w:rPr>
          <w:color w:val="000000"/>
          <w:szCs w:val="24"/>
        </w:rPr>
      </w:r>
      <w:r w:rsidRPr="001D7D5B">
        <w:rPr>
          <w:color w:val="000000"/>
          <w:szCs w:val="24"/>
        </w:rPr>
        <w:fldChar w:fldCharType="separate"/>
      </w:r>
      <w:r w:rsidR="00476382">
        <w:rPr>
          <w:color w:val="000000"/>
          <w:szCs w:val="24"/>
        </w:rPr>
        <w:t>6.1</w:t>
      </w:r>
      <w:r w:rsidRPr="001D7D5B">
        <w:rPr>
          <w:color w:val="000000"/>
          <w:szCs w:val="24"/>
        </w:rPr>
        <w:fldChar w:fldCharType="end"/>
      </w:r>
      <w:r w:rsidRPr="001D7D5B">
        <w:rPr>
          <w:color w:val="000000"/>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w:t>
      </w:r>
    </w:p>
    <w:p w14:paraId="7DE15CED"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22" w:name="_heading=h.44sinio" w:colFirst="0" w:colLast="0"/>
      <w:bookmarkStart w:id="23" w:name="_Ref141083643"/>
      <w:bookmarkEnd w:id="22"/>
      <w:r w:rsidRPr="001D7D5B">
        <w:rPr>
          <w:color w:val="000000"/>
          <w:szCs w:val="24"/>
        </w:rPr>
        <w:lastRenderedPageBreak/>
        <w:t xml:space="preserve">The Supplier shall, within twenty (20) Working Days of the conclusion of each such review of the BCDR Plan, provide to the Buyer a report (a </w:t>
      </w:r>
      <w:r w:rsidRPr="001D7D5B">
        <w:rPr>
          <w:b/>
          <w:color w:val="000000"/>
          <w:szCs w:val="24"/>
        </w:rPr>
        <w:t>"Review Report"</w:t>
      </w:r>
      <w:r w:rsidRPr="001D7D5B">
        <w:rPr>
          <w:color w:val="000000"/>
          <w:szCs w:val="24"/>
        </w:rPr>
        <w:t xml:space="preserve">) setting out the Supplier's proposals (the </w:t>
      </w:r>
      <w:r w:rsidRPr="001D7D5B">
        <w:rPr>
          <w:b/>
          <w:color w:val="000000"/>
          <w:szCs w:val="24"/>
        </w:rPr>
        <w:t>"Supplier's Proposals"</w:t>
      </w:r>
      <w:r w:rsidRPr="001D7D5B">
        <w:rPr>
          <w:color w:val="000000"/>
          <w:szCs w:val="24"/>
        </w:rPr>
        <w:t>) for addressing any changes in the risk profile and its proposals for amendments to the BCDR Plan.</w:t>
      </w:r>
      <w:bookmarkEnd w:id="23"/>
    </w:p>
    <w:p w14:paraId="49B6EBA7"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24" w:name="_heading=h.2jxsxqh" w:colFirst="0" w:colLast="0"/>
      <w:bookmarkEnd w:id="24"/>
      <w:r w:rsidRPr="001D7D5B">
        <w:rPr>
          <w:color w:val="000000"/>
          <w:szCs w:val="24"/>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p>
    <w:p w14:paraId="097B53BE"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5B484CFB"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szCs w:val="24"/>
        </w:rPr>
      </w:pPr>
      <w:bookmarkStart w:id="25" w:name="_heading=h.z337ya" w:colFirst="0" w:colLast="0"/>
      <w:bookmarkStart w:id="26" w:name="_Ref141084222"/>
      <w:bookmarkEnd w:id="25"/>
      <w:r w:rsidRPr="001D7D5B">
        <w:rPr>
          <w:rFonts w:eastAsia="Arial Bold"/>
          <w:b/>
          <w:color w:val="000000"/>
          <w:szCs w:val="24"/>
        </w:rPr>
        <w:t>Testing the BCDR Plan</w:t>
      </w:r>
      <w:bookmarkEnd w:id="26"/>
    </w:p>
    <w:p w14:paraId="7FBE126B"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bookmarkStart w:id="27" w:name="_heading=h.3j2qqm3" w:colFirst="0" w:colLast="0"/>
      <w:bookmarkEnd w:id="27"/>
      <w:r w:rsidRPr="001D7D5B">
        <w:rPr>
          <w:color w:val="000000"/>
          <w:szCs w:val="24"/>
        </w:rPr>
        <w:t xml:space="preserve">The Supplier shall test the BCDR Plan: </w:t>
      </w:r>
    </w:p>
    <w:p w14:paraId="39D59FE3"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701" w:hanging="708"/>
        <w:jc w:val="left"/>
        <w:rPr>
          <w:color w:val="000000"/>
          <w:szCs w:val="24"/>
        </w:rPr>
      </w:pPr>
      <w:r w:rsidRPr="001D7D5B">
        <w:rPr>
          <w:color w:val="000000"/>
          <w:szCs w:val="24"/>
        </w:rPr>
        <w:t>regularly and in any event not less than once in every Contract Year;</w:t>
      </w:r>
    </w:p>
    <w:p w14:paraId="53639B9C"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701" w:hanging="708"/>
        <w:jc w:val="left"/>
        <w:rPr>
          <w:color w:val="000000"/>
          <w:szCs w:val="24"/>
        </w:rPr>
      </w:pPr>
      <w:r w:rsidRPr="001D7D5B">
        <w:rPr>
          <w:color w:val="000000"/>
          <w:szCs w:val="24"/>
        </w:rPr>
        <w:t>in the event of any major reconfiguration of the Deliverables;</w:t>
      </w:r>
    </w:p>
    <w:p w14:paraId="2F5588D6"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701" w:hanging="708"/>
        <w:jc w:val="left"/>
        <w:rPr>
          <w:color w:val="000000"/>
          <w:szCs w:val="24"/>
        </w:rPr>
      </w:pPr>
      <w:r w:rsidRPr="001D7D5B">
        <w:rPr>
          <w:color w:val="000000"/>
          <w:szCs w:val="24"/>
        </w:rPr>
        <w:t>at any time where the Buyer considers it necessary (acting in its sole discretion).</w:t>
      </w:r>
    </w:p>
    <w:p w14:paraId="7F6F596C"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28" w:name="_heading=h.1y810tw" w:colFirst="0" w:colLast="0"/>
      <w:bookmarkEnd w:id="28"/>
      <w:r w:rsidRPr="001D7D5B">
        <w:rPr>
          <w:color w:val="000000"/>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6DC682B6"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w:t>
      </w:r>
    </w:p>
    <w:p w14:paraId="73917155"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2DB5B567"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Supplier shall, within twenty (20) Working Days of the conclusion of each test, provide to the Buyer a report setting out:</w:t>
      </w:r>
    </w:p>
    <w:p w14:paraId="2EFCFD12"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the outcome of the test;</w:t>
      </w:r>
    </w:p>
    <w:p w14:paraId="3A856E69"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lastRenderedPageBreak/>
        <w:t>any failures in the BCDR Plan (including the BCDR Plan's procedures) revealed by the test; and</w:t>
      </w:r>
    </w:p>
    <w:p w14:paraId="2BE987F0"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the Supplier's proposals for remedying any such failures.</w:t>
      </w:r>
    </w:p>
    <w:p w14:paraId="3910DB34"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29" w:name="_heading=h.4i7ojhp" w:colFirst="0" w:colLast="0"/>
      <w:bookmarkEnd w:id="29"/>
      <w:r w:rsidRPr="001D7D5B">
        <w:rPr>
          <w:color w:val="000000"/>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56B62BA3"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szCs w:val="24"/>
        </w:rPr>
      </w:pPr>
      <w:bookmarkStart w:id="30" w:name="_heading=h.2xcytpi" w:colFirst="0" w:colLast="0"/>
      <w:bookmarkEnd w:id="30"/>
      <w:r w:rsidRPr="001D7D5B">
        <w:rPr>
          <w:rFonts w:eastAsia="Arial Bold"/>
          <w:b/>
          <w:color w:val="000000"/>
          <w:szCs w:val="24"/>
        </w:rPr>
        <w:t>Invoking the BCDR Plan</w:t>
      </w:r>
    </w:p>
    <w:p w14:paraId="25B4EC93" w14:textId="77777777" w:rsidR="005C0911" w:rsidRPr="001D7D5B" w:rsidRDefault="00A347C3" w:rsidP="004B25D0">
      <w:pPr>
        <w:spacing w:before="120" w:after="120"/>
        <w:ind w:left="426"/>
        <w:jc w:val="left"/>
        <w:rPr>
          <w:szCs w:val="24"/>
        </w:rPr>
      </w:pPr>
      <w:r w:rsidRPr="001D7D5B">
        <w:rPr>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28E48D82" w14:textId="5D139695"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color w:val="000000"/>
          <w:szCs w:val="24"/>
        </w:rPr>
      </w:pPr>
      <w:r w:rsidRPr="001D7D5B">
        <w:rPr>
          <w:rFonts w:eastAsia="Arial Bold"/>
          <w:b/>
          <w:color w:val="000000"/>
          <w:szCs w:val="24"/>
        </w:rPr>
        <w:t>Circumstances beyond your control</w:t>
      </w:r>
    </w:p>
    <w:p w14:paraId="5384ABE4" w14:textId="3FAE6365" w:rsidR="0011497D" w:rsidRPr="001D7D5B" w:rsidRDefault="0011497D" w:rsidP="005E206D">
      <w:pPr>
        <w:spacing w:before="120" w:after="120"/>
        <w:ind w:left="426"/>
        <w:rPr>
          <w:szCs w:val="24"/>
        </w:rPr>
      </w:pPr>
      <w:r w:rsidRPr="001D7D5B">
        <w:rPr>
          <w:szCs w:val="24"/>
        </w:rPr>
        <w:t xml:space="preserve">The Supplier shall not be entitled to relief under Clause </w:t>
      </w:r>
      <w:r w:rsidRPr="001D7D5B">
        <w:rPr>
          <w:szCs w:val="24"/>
          <w:lang w:eastAsia="en-GB"/>
        </w:rPr>
        <w:t>23</w:t>
      </w:r>
      <w:r w:rsidRPr="001D7D5B">
        <w:rPr>
          <w:szCs w:val="24"/>
        </w:rPr>
        <w:t xml:space="preserve"> </w:t>
      </w:r>
      <w:r w:rsidRPr="000F6318">
        <w:rPr>
          <w:i/>
          <w:szCs w:val="24"/>
        </w:rPr>
        <w:t>(Circumstances beyond your control)</w:t>
      </w:r>
      <w:r w:rsidRPr="001D7D5B">
        <w:rPr>
          <w:szCs w:val="24"/>
        </w:rPr>
        <w:t xml:space="preserve"> </w:t>
      </w:r>
      <w:r w:rsidR="00F5423E">
        <w:rPr>
          <w:szCs w:val="24"/>
        </w:rPr>
        <w:t xml:space="preserve">of the General Terms </w:t>
      </w:r>
      <w:r w:rsidRPr="001D7D5B">
        <w:rPr>
          <w:szCs w:val="24"/>
        </w:rPr>
        <w:t>if it would not have been impacted by the Force Majeure Event had it not failed to comply with its obligations under this Schedule.</w:t>
      </w:r>
    </w:p>
    <w:p w14:paraId="667DBAAE" w14:textId="77777777" w:rsidR="0011497D" w:rsidRPr="001D7D5B" w:rsidRDefault="00020D3B"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color w:val="000000"/>
          <w:szCs w:val="24"/>
        </w:rPr>
      </w:pPr>
      <w:r w:rsidRPr="001D7D5B">
        <w:rPr>
          <w:rFonts w:eastAsia="Arial Bold"/>
          <w:b/>
          <w:color w:val="000000"/>
          <w:szCs w:val="24"/>
          <w:highlight w:val="yellow"/>
          <w:lang w:eastAsia="en-GB"/>
        </w:rPr>
        <w:t>[Insolvency Continuity Plan (Section 4)</w:t>
      </w:r>
    </w:p>
    <w:p w14:paraId="0D0506FD" w14:textId="77777777" w:rsidR="0011497D" w:rsidRPr="001D7D5B" w:rsidRDefault="00020D3B" w:rsidP="004B25D0">
      <w:pPr>
        <w:keepNext/>
        <w:numPr>
          <w:ilvl w:val="1"/>
          <w:numId w:val="1"/>
        </w:numPr>
        <w:pBdr>
          <w:top w:val="nil"/>
          <w:left w:val="nil"/>
          <w:bottom w:val="nil"/>
          <w:right w:val="nil"/>
          <w:between w:val="nil"/>
        </w:pBdr>
        <w:tabs>
          <w:tab w:val="left" w:pos="0"/>
        </w:tabs>
        <w:spacing w:before="120" w:after="120"/>
        <w:ind w:left="1134" w:hanging="708"/>
        <w:jc w:val="left"/>
        <w:rPr>
          <w:rFonts w:eastAsia="Arial Bold"/>
          <w:color w:val="000000"/>
          <w:szCs w:val="24"/>
        </w:rPr>
      </w:pPr>
      <w:r w:rsidRPr="001D7D5B">
        <w:rPr>
          <w:color w:val="000000"/>
          <w:szCs w:val="24"/>
          <w:highlight w:val="yellow"/>
          <w:lang w:eastAsia="en-GB"/>
        </w:rPr>
        <w:t>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p>
    <w:p w14:paraId="75630912" w14:textId="77777777" w:rsidR="0011497D" w:rsidRPr="001D7D5B" w:rsidRDefault="00020D3B" w:rsidP="004B25D0">
      <w:pPr>
        <w:keepNext/>
        <w:numPr>
          <w:ilvl w:val="1"/>
          <w:numId w:val="1"/>
        </w:numPr>
        <w:pBdr>
          <w:top w:val="nil"/>
          <w:left w:val="nil"/>
          <w:bottom w:val="nil"/>
          <w:right w:val="nil"/>
          <w:between w:val="nil"/>
        </w:pBdr>
        <w:tabs>
          <w:tab w:val="left" w:pos="0"/>
        </w:tabs>
        <w:spacing w:before="120" w:after="120"/>
        <w:ind w:left="1134" w:hanging="708"/>
        <w:jc w:val="left"/>
        <w:rPr>
          <w:rFonts w:eastAsia="Arial Bold"/>
          <w:color w:val="000000"/>
          <w:szCs w:val="24"/>
        </w:rPr>
      </w:pPr>
      <w:r w:rsidRPr="001D7D5B">
        <w:rPr>
          <w:color w:val="000000"/>
          <w:szCs w:val="24"/>
          <w:highlight w:val="yellow"/>
          <w:lang w:eastAsia="en-GB"/>
        </w:rPr>
        <w:t>The Insolvency Continuity Plan shall include the following:</w:t>
      </w:r>
    </w:p>
    <w:p w14:paraId="6634A794" w14:textId="77777777" w:rsidR="0011497D" w:rsidRPr="001D7D5B"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w:t>
      </w:r>
    </w:p>
    <w:p w14:paraId="31BFCD16" w14:textId="77777777" w:rsidR="0011497D" w:rsidRPr="001D7D5B"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identification, explanation, assessment and an impact analysis of risks in respect of dependencies between the Supplier, Key Subcontractors and Supplier Group members where failure of those dependencies could reasonably have an adverse impact on the Deliverables;</w:t>
      </w:r>
    </w:p>
    <w:p w14:paraId="105CF817" w14:textId="77777777" w:rsidR="0011497D" w:rsidRPr="001D7D5B"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plans to manage and mitigate identified risks;</w:t>
      </w:r>
    </w:p>
    <w:p w14:paraId="508B1228" w14:textId="77777777" w:rsidR="0011497D" w:rsidRPr="001D7D5B"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 xml:space="preserve">details of the roles and responsibilities of the Supplier, Key Subcontractors and/or Supplier Group members to minimise and </w:t>
      </w:r>
      <w:r w:rsidRPr="001D7D5B">
        <w:rPr>
          <w:color w:val="000000"/>
          <w:szCs w:val="24"/>
          <w:highlight w:val="yellow"/>
          <w:lang w:eastAsia="en-GB"/>
        </w:rPr>
        <w:lastRenderedPageBreak/>
        <w:t>mitigate the effects of an Insolvency Event of such persons on the Deliverables;</w:t>
      </w:r>
    </w:p>
    <w:p w14:paraId="4AD31E7C" w14:textId="77777777" w:rsidR="0011497D" w:rsidRPr="001D7D5B"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details of the recovery team to be put in place by the Supplier (which may include representatives of the Supplier, Key Subcontractors and Supplier Group members); and</w:t>
      </w:r>
    </w:p>
    <w:p w14:paraId="11CE82CF" w14:textId="77777777" w:rsidR="0011497D" w:rsidRPr="001D7D5B"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sufficient detail to enable an appointed insolvency practitioner to invoke the plan in the event of an Insolvency Event of the Supplier.</w:t>
      </w:r>
    </w:p>
    <w:p w14:paraId="6DB30A9D" w14:textId="61865E4D" w:rsidR="0011497D" w:rsidRPr="001D7D5B" w:rsidRDefault="00020D3B" w:rsidP="004B25D0">
      <w:pPr>
        <w:keepNext/>
        <w:numPr>
          <w:ilvl w:val="1"/>
          <w:numId w:val="1"/>
        </w:numPr>
        <w:pBdr>
          <w:top w:val="nil"/>
          <w:left w:val="nil"/>
          <w:bottom w:val="nil"/>
          <w:right w:val="nil"/>
          <w:between w:val="nil"/>
        </w:pBdr>
        <w:tabs>
          <w:tab w:val="left" w:pos="0"/>
        </w:tabs>
        <w:spacing w:before="120" w:after="120"/>
        <w:ind w:left="1134" w:hanging="708"/>
        <w:jc w:val="left"/>
        <w:rPr>
          <w:rFonts w:eastAsia="Arial Bold"/>
          <w:color w:val="000000"/>
          <w:szCs w:val="24"/>
        </w:rPr>
      </w:pPr>
      <w:r w:rsidRPr="001D7D5B">
        <w:rPr>
          <w:color w:val="000000"/>
          <w:szCs w:val="24"/>
          <w:highlight w:val="yellow"/>
          <w:lang w:eastAsia="en-GB"/>
        </w:rPr>
        <w:t xml:space="preserve">Paragraph </w:t>
      </w:r>
      <w:r w:rsidR="0011497D" w:rsidRPr="001D7D5B">
        <w:rPr>
          <w:color w:val="000000"/>
          <w:szCs w:val="24"/>
          <w:highlight w:val="yellow"/>
          <w:lang w:eastAsia="en-GB"/>
        </w:rPr>
        <w:t>3</w:t>
      </w:r>
      <w:r w:rsidRPr="001D7D5B">
        <w:rPr>
          <w:color w:val="000000"/>
          <w:szCs w:val="24"/>
          <w:highlight w:val="yellow"/>
          <w:lang w:eastAsia="en-GB"/>
        </w:rPr>
        <w:t xml:space="preserve">.1.6(c) is amended with the addition of the </w:t>
      </w:r>
      <w:r w:rsidR="0011497D" w:rsidRPr="001D7D5B">
        <w:rPr>
          <w:color w:val="000000"/>
          <w:szCs w:val="24"/>
          <w:highlight w:val="yellow"/>
          <w:lang w:eastAsia="en-GB"/>
        </w:rPr>
        <w:t xml:space="preserve">following </w:t>
      </w:r>
      <w:r w:rsidRPr="001D7D5B">
        <w:rPr>
          <w:color w:val="000000"/>
          <w:szCs w:val="24"/>
          <w:highlight w:val="yellow"/>
          <w:lang w:eastAsia="en-GB"/>
        </w:rPr>
        <w:t>words</w:t>
      </w:r>
      <w:r w:rsidR="0011497D" w:rsidRPr="001D7D5B">
        <w:rPr>
          <w:color w:val="000000"/>
          <w:szCs w:val="24"/>
          <w:highlight w:val="yellow"/>
          <w:lang w:eastAsia="en-GB"/>
        </w:rPr>
        <w:t xml:space="preserve"> at the end of the Paragraph</w:t>
      </w:r>
      <w:r w:rsidRPr="001D7D5B">
        <w:rPr>
          <w:color w:val="000000"/>
          <w:szCs w:val="24"/>
          <w:highlight w:val="yellow"/>
          <w:lang w:eastAsia="en-GB"/>
        </w:rPr>
        <w:t>:</w:t>
      </w:r>
    </w:p>
    <w:p w14:paraId="17D6D739" w14:textId="4B28A40F" w:rsidR="0011497D" w:rsidRPr="001D7D5B" w:rsidRDefault="004B25D0" w:rsidP="004B25D0">
      <w:pPr>
        <w:keepNext/>
        <w:pBdr>
          <w:top w:val="nil"/>
          <w:left w:val="nil"/>
          <w:bottom w:val="nil"/>
          <w:right w:val="nil"/>
          <w:between w:val="nil"/>
        </w:pBdr>
        <w:tabs>
          <w:tab w:val="left" w:pos="0"/>
        </w:tabs>
        <w:spacing w:before="120" w:after="120"/>
        <w:ind w:left="1134" w:hanging="708"/>
        <w:jc w:val="left"/>
        <w:rPr>
          <w:rFonts w:eastAsia="Arial Bold"/>
          <w:color w:val="000000"/>
          <w:szCs w:val="24"/>
        </w:rPr>
      </w:pPr>
      <w:r>
        <w:rPr>
          <w:color w:val="000000"/>
          <w:szCs w:val="24"/>
          <w:highlight w:val="yellow"/>
          <w:lang w:eastAsia="en-GB"/>
        </w:rPr>
        <w:tab/>
      </w:r>
      <w:r w:rsidR="00020D3B" w:rsidRPr="001D7D5B">
        <w:rPr>
          <w:color w:val="000000"/>
          <w:szCs w:val="24"/>
          <w:highlight w:val="yellow"/>
          <w:lang w:eastAsia="en-GB"/>
        </w:rPr>
        <w:t>as may be more fully described in the Insolvency Continuity Plan</w:t>
      </w:r>
    </w:p>
    <w:p w14:paraId="6D031E68" w14:textId="71804179" w:rsidR="0011497D" w:rsidRPr="001D7D5B" w:rsidRDefault="004B25D0" w:rsidP="004B25D0">
      <w:pPr>
        <w:keepNext/>
        <w:numPr>
          <w:ilvl w:val="1"/>
          <w:numId w:val="1"/>
        </w:numPr>
        <w:pBdr>
          <w:top w:val="nil"/>
          <w:left w:val="nil"/>
          <w:bottom w:val="nil"/>
          <w:right w:val="nil"/>
          <w:between w:val="nil"/>
        </w:pBdr>
        <w:tabs>
          <w:tab w:val="left" w:pos="0"/>
        </w:tabs>
        <w:spacing w:before="120" w:after="120"/>
        <w:ind w:left="1134" w:hanging="708"/>
        <w:jc w:val="left"/>
        <w:rPr>
          <w:rFonts w:eastAsia="Arial Bold"/>
          <w:color w:val="000000"/>
          <w:szCs w:val="24"/>
        </w:rPr>
      </w:pPr>
      <w:r>
        <w:rPr>
          <w:color w:val="000000"/>
          <w:szCs w:val="24"/>
          <w:highlight w:val="yellow"/>
          <w:lang w:eastAsia="en-GB"/>
        </w:rPr>
        <w:t>Add new P</w:t>
      </w:r>
      <w:r w:rsidR="00020D3B" w:rsidRPr="001D7D5B">
        <w:rPr>
          <w:color w:val="000000"/>
          <w:szCs w:val="24"/>
          <w:highlight w:val="yellow"/>
          <w:lang w:eastAsia="en-GB"/>
        </w:rPr>
        <w:t xml:space="preserve">aragraph </w:t>
      </w:r>
      <w:r w:rsidR="0011497D" w:rsidRPr="001D7D5B">
        <w:rPr>
          <w:color w:val="000000"/>
          <w:szCs w:val="24"/>
          <w:highlight w:val="yellow"/>
          <w:lang w:eastAsia="en-GB"/>
        </w:rPr>
        <w:t>3</w:t>
      </w:r>
      <w:r w:rsidR="00020D3B" w:rsidRPr="001D7D5B">
        <w:rPr>
          <w:color w:val="000000"/>
          <w:szCs w:val="24"/>
          <w:highlight w:val="yellow"/>
          <w:lang w:eastAsia="en-GB"/>
        </w:rPr>
        <w:t>.1.15:</w:t>
      </w:r>
    </w:p>
    <w:p w14:paraId="550938F9" w14:textId="1969245A" w:rsidR="0011497D" w:rsidRPr="001D7D5B" w:rsidRDefault="0011497D" w:rsidP="004B25D0">
      <w:pPr>
        <w:keepNext/>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3.1.15</w:t>
      </w:r>
      <w:r w:rsidRPr="001D7D5B">
        <w:rPr>
          <w:color w:val="000000"/>
          <w:szCs w:val="24"/>
          <w:highlight w:val="yellow"/>
          <w:lang w:eastAsia="en-GB"/>
        </w:rPr>
        <w:tab/>
      </w:r>
      <w:r w:rsidR="00020D3B" w:rsidRPr="001D7D5B">
        <w:rPr>
          <w:color w:val="000000"/>
          <w:szCs w:val="24"/>
          <w:highlight w:val="yellow"/>
          <w:lang w:eastAsia="en-GB"/>
        </w:rPr>
        <w:t>set out how the business continuity and disaster recovery elements of the BCDR Plan link to the Insolvency Continuity Plan, and how the Insolvency Continuity Plan links to the business continuity and disaster recovery elements of the BCDR Plan;</w:t>
      </w:r>
    </w:p>
    <w:p w14:paraId="3AE1C1FE" w14:textId="5E52A54B" w:rsidR="00E776E4" w:rsidRPr="001D7D5B" w:rsidRDefault="004B25D0" w:rsidP="004B25D0">
      <w:pPr>
        <w:keepNext/>
        <w:numPr>
          <w:ilvl w:val="1"/>
          <w:numId w:val="1"/>
        </w:numPr>
        <w:pBdr>
          <w:top w:val="nil"/>
          <w:left w:val="nil"/>
          <w:bottom w:val="nil"/>
          <w:right w:val="nil"/>
          <w:between w:val="nil"/>
        </w:pBdr>
        <w:tabs>
          <w:tab w:val="left" w:pos="0"/>
        </w:tabs>
        <w:spacing w:before="120" w:after="120"/>
        <w:ind w:left="1134" w:hanging="708"/>
        <w:jc w:val="left"/>
        <w:rPr>
          <w:rFonts w:eastAsia="Arial Bold"/>
          <w:color w:val="000000"/>
          <w:szCs w:val="24"/>
        </w:rPr>
      </w:pPr>
      <w:r>
        <w:rPr>
          <w:color w:val="000000"/>
          <w:szCs w:val="24"/>
          <w:highlight w:val="yellow"/>
          <w:lang w:eastAsia="en-GB"/>
        </w:rPr>
        <w:t>Add new P</w:t>
      </w:r>
      <w:r w:rsidR="00020D3B" w:rsidRPr="001D7D5B">
        <w:rPr>
          <w:color w:val="000000"/>
          <w:szCs w:val="24"/>
          <w:highlight w:val="yellow"/>
          <w:lang w:eastAsia="en-GB"/>
        </w:rPr>
        <w:t xml:space="preserve">aragraph </w:t>
      </w:r>
      <w:r w:rsidR="0011497D" w:rsidRPr="001D7D5B">
        <w:rPr>
          <w:color w:val="000000"/>
          <w:szCs w:val="24"/>
          <w:highlight w:val="yellow"/>
          <w:lang w:eastAsia="en-GB"/>
        </w:rPr>
        <w:t>8</w:t>
      </w:r>
      <w:r w:rsidR="00020D3B" w:rsidRPr="001D7D5B">
        <w:rPr>
          <w:color w:val="000000"/>
          <w:szCs w:val="24"/>
          <w:highlight w:val="yellow"/>
          <w:lang w:eastAsia="en-GB"/>
        </w:rPr>
        <w:t>.2:</w:t>
      </w:r>
    </w:p>
    <w:p w14:paraId="630C7EC6" w14:textId="77777777" w:rsidR="0011497D" w:rsidRPr="001D7D5B" w:rsidRDefault="0011497D" w:rsidP="004B25D0">
      <w:pPr>
        <w:pBdr>
          <w:top w:val="nil"/>
          <w:left w:val="nil"/>
          <w:bottom w:val="nil"/>
          <w:right w:val="nil"/>
          <w:between w:val="nil"/>
        </w:pBdr>
        <w:spacing w:before="120" w:after="120"/>
        <w:ind w:left="1985" w:hanging="851"/>
        <w:jc w:val="left"/>
        <w:rPr>
          <w:color w:val="000000"/>
          <w:szCs w:val="24"/>
          <w:highlight w:val="yellow"/>
          <w:lang w:eastAsia="en-GB"/>
        </w:rPr>
      </w:pPr>
      <w:r w:rsidRPr="001D7D5B">
        <w:rPr>
          <w:color w:val="000000"/>
          <w:szCs w:val="24"/>
          <w:highlight w:val="yellow"/>
          <w:lang w:eastAsia="en-GB"/>
        </w:rPr>
        <w:t>7.2</w:t>
      </w:r>
      <w:r w:rsidRPr="001D7D5B">
        <w:rPr>
          <w:color w:val="000000"/>
          <w:szCs w:val="24"/>
          <w:highlight w:val="yellow"/>
          <w:lang w:eastAsia="en-GB"/>
        </w:rPr>
        <w:tab/>
      </w:r>
      <w:r w:rsidR="00020D3B" w:rsidRPr="001D7D5B">
        <w:rPr>
          <w:color w:val="000000"/>
          <w:szCs w:val="24"/>
          <w:highlight w:val="yellow"/>
          <w:lang w:eastAsia="en-GB"/>
        </w:rPr>
        <w:t>The Insolvency Continuity Plan element of the BCDR Plan, including any linked elements in other parts of the BCDR Plan, shall be invoked by the Supplier:</w:t>
      </w:r>
    </w:p>
    <w:p w14:paraId="19CBE289" w14:textId="77777777" w:rsidR="0011497D" w:rsidRPr="001D7D5B" w:rsidRDefault="0011497D" w:rsidP="005E206D">
      <w:pPr>
        <w:pBdr>
          <w:top w:val="nil"/>
          <w:left w:val="nil"/>
          <w:bottom w:val="nil"/>
          <w:right w:val="nil"/>
          <w:between w:val="nil"/>
        </w:pBdr>
        <w:spacing w:before="120" w:after="120"/>
        <w:ind w:left="1985" w:hanging="851"/>
        <w:jc w:val="left"/>
        <w:rPr>
          <w:color w:val="000000"/>
          <w:szCs w:val="24"/>
          <w:highlight w:val="yellow"/>
          <w:lang w:eastAsia="en-GB"/>
        </w:rPr>
      </w:pPr>
      <w:r w:rsidRPr="001D7D5B">
        <w:rPr>
          <w:color w:val="000000"/>
          <w:szCs w:val="24"/>
          <w:highlight w:val="yellow"/>
          <w:lang w:eastAsia="en-GB"/>
        </w:rPr>
        <w:t>7.2.1</w:t>
      </w:r>
      <w:r w:rsidRPr="001D7D5B">
        <w:rPr>
          <w:color w:val="000000"/>
          <w:szCs w:val="24"/>
          <w:highlight w:val="yellow"/>
          <w:lang w:eastAsia="en-GB"/>
        </w:rPr>
        <w:tab/>
      </w:r>
      <w:r w:rsidR="00020D3B" w:rsidRPr="001D7D5B">
        <w:rPr>
          <w:color w:val="000000"/>
          <w:szCs w:val="24"/>
          <w:highlight w:val="yellow"/>
          <w:lang w:eastAsia="en-GB"/>
        </w:rPr>
        <w:t>where an Insolvency Event of a Key Sub-contractor and/or Supplier Group member (other than the Supplier) could reasonably be expected to adversely affect delivery of the Deliverables; and/or</w:t>
      </w:r>
    </w:p>
    <w:p w14:paraId="61F57472" w14:textId="1EE326A2" w:rsidR="00E776E4" w:rsidRPr="001D7D5B" w:rsidRDefault="0011497D" w:rsidP="005E206D">
      <w:pPr>
        <w:pBdr>
          <w:top w:val="nil"/>
          <w:left w:val="nil"/>
          <w:bottom w:val="nil"/>
          <w:right w:val="nil"/>
          <w:between w:val="nil"/>
        </w:pBdr>
        <w:spacing w:before="120" w:after="120"/>
        <w:ind w:left="1985" w:hanging="851"/>
        <w:jc w:val="left"/>
        <w:rPr>
          <w:color w:val="000000"/>
          <w:szCs w:val="24"/>
          <w:highlight w:val="yellow"/>
          <w:lang w:eastAsia="en-GB"/>
        </w:rPr>
      </w:pPr>
      <w:r w:rsidRPr="001D7D5B">
        <w:rPr>
          <w:color w:val="000000"/>
          <w:szCs w:val="24"/>
          <w:highlight w:val="yellow"/>
          <w:lang w:eastAsia="en-GB"/>
        </w:rPr>
        <w:t>7.2.2</w:t>
      </w:r>
      <w:r w:rsidRPr="001D7D5B">
        <w:rPr>
          <w:color w:val="000000"/>
          <w:szCs w:val="24"/>
          <w:highlight w:val="yellow"/>
          <w:lang w:eastAsia="en-GB"/>
        </w:rPr>
        <w:tab/>
      </w:r>
      <w:r w:rsidR="00020D3B" w:rsidRPr="001D7D5B">
        <w:rPr>
          <w:color w:val="000000"/>
          <w:szCs w:val="24"/>
          <w:highlight w:val="yellow"/>
          <w:lang w:eastAsia="en-GB"/>
        </w:rPr>
        <w:t>where there is an Insolvency Event of the Supplier and the insolvency arrangements enable the Supplier to invoke the plan.</w:t>
      </w:r>
    </w:p>
    <w:p w14:paraId="20812158" w14:textId="77777777" w:rsidR="00E776E4" w:rsidRPr="001D7D5B" w:rsidRDefault="00E776E4" w:rsidP="005E206D">
      <w:pPr>
        <w:spacing w:before="120" w:after="120"/>
        <w:rPr>
          <w:szCs w:val="24"/>
        </w:rPr>
      </w:pPr>
    </w:p>
    <w:p w14:paraId="1E53A310" w14:textId="77777777" w:rsidR="00E776E4" w:rsidRPr="001D7D5B" w:rsidRDefault="00E776E4" w:rsidP="005E206D">
      <w:pPr>
        <w:spacing w:before="120" w:after="120"/>
        <w:rPr>
          <w:szCs w:val="24"/>
        </w:rPr>
      </w:pPr>
    </w:p>
    <w:sectPr w:rsidR="00E776E4" w:rsidRPr="001D7D5B" w:rsidSect="0011497D">
      <w:headerReference w:type="default" r:id="rId9"/>
      <w:footerReference w:type="default" r:id="rId10"/>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7BFA4" w14:textId="77777777" w:rsidR="000A69AE" w:rsidRDefault="000A69AE">
      <w:pPr>
        <w:spacing w:after="0"/>
      </w:pPr>
      <w:r>
        <w:separator/>
      </w:r>
    </w:p>
  </w:endnote>
  <w:endnote w:type="continuationSeparator" w:id="0">
    <w:p w14:paraId="02480825" w14:textId="77777777" w:rsidR="000A69AE" w:rsidRDefault="000A69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6628058"/>
      <w:docPartObj>
        <w:docPartGallery w:val="Page Numbers (Bottom of Page)"/>
        <w:docPartUnique/>
      </w:docPartObj>
    </w:sdtPr>
    <w:sdtEndPr>
      <w:rPr>
        <w:color w:val="000000"/>
        <w:lang w:eastAsia="en-GB"/>
      </w:rPr>
    </w:sdtEndPr>
    <w:sdtContent>
      <w:p w14:paraId="6CCBE557" w14:textId="77777777" w:rsidR="003D217A" w:rsidRPr="000678CC" w:rsidRDefault="003D217A" w:rsidP="003D217A">
        <w:pPr>
          <w:pStyle w:val="Footer"/>
          <w:ind w:left="0"/>
          <w:jc w:val="right"/>
          <w:rPr>
            <w:color w:val="000000"/>
            <w:sz w:val="20"/>
            <w:szCs w:val="20"/>
            <w:lang w:eastAsia="en-GB"/>
          </w:rPr>
        </w:pPr>
        <w:r w:rsidRPr="000678CC">
          <w:rPr>
            <w:color w:val="000000"/>
            <w:sz w:val="20"/>
            <w:szCs w:val="20"/>
            <w:lang w:eastAsia="en-GB"/>
          </w:rPr>
          <w:fldChar w:fldCharType="begin"/>
        </w:r>
        <w:r w:rsidRPr="000678CC">
          <w:rPr>
            <w:color w:val="000000"/>
            <w:sz w:val="20"/>
            <w:szCs w:val="20"/>
            <w:lang w:eastAsia="en-GB"/>
          </w:rPr>
          <w:instrText xml:space="preserve"> PAGE   \* MERGEFORMAT </w:instrText>
        </w:r>
        <w:r w:rsidRPr="000678CC">
          <w:rPr>
            <w:color w:val="000000"/>
            <w:sz w:val="20"/>
            <w:szCs w:val="20"/>
            <w:lang w:eastAsia="en-GB"/>
          </w:rPr>
          <w:fldChar w:fldCharType="separate"/>
        </w:r>
        <w:r w:rsidRPr="000678CC">
          <w:rPr>
            <w:color w:val="000000"/>
            <w:sz w:val="20"/>
            <w:szCs w:val="20"/>
            <w:lang w:eastAsia="en-GB"/>
          </w:rPr>
          <w:t>2</w:t>
        </w:r>
        <w:r w:rsidRPr="000678CC">
          <w:rPr>
            <w:color w:val="000000"/>
            <w:sz w:val="20"/>
            <w:szCs w:val="20"/>
            <w:lang w:eastAsia="en-GB"/>
          </w:rPr>
          <w:fldChar w:fldCharType="end"/>
        </w:r>
      </w:p>
    </w:sdtContent>
  </w:sdt>
  <w:p w14:paraId="0D555EEA" w14:textId="77777777" w:rsidR="003D217A" w:rsidRPr="003D217A" w:rsidRDefault="003D217A" w:rsidP="003D217A">
    <w:pPr>
      <w:pStyle w:val="Footer"/>
      <w:ind w:left="0"/>
      <w:rPr>
        <w:sz w:val="20"/>
        <w:szCs w:val="20"/>
      </w:rPr>
    </w:pPr>
    <w:r w:rsidRPr="003D217A">
      <w:rPr>
        <w:sz w:val="20"/>
        <w:szCs w:val="20"/>
      </w:rPr>
      <w:t>Framework Ref: RM1557.15</w:t>
    </w:r>
  </w:p>
  <w:p w14:paraId="1F26F520" w14:textId="77777777" w:rsidR="003D217A" w:rsidRPr="003D217A" w:rsidRDefault="003D217A" w:rsidP="003D217A">
    <w:pPr>
      <w:pStyle w:val="Footer"/>
      <w:ind w:left="0"/>
      <w:rPr>
        <w:sz w:val="20"/>
        <w:szCs w:val="20"/>
      </w:rPr>
    </w:pPr>
    <w:r w:rsidRPr="003D217A">
      <w:rPr>
        <w:sz w:val="20"/>
        <w:szCs w:val="20"/>
      </w:rPr>
      <w:t xml:space="preserve">Project Version: v1.0                                                                     </w:t>
    </w:r>
  </w:p>
  <w:p w14:paraId="3496965B" w14:textId="77777777" w:rsidR="003D217A" w:rsidRPr="003D217A" w:rsidRDefault="003D217A" w:rsidP="003D217A">
    <w:pPr>
      <w:pStyle w:val="Footer"/>
      <w:ind w:left="0"/>
      <w:rPr>
        <w:sz w:val="20"/>
        <w:szCs w:val="20"/>
      </w:rPr>
    </w:pPr>
    <w:r w:rsidRPr="003D217A">
      <w:rPr>
        <w:sz w:val="20"/>
        <w:szCs w:val="20"/>
      </w:rPr>
      <w:t>Model Version: v1.0 PA</w:t>
    </w:r>
  </w:p>
  <w:p w14:paraId="7589C492" w14:textId="77777777" w:rsidR="003D217A" w:rsidRDefault="003D2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4B26" w14:textId="77777777" w:rsidR="000A69AE" w:rsidRDefault="000A69AE">
      <w:pPr>
        <w:spacing w:after="0"/>
      </w:pPr>
      <w:r>
        <w:separator/>
      </w:r>
    </w:p>
  </w:footnote>
  <w:footnote w:type="continuationSeparator" w:id="0">
    <w:p w14:paraId="3DEF5215" w14:textId="77777777" w:rsidR="000A69AE" w:rsidRDefault="000A69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80AA" w14:textId="7A2C5753" w:rsidR="005D3C2B" w:rsidRPr="00951857" w:rsidRDefault="005D3C2B" w:rsidP="00651AE9">
    <w:pPr>
      <w:tabs>
        <w:tab w:val="center" w:pos="4513"/>
        <w:tab w:val="right" w:pos="9026"/>
      </w:tabs>
      <w:spacing w:after="0"/>
      <w:ind w:left="0"/>
      <w:rPr>
        <w:sz w:val="22"/>
      </w:rPr>
    </w:pPr>
    <w:r w:rsidRPr="00951857">
      <w:rPr>
        <w:b/>
        <w:sz w:val="22"/>
      </w:rPr>
      <w:t>Call-Off Schedule 8 (Business Continuity and Disaster Recovery)</w:t>
    </w:r>
  </w:p>
  <w:p w14:paraId="1141D087" w14:textId="77777777" w:rsidR="005D3C2B" w:rsidRPr="00951857" w:rsidRDefault="005D3C2B" w:rsidP="00651AE9">
    <w:pPr>
      <w:tabs>
        <w:tab w:val="center" w:pos="4513"/>
        <w:tab w:val="right" w:pos="9026"/>
      </w:tabs>
      <w:spacing w:after="0"/>
      <w:ind w:left="0"/>
      <w:rPr>
        <w:sz w:val="22"/>
      </w:rPr>
    </w:pPr>
    <w:r w:rsidRPr="00951857">
      <w:rPr>
        <w:sz w:val="22"/>
      </w:rPr>
      <w:t>Call-Off Ref:</w:t>
    </w:r>
  </w:p>
  <w:p w14:paraId="3E9859B2" w14:textId="4D1BAC53" w:rsidR="005D3C2B" w:rsidRDefault="005D3C2B" w:rsidP="001F4F65">
    <w:pPr>
      <w:tabs>
        <w:tab w:val="center" w:pos="4513"/>
        <w:tab w:val="right" w:pos="9026"/>
      </w:tabs>
      <w:spacing w:after="0"/>
      <w:ind w:left="0"/>
      <w:rPr>
        <w:sz w:val="22"/>
      </w:rPr>
    </w:pPr>
    <w:r w:rsidRPr="00951857">
      <w:rPr>
        <w:sz w:val="22"/>
      </w:rPr>
      <w:t>Crown Copyright 2025</w:t>
    </w:r>
  </w:p>
  <w:p w14:paraId="39AED833" w14:textId="77777777" w:rsidR="001F4F65" w:rsidRPr="001F4F65" w:rsidRDefault="001F4F65" w:rsidP="001F4F65">
    <w:pPr>
      <w:tabs>
        <w:tab w:val="center" w:pos="4513"/>
        <w:tab w:val="right" w:pos="9026"/>
      </w:tabs>
      <w:spacing w:after="0"/>
      <w:ind w:left="0"/>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2EC8"/>
    <w:multiLevelType w:val="multilevel"/>
    <w:tmpl w:val="6504BA9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03D62EC9"/>
    <w:multiLevelType w:val="multilevel"/>
    <w:tmpl w:val="414E9B96"/>
    <w:lvl w:ilvl="0">
      <w:start w:val="1"/>
      <w:numFmt w:val="decimal"/>
      <w:lvlText w:val="%1."/>
      <w:lvlJc w:val="left"/>
      <w:pPr>
        <w:ind w:left="720" w:hanging="720"/>
      </w:pPr>
      <w:rPr>
        <w:smallCaps w:val="0"/>
        <w:strike w:val="0"/>
        <w:color w:val="000000"/>
        <w:u w:val="none"/>
        <w:vertAlign w:val="baseline"/>
      </w:rPr>
    </w:lvl>
    <w:lvl w:ilvl="1">
      <w:start w:val="2"/>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03D62ECA"/>
    <w:multiLevelType w:val="multilevel"/>
    <w:tmpl w:val="34DC244A"/>
    <w:lvl w:ilvl="0">
      <w:start w:val="1"/>
      <w:numFmt w:val="decimal"/>
      <w:lvlText w:val="%1."/>
      <w:lvlJc w:val="left"/>
      <w:pPr>
        <w:ind w:left="720" w:hanging="720"/>
      </w:pPr>
      <w:rPr>
        <w:smallCaps w:val="0"/>
        <w:strike w:val="0"/>
        <w:color w:val="000000"/>
        <w:u w:val="none"/>
        <w:vertAlign w:val="baseline"/>
      </w:rPr>
    </w:lvl>
    <w:lvl w:ilvl="1">
      <w:start w:val="3"/>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03D62ECB"/>
    <w:multiLevelType w:val="multilevel"/>
    <w:tmpl w:val="7D0CC9C6"/>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4"/>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03D62ECC"/>
    <w:multiLevelType w:val="multilevel"/>
    <w:tmpl w:val="577E1232"/>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7"/>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03D62ECD"/>
    <w:multiLevelType w:val="multilevel"/>
    <w:tmpl w:val="52ACE606"/>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 w15:restartNumberingAfterBreak="0">
    <w:nsid w:val="03D62ECE"/>
    <w:multiLevelType w:val="multilevel"/>
    <w:tmpl w:val="38A6B1EA"/>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2"/>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 w15:restartNumberingAfterBreak="0">
    <w:nsid w:val="03D62ECF"/>
    <w:multiLevelType w:val="multilevel"/>
    <w:tmpl w:val="F670D5A2"/>
    <w:lvl w:ilvl="0">
      <w:start w:val="2"/>
      <w:numFmt w:val="decimal"/>
      <w:lvlText w:val="%1."/>
      <w:lvlJc w:val="left"/>
      <w:pPr>
        <w:ind w:left="720" w:hanging="720"/>
      </w:pPr>
      <w:rPr>
        <w:smallCaps w:val="0"/>
        <w:strike w:val="0"/>
        <w:color w:val="000000"/>
        <w:u w:val="none"/>
        <w:vertAlign w:val="baseline"/>
      </w:rPr>
    </w:lvl>
    <w:lvl w:ilvl="1">
      <w:start w:val="4"/>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 w15:restartNumberingAfterBreak="0">
    <w:nsid w:val="03D62ED0"/>
    <w:multiLevelType w:val="multilevel"/>
    <w:tmpl w:val="5BF0A296"/>
    <w:lvl w:ilvl="0">
      <w:start w:val="3"/>
      <w:numFmt w:val="decimal"/>
      <w:lvlText w:val="%1."/>
      <w:lvlJc w:val="left"/>
      <w:pPr>
        <w:ind w:left="720" w:hanging="720"/>
      </w:pPr>
      <w:rPr>
        <w:smallCaps w:val="0"/>
        <w:strike w:val="0"/>
        <w:color w:val="000000"/>
        <w:u w:val="none"/>
        <w:vertAlign w:val="baseline"/>
      </w:rPr>
    </w:lvl>
    <w:lvl w:ilvl="1">
      <w:start w:val="2"/>
      <w:numFmt w:val="decimal"/>
      <w:lvlText w:val="%1.%2"/>
      <w:lvlJc w:val="left"/>
      <w:pPr>
        <w:ind w:left="720" w:hanging="720"/>
      </w:pPr>
      <w:rPr>
        <w:rFonts w:ascii="Arial" w:eastAsia="Arial" w:hAnsi="Arial" w:cs="Arial"/>
        <w:i w:val="0"/>
        <w:smallCaps w:val="0"/>
        <w:strike w:val="0"/>
        <w:color w:val="000000"/>
        <w:u w:val="none"/>
        <w:vertAlign w:val="baseline"/>
      </w:rPr>
    </w:lvl>
    <w:lvl w:ilvl="2">
      <w:start w:val="3"/>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 w15:restartNumberingAfterBreak="0">
    <w:nsid w:val="03D62ED1"/>
    <w:multiLevelType w:val="multilevel"/>
    <w:tmpl w:val="BD54EBAA"/>
    <w:lvl w:ilvl="0">
      <w:start w:val="4"/>
      <w:numFmt w:val="decimal"/>
      <w:lvlText w:val="%1."/>
      <w:lvlJc w:val="left"/>
      <w:pPr>
        <w:ind w:left="720" w:hanging="720"/>
      </w:pPr>
      <w:rPr>
        <w:smallCaps w:val="0"/>
        <w:strike w:val="0"/>
        <w:color w:val="000000"/>
        <w:u w:val="none"/>
        <w:vertAlign w:val="baseline"/>
      </w:rPr>
    </w:lvl>
    <w:lvl w:ilvl="1">
      <w:start w:val="2"/>
      <w:numFmt w:val="decimal"/>
      <w:lvlText w:val="%1.%2"/>
      <w:lvlJc w:val="left"/>
      <w:pPr>
        <w:ind w:left="720" w:hanging="720"/>
      </w:pPr>
      <w:rPr>
        <w:rFonts w:ascii="Arial" w:eastAsia="Arial" w:hAnsi="Arial" w:cs="Arial"/>
        <w:i w:val="0"/>
        <w:smallCaps w:val="0"/>
        <w:strike w:val="0"/>
        <w:color w:val="000000"/>
        <w:u w:val="none"/>
        <w:vertAlign w:val="baseline"/>
      </w:rPr>
    </w:lvl>
    <w:lvl w:ilvl="2">
      <w:start w:val="10"/>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 w15:restartNumberingAfterBreak="0">
    <w:nsid w:val="03D62ED2"/>
    <w:multiLevelType w:val="multilevel"/>
    <w:tmpl w:val="6C5A2610"/>
    <w:lvl w:ilvl="0">
      <w:start w:val="5"/>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2"/>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1" w15:restartNumberingAfterBreak="0">
    <w:nsid w:val="03D62ED3"/>
    <w:multiLevelType w:val="multilevel"/>
    <w:tmpl w:val="B754C888"/>
    <w:lvl w:ilvl="0">
      <w:start w:val="5"/>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3"/>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2" w15:restartNumberingAfterBreak="0">
    <w:nsid w:val="03D62ED4"/>
    <w:multiLevelType w:val="multilevel"/>
    <w:tmpl w:val="88685FEE"/>
    <w:lvl w:ilvl="0">
      <w:start w:val="5"/>
      <w:numFmt w:val="decimal"/>
      <w:lvlText w:val="%1."/>
      <w:lvlJc w:val="left"/>
      <w:pPr>
        <w:ind w:left="720" w:hanging="720"/>
      </w:pPr>
      <w:rPr>
        <w:smallCaps w:val="0"/>
        <w:strike w:val="0"/>
        <w:color w:val="000000"/>
        <w:u w:val="none"/>
        <w:vertAlign w:val="baseline"/>
      </w:rPr>
    </w:lvl>
    <w:lvl w:ilvl="1">
      <w:start w:val="2"/>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 w15:restartNumberingAfterBreak="0">
    <w:nsid w:val="03D62ED5"/>
    <w:multiLevelType w:val="multilevel"/>
    <w:tmpl w:val="C24692D8"/>
    <w:lvl w:ilvl="0">
      <w:start w:val="6"/>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2"/>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4" w15:restartNumberingAfterBreak="0">
    <w:nsid w:val="03D62ED6"/>
    <w:multiLevelType w:val="multilevel"/>
    <w:tmpl w:val="D59C6482"/>
    <w:lvl w:ilvl="0">
      <w:start w:val="9"/>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5" w15:restartNumberingAfterBreak="0">
    <w:nsid w:val="03D62ED7"/>
    <w:multiLevelType w:val="multilevel"/>
    <w:tmpl w:val="4ABC9C8A"/>
    <w:lvl w:ilvl="0">
      <w:start w:val="1"/>
      <w:numFmt w:val="decimal"/>
      <w:lvlText w:val="%1"/>
      <w:lvlJc w:val="left"/>
      <w:pPr>
        <w:ind w:left="660" w:hanging="660"/>
      </w:pPr>
    </w:lvl>
    <w:lvl w:ilvl="1">
      <w:start w:val="1"/>
      <w:numFmt w:val="decimal"/>
      <w:lvlText w:val="%1.%2"/>
      <w:lvlJc w:val="left"/>
      <w:pPr>
        <w:ind w:left="1380" w:hanging="660"/>
      </w:pPr>
    </w:lvl>
    <w:lvl w:ilvl="2">
      <w:start w:val="15"/>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6" w15:restartNumberingAfterBreak="0">
    <w:nsid w:val="03D62ED8"/>
    <w:multiLevelType w:val="multilevel"/>
    <w:tmpl w:val="D4541F64"/>
    <w:lvl w:ilvl="0">
      <w:start w:val="9"/>
      <w:numFmt w:val="decimal"/>
      <w:lvlText w:val="%1."/>
      <w:lvlJc w:val="left"/>
      <w:pPr>
        <w:ind w:left="720" w:hanging="720"/>
      </w:pPr>
      <w:rPr>
        <w:smallCaps w:val="0"/>
        <w:strike w:val="0"/>
        <w:color w:val="000000"/>
        <w:u w:val="none"/>
        <w:vertAlign w:val="baseline"/>
      </w:rPr>
    </w:lvl>
    <w:lvl w:ilvl="1">
      <w:start w:val="5"/>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7" w15:restartNumberingAfterBreak="0">
    <w:nsid w:val="03D62ED9"/>
    <w:multiLevelType w:val="multilevel"/>
    <w:tmpl w:val="B3FEB672"/>
    <w:lvl w:ilvl="0">
      <w:start w:val="6"/>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8"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BE4BEA"/>
    <w:multiLevelType w:val="multilevel"/>
    <w:tmpl w:val="0AA6DC9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7E14CE9"/>
    <w:multiLevelType w:val="multilevel"/>
    <w:tmpl w:val="6BB45484"/>
    <w:lvl w:ilvl="0">
      <w:start w:val="1"/>
      <w:numFmt w:val="decimal"/>
      <w:pStyle w:val="GPSL1SCHEDULEHeading"/>
      <w:lvlText w:val="%1."/>
      <w:lvlJc w:val="left"/>
      <w:pPr>
        <w:ind w:left="360" w:hanging="360"/>
      </w:pPr>
      <w:rPr>
        <w:rFonts w:hint="default"/>
        <w:b/>
        <w:bCs/>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i w:val="0"/>
        <w:smallCaps w:val="0"/>
        <w:strike w:val="0"/>
        <w:color w:val="000000"/>
        <w:u w:val="none"/>
        <w:vertAlign w:val="baseline"/>
      </w:rPr>
    </w:lvl>
    <w:lvl w:ilvl="2">
      <w:start w:val="1"/>
      <w:numFmt w:val="decimal"/>
      <w:lvlText w:val="%1.%2.%3"/>
      <w:lvlJc w:val="left"/>
      <w:pPr>
        <w:ind w:left="1757" w:hanging="850"/>
      </w:pPr>
      <w:rPr>
        <w:rFonts w:ascii="Arial" w:hAnsi="Arial" w:cs="Arial" w:hint="default"/>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num w:numId="1" w16cid:durableId="1032222511">
    <w:abstractNumId w:val="20"/>
  </w:num>
  <w:num w:numId="2" w16cid:durableId="1384255262">
    <w:abstractNumId w:val="19"/>
  </w:num>
  <w:num w:numId="3" w16cid:durableId="10911232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6646123">
    <w:abstractNumId w:val="0"/>
  </w:num>
  <w:num w:numId="5" w16cid:durableId="1751613414">
    <w:abstractNumId w:val="1"/>
  </w:num>
  <w:num w:numId="6" w16cid:durableId="707607752">
    <w:abstractNumId w:val="2"/>
  </w:num>
  <w:num w:numId="7" w16cid:durableId="586689588">
    <w:abstractNumId w:val="3"/>
  </w:num>
  <w:num w:numId="8" w16cid:durableId="692808937">
    <w:abstractNumId w:val="4"/>
  </w:num>
  <w:num w:numId="9" w16cid:durableId="1705056684">
    <w:abstractNumId w:val="5"/>
  </w:num>
  <w:num w:numId="10" w16cid:durableId="661659320">
    <w:abstractNumId w:val="6"/>
  </w:num>
  <w:num w:numId="11" w16cid:durableId="532613354">
    <w:abstractNumId w:val="7"/>
  </w:num>
  <w:num w:numId="12" w16cid:durableId="747844966">
    <w:abstractNumId w:val="8"/>
  </w:num>
  <w:num w:numId="13" w16cid:durableId="2053076043">
    <w:abstractNumId w:val="9"/>
  </w:num>
  <w:num w:numId="14" w16cid:durableId="209876931">
    <w:abstractNumId w:val="10"/>
  </w:num>
  <w:num w:numId="15" w16cid:durableId="1848665481">
    <w:abstractNumId w:val="11"/>
  </w:num>
  <w:num w:numId="16" w16cid:durableId="522868220">
    <w:abstractNumId w:val="12"/>
  </w:num>
  <w:num w:numId="17" w16cid:durableId="1190992215">
    <w:abstractNumId w:val="13"/>
  </w:num>
  <w:num w:numId="18" w16cid:durableId="807743432">
    <w:abstractNumId w:val="14"/>
  </w:num>
  <w:num w:numId="19" w16cid:durableId="484198519">
    <w:abstractNumId w:val="15"/>
  </w:num>
  <w:num w:numId="20" w16cid:durableId="1517771041">
    <w:abstractNumId w:val="16"/>
  </w:num>
  <w:num w:numId="21" w16cid:durableId="97339392">
    <w:abstractNumId w:val="17"/>
  </w:num>
  <w:num w:numId="22" w16cid:durableId="8749304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Call-Off Schedule 8 - Business Continuity and Disaster Recovery v1.0 PA HB edits 01.08.25(95817836.1).docx"/>
    <w:docVar w:name="gemDN1|Julie.Scott|Monday, 24 July 2023 9:46:22 AM" w:val="v1 checking formatting"/>
    <w:docVar w:name="gemDN2|newellc|25 July 2023 12:35:06" w:val="V2 - amends"/>
    <w:docVar w:name="gemDN3|GAYLEJ|25 July 2023 19:40:30" w:val="V3 - Amend TRK NV"/>
    <w:docVar w:name="gemDocNotesCount" w:val="3"/>
  </w:docVars>
  <w:rsids>
    <w:rsidRoot w:val="005C0911"/>
    <w:rsid w:val="00002276"/>
    <w:rsid w:val="000075C7"/>
    <w:rsid w:val="00020D3B"/>
    <w:rsid w:val="00021DBD"/>
    <w:rsid w:val="000465DC"/>
    <w:rsid w:val="00054D10"/>
    <w:rsid w:val="000678CC"/>
    <w:rsid w:val="00084DEC"/>
    <w:rsid w:val="000A69AE"/>
    <w:rsid w:val="000C4287"/>
    <w:rsid w:val="000E0D8F"/>
    <w:rsid w:val="000F6318"/>
    <w:rsid w:val="00112BE2"/>
    <w:rsid w:val="0011497D"/>
    <w:rsid w:val="00134F5F"/>
    <w:rsid w:val="0015292E"/>
    <w:rsid w:val="001D210D"/>
    <w:rsid w:val="001D7D5B"/>
    <w:rsid w:val="001F4F65"/>
    <w:rsid w:val="00225FFB"/>
    <w:rsid w:val="00254922"/>
    <w:rsid w:val="00281B48"/>
    <w:rsid w:val="00283BEE"/>
    <w:rsid w:val="002B5C13"/>
    <w:rsid w:val="002C2C64"/>
    <w:rsid w:val="002C5088"/>
    <w:rsid w:val="002D010C"/>
    <w:rsid w:val="002F7B8B"/>
    <w:rsid w:val="00325C0D"/>
    <w:rsid w:val="00384F0B"/>
    <w:rsid w:val="003D217A"/>
    <w:rsid w:val="003E7BA9"/>
    <w:rsid w:val="00426D23"/>
    <w:rsid w:val="0046794F"/>
    <w:rsid w:val="00476382"/>
    <w:rsid w:val="004B25D0"/>
    <w:rsid w:val="004C4D08"/>
    <w:rsid w:val="004D475E"/>
    <w:rsid w:val="004E4E1B"/>
    <w:rsid w:val="00515A46"/>
    <w:rsid w:val="005544EB"/>
    <w:rsid w:val="005B4069"/>
    <w:rsid w:val="005B7A7C"/>
    <w:rsid w:val="005C0911"/>
    <w:rsid w:val="005D3ABB"/>
    <w:rsid w:val="005D3C2B"/>
    <w:rsid w:val="005E206D"/>
    <w:rsid w:val="0063386E"/>
    <w:rsid w:val="00651AE9"/>
    <w:rsid w:val="006D3369"/>
    <w:rsid w:val="00714BC3"/>
    <w:rsid w:val="00725DE9"/>
    <w:rsid w:val="007536FA"/>
    <w:rsid w:val="0076427E"/>
    <w:rsid w:val="00781C2B"/>
    <w:rsid w:val="007B2386"/>
    <w:rsid w:val="007D790E"/>
    <w:rsid w:val="008106ED"/>
    <w:rsid w:val="00880FE9"/>
    <w:rsid w:val="00881728"/>
    <w:rsid w:val="008A2797"/>
    <w:rsid w:val="008D707F"/>
    <w:rsid w:val="008F6A40"/>
    <w:rsid w:val="00912725"/>
    <w:rsid w:val="00951857"/>
    <w:rsid w:val="00951D6A"/>
    <w:rsid w:val="009672A0"/>
    <w:rsid w:val="00A0455A"/>
    <w:rsid w:val="00A347C3"/>
    <w:rsid w:val="00A349E8"/>
    <w:rsid w:val="00A80334"/>
    <w:rsid w:val="00AA0211"/>
    <w:rsid w:val="00AC6636"/>
    <w:rsid w:val="00AD1B3E"/>
    <w:rsid w:val="00B43CBE"/>
    <w:rsid w:val="00B443E4"/>
    <w:rsid w:val="00B53B18"/>
    <w:rsid w:val="00B807D3"/>
    <w:rsid w:val="00B8245F"/>
    <w:rsid w:val="00BD52EF"/>
    <w:rsid w:val="00BF5E53"/>
    <w:rsid w:val="00C14BDE"/>
    <w:rsid w:val="00C17082"/>
    <w:rsid w:val="00CB2A66"/>
    <w:rsid w:val="00CE2133"/>
    <w:rsid w:val="00D37C07"/>
    <w:rsid w:val="00D56665"/>
    <w:rsid w:val="00D86504"/>
    <w:rsid w:val="00DA0701"/>
    <w:rsid w:val="00DB5411"/>
    <w:rsid w:val="00DC0DBE"/>
    <w:rsid w:val="00DC2A5B"/>
    <w:rsid w:val="00E215DD"/>
    <w:rsid w:val="00E5457F"/>
    <w:rsid w:val="00E60522"/>
    <w:rsid w:val="00E64AF2"/>
    <w:rsid w:val="00E66254"/>
    <w:rsid w:val="00E776E4"/>
    <w:rsid w:val="00E80392"/>
    <w:rsid w:val="00E93C75"/>
    <w:rsid w:val="00F12A78"/>
    <w:rsid w:val="00F4319D"/>
    <w:rsid w:val="00F5423E"/>
    <w:rsid w:val="00F619AF"/>
    <w:rsid w:val="185AEB1C"/>
    <w:rsid w:val="794BA04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89843"/>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2"/>
        <w:lang w:val="en-GB" w:eastAsia="en-AU"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SCHEDULEHeading">
    <w:name w:val="GPS L1 SCHEDULE Heading"/>
    <w:basedOn w:val="GPSL1CLAUSEHEADING"/>
    <w:link w:val="GPSL1SCHEDULEHeadingChar"/>
    <w:qFormat/>
    <w:pPr>
      <w:numPr>
        <w:numId w:val="1"/>
      </w:numPr>
      <w:outlineLvl w:val="9"/>
    </w:pPr>
    <w:rPr>
      <w:rFonts w:ascii="Calibri" w:hAnsi="Calibri"/>
    </w:rPr>
  </w:style>
  <w:style w:type="character" w:customStyle="1" w:styleId="GPSL2numberedclauseChar1">
    <w:name w:val="GPS L2 numbered clause Char1"/>
    <w:link w:val="GPSL2numberedclause"/>
    <w:rsid w:val="00164310"/>
    <w:rPr>
      <w:rFonts w:eastAsia="Times New Roman"/>
      <w:sz w:val="24"/>
      <w:lang w:eastAsia="zh-CN"/>
    </w:rPr>
  </w:style>
  <w:style w:type="character" w:styleId="Hyperlink">
    <w:name w:val="Hyperlink"/>
    <w:basedOn w:val="DefaultParagraphFont"/>
    <w:uiPriority w:val="99"/>
    <w:unhideWhenUsed/>
    <w:rPr>
      <w:color w:val="0000FF" w:themeColor="hyperlink"/>
      <w:u w:val="single"/>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Title">
    <w:name w:val="Title"/>
    <w:basedOn w:val="Normal"/>
    <w:next w:val="Normal"/>
    <w:uiPriority w:val="10"/>
    <w:qFormat/>
    <w:pPr>
      <w:keepNext/>
      <w:keepLines/>
      <w:spacing w:before="480" w:after="120"/>
    </w:pPr>
    <w:rPr>
      <w:b/>
      <w:sz w:val="72"/>
      <w:szCs w:val="72"/>
    </w:rPr>
  </w:style>
  <w:style w:type="paragraph" w:customStyle="1" w:styleId="GPSDefinitionTerm">
    <w:name w:val="GPS Definition Term"/>
    <w:basedOn w:val="Normal"/>
    <w:qFormat/>
    <w:pPr>
      <w:spacing w:after="120"/>
      <w:ind w:left="-108"/>
      <w:jc w:val="left"/>
    </w:pPr>
    <w:rPr>
      <w:b/>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paragraph" w:customStyle="1" w:styleId="GPSL2numberedclause">
    <w:name w:val="GPS L2 numbered clause"/>
    <w:basedOn w:val="Normal"/>
    <w:link w:val="GPSL2numberedclauseChar1"/>
    <w:qFormat/>
    <w:rsid w:val="00164310"/>
    <w:pPr>
      <w:numPr>
        <w:ilvl w:val="1"/>
        <w:numId w:val="2"/>
      </w:numPr>
      <w:overflowPunct/>
      <w:autoSpaceDE/>
      <w:autoSpaceDN/>
      <w:spacing w:before="120" w:after="120"/>
      <w:jc w:val="left"/>
      <w:textAlignment w:val="auto"/>
    </w:pPr>
    <w:rPr>
      <w:lang w:eastAsia="zh-CN"/>
    </w:rPr>
  </w:style>
  <w:style w:type="character" w:customStyle="1" w:styleId="FooterChar">
    <w:name w:val="Footer Char"/>
    <w:basedOn w:val="DefaultParagraphFont"/>
    <w:link w:val="Footer"/>
    <w:uiPriority w:val="99"/>
  </w:style>
  <w:style w:type="table" w:customStyle="1" w:styleId="a">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GPSmacrorestart">
    <w:name w:val="GPS macro restart"/>
    <w:basedOn w:val="Normal"/>
    <w:qFormat/>
    <w:pPr>
      <w:spacing w:after="0"/>
      <w:ind w:left="0"/>
    </w:pPr>
    <w:rPr>
      <w:color w:val="FFFFFF"/>
      <w:sz w:val="16"/>
      <w:szCs w:val="16"/>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1CLAUSEHEADING">
    <w:name w:val="GPS L1 CLAUSE HEADING"/>
    <w:basedOn w:val="Normal"/>
    <w:next w:val="Normal"/>
    <w:qFormat/>
    <w:rsid w:val="00CE67F4"/>
    <w:pPr>
      <w:keepNext/>
      <w:numPr>
        <w:numId w:val="2"/>
      </w:numPr>
      <w:tabs>
        <w:tab w:val="left" w:pos="0"/>
      </w:tabs>
      <w:overflowPunct/>
      <w:autoSpaceDE/>
      <w:autoSpaceDN/>
      <w:spacing w:before="120"/>
      <w:jc w:val="left"/>
      <w:textAlignment w:val="auto"/>
      <w:outlineLvl w:val="1"/>
    </w:pPr>
    <w:rPr>
      <w:rFonts w:ascii="Arial Bold" w:eastAsia="STZhongsong" w:hAnsi="Arial Bold"/>
      <w:b/>
      <w:lang w:eastAsia="zh-CN"/>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CE67F4"/>
    <w:pPr>
      <w:numPr>
        <w:ilvl w:val="3"/>
      </w:numPr>
      <w:tabs>
        <w:tab w:val="clear" w:pos="1985"/>
        <w:tab w:val="clear" w:pos="2127"/>
      </w:tabs>
    </w:pPr>
    <w:rPr>
      <w:szCs w:val="20"/>
    </w:rPr>
  </w:style>
  <w:style w:type="character" w:customStyle="1" w:styleId="GPSL3numberedclauseChar">
    <w:name w:val="GPS L3 numbered clause Char"/>
    <w:link w:val="GPSL3numberedclause"/>
    <w:rPr>
      <w:rFonts w:ascii="Calibri" w:eastAsia="Times New Roman" w:hAnsi="Calibri" w:cs="Arial"/>
      <w:lang w:eastAsia="zh-CN"/>
    </w:rPr>
  </w:style>
  <w:style w:type="paragraph" w:styleId="Revision">
    <w:name w:val="Revision"/>
    <w:hidden/>
    <w:uiPriority w:val="99"/>
    <w:semiHidden/>
    <w:pPr>
      <w:spacing w:after="0"/>
    </w:pPr>
    <w:rPr>
      <w:rFonts w:eastAsia="Times New Roman"/>
    </w:rPr>
  </w:style>
  <w:style w:type="character" w:customStyle="1" w:styleId="GPSL4numberedclauseChar">
    <w:name w:val="GPS L4 numbered clause Char"/>
    <w:link w:val="GPSL4numberedclause"/>
    <w:rsid w:val="00CE67F4"/>
    <w:rPr>
      <w:rFonts w:eastAsia="Times New Roman"/>
      <w:sz w:val="24"/>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6numbered">
    <w:name w:val="GPS L6 numbered"/>
    <w:basedOn w:val="GPSL5numberedclause"/>
    <w:qFormat/>
    <w:pPr>
      <w:numPr>
        <w:ilvl w:val="5"/>
      </w:numPr>
      <w:tabs>
        <w:tab w:val="num" w:pos="360"/>
        <w:tab w:val="num" w:pos="3600"/>
        <w:tab w:val="left" w:pos="4253"/>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paragraph" w:customStyle="1" w:styleId="GPsDefinition">
    <w:name w:val="GPs Definition"/>
    <w:basedOn w:val="Normal"/>
    <w:qFormat/>
    <w:pPr>
      <w:tabs>
        <w:tab w:val="left" w:pos="-9"/>
        <w:tab w:val="num" w:pos="720"/>
      </w:tabs>
      <w:spacing w:after="120"/>
      <w:ind w:left="720" w:hanging="720"/>
    </w:p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table" w:customStyle="1" w:styleId="a0">
    <w:basedOn w:val="TableNormal"/>
    <w:tblPr>
      <w:tblStyleRowBandSize w:val="1"/>
      <w:tblStyleColBandSize w:val="1"/>
      <w:tblCellMar>
        <w:left w:w="115" w:type="dxa"/>
        <w:right w:w="115" w:type="dxa"/>
      </w:tblCellMar>
    </w:tblPr>
  </w:style>
  <w:style w:type="paragraph" w:customStyle="1" w:styleId="GPSDefinitionL4">
    <w:name w:val="GPS Definition L4"/>
    <w:basedOn w:val="GPSDefinitionL3"/>
    <w:qFormat/>
    <w:pPr>
      <w:numPr>
        <w:ilvl w:val="3"/>
      </w:numPr>
      <w:tabs>
        <w:tab w:val="num" w:pos="720"/>
      </w:tabs>
      <w:ind w:left="720" w:hanging="545"/>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pPr>
      <w:spacing w:after="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0701"/>
    <w:pPr>
      <w:overflowPunct/>
      <w:autoSpaceDE/>
      <w:autoSpaceDN/>
      <w:adjustRightInd/>
      <w:spacing w:after="200" w:line="276" w:lineRule="auto"/>
      <w:ind w:left="720"/>
      <w:contextualSpacing/>
      <w:jc w:val="left"/>
      <w:textAlignment w:val="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52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O+i1MZpmolSoXev8uBaYZCEKPg==">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OABqPwo1c3VnZ2VzdElkSW1wb3J0MWIzZmE4N2ItNjRmYy00YmFkLTlhNDQtMmM3NGNiNzQ3NzAzXzUSBkF1dGhvcmo/CjVzdWdnZXN0SWRJbXBvcnQxYjNmYTg3Yi02NGZjLTRiYWQtOWE0NC0yYzc0Y2I3NDc3MDNfNxIGQXV0aG9yaiIKFHN1Z2dlc3QudWlneHNwOHA1NGJiEgpLYXRlIE1hY2V5ah8KFHN1Z2dlc3QuajZiZThraGF6bDNxEgdKYW1lcyBGaj8KNXN1Z2dlc3RJZEltcG9ydDFiM2ZhODdiLTY0ZmMtNGJhZC05YTQ0LTJjNzRjYjc0NzcwM18xEgZBdXRob3JqPwo1c3VnZ2VzdElkSW1wb3J0MWIzZmE4N2ItNjRmYy00YmFkLTlhNDQtMmM3NGNiNzQ3NzAzXzMSBkF1dGhvcnIhMUlORFNoT19MR0NqUjg3Ym1RUlFUbkhnaGFBc1hDd2R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104B55-8EDB-4F08-8B3E-55FDAF5A2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2645</Words>
  <Characters>14128</Characters>
  <Application>Microsoft Office Word</Application>
  <DocSecurity>0</DocSecurity>
  <Lines>353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DWF</cp:lastModifiedBy>
  <cp:revision>2</cp:revision>
  <dcterms:created xsi:type="dcterms:W3CDTF">2025-10-16T15:01:00Z</dcterms:created>
  <dcterms:modified xsi:type="dcterms:W3CDTF">2025-10-16T15:01:00Z</dcterms:modified>
</cp:coreProperties>
</file>