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ind w:left="0" w:firstLine="0"/>
        <w:jc w:val="left"/>
        <w:rPr>
          <w:b w:val="1"/>
          <w:color w:val="000000"/>
          <w:sz w:val="32"/>
          <w:szCs w:val="32"/>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ind w:left="0" w:firstLine="0"/>
        <w:jc w:val="left"/>
        <w:rPr>
          <w:b w:val="1"/>
          <w:color w:val="000000"/>
          <w:sz w:val="36"/>
          <w:szCs w:val="36"/>
        </w:rPr>
      </w:pPr>
      <w:r w:rsidDel="00000000" w:rsidR="00000000" w:rsidRPr="00000000">
        <w:rPr>
          <w:b w:val="1"/>
          <w:color w:val="000000"/>
          <w:sz w:val="36"/>
          <w:szCs w:val="36"/>
          <w:rtl w:val="0"/>
        </w:rPr>
        <w:t xml:space="preserve">Call-Off Schedule 8 (Business Continuity and Disaster Recovery)</w:t>
      </w:r>
      <w:r w:rsidDel="00000000" w:rsidR="00000000" w:rsidRPr="00000000">
        <w:rPr>
          <w:rtl w:val="0"/>
        </w:rPr>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smallCaps w:val="1"/>
          <w:color w:val="000000"/>
          <w:sz w:val="24"/>
          <w:szCs w:val="24"/>
        </w:rPr>
      </w:pPr>
      <w:bookmarkStart w:colFirst="0" w:colLast="0" w:name="_heading=h.gjdgxs" w:id="1"/>
      <w:bookmarkEnd w:id="1"/>
      <w:r w:rsidDel="00000000" w:rsidR="00000000" w:rsidRPr="00000000">
        <w:rPr>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1"/>
        <w:tblW w:w="8172.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7"/>
        <w:gridCol w:w="5075"/>
        <w:tblGridChange w:id="0">
          <w:tblGrid>
            <w:gridCol w:w="3097"/>
            <w:gridCol w:w="5075"/>
          </w:tblGrid>
        </w:tblGridChange>
      </w:tblGrid>
      <w:tr>
        <w:trPr>
          <w:cantSplit w:val="0"/>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"BCDR Plan"</w:t>
            </w:r>
          </w:p>
        </w:tc>
        <w:tc>
          <w:tcPr/>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has the meaning given to it in Paragraph 2.2 of this Schedule;</w:t>
            </w:r>
          </w:p>
        </w:tc>
      </w:tr>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"Business Continuity Plan"</w:t>
            </w:r>
          </w:p>
        </w:tc>
        <w:tc>
          <w:tcPr/>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has the meaning given to it in Paragraph 2.3.2 of this Schedule;</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"Disaster Recovery Deliverables"</w:t>
            </w:r>
          </w:p>
        </w:tc>
        <w:tc>
          <w:tcPr/>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pos="-9"/>
                <w:tab w:val="left" w:pos="-179"/>
              </w:tabs>
              <w:spacing w:after="120" w:lineRule="auto"/>
              <w:ind w:left="170" w:hanging="170"/>
              <w:jc w:val="left"/>
              <w:rPr>
                <w:color w:val="000000"/>
                <w:sz w:val="24"/>
                <w:szCs w:val="24"/>
              </w:rPr>
            </w:pPr>
            <w:r w:rsidDel="00000000" w:rsidR="00000000" w:rsidRPr="00000000">
              <w:rPr>
                <w:color w:val="000000"/>
                <w:sz w:val="24"/>
                <w:szCs w:val="24"/>
                <w:rtl w:val="0"/>
              </w:rPr>
              <w:t xml:space="preserve">the Deliverables embodied in the processes and procedures for restoring the provision of Deliverables following the occurrence of a Disaster;</w:t>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"Disaster Recovery Plan"</w:t>
            </w:r>
          </w:p>
        </w:tc>
        <w:tc>
          <w:tcPr/>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has the meaning given to it in Paragraph 2.3.3 of this Schedule;</w:t>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"Disaster Recovery System"</w:t>
            </w:r>
          </w:p>
        </w:tc>
        <w:tc>
          <w:tcPr/>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the system embodied in the processes and procedures for restoring the provision of Deliverables following the occurrence of a Disaster;</w:t>
            </w:r>
          </w:p>
        </w:tc>
      </w:tr>
      <w:tr>
        <w:trPr>
          <w:cantSplit w:val="0"/>
          <w:trHeight w:val="567" w:hRule="atLeast"/>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"Related Supplier"</w:t>
            </w:r>
          </w:p>
        </w:tc>
        <w:tc>
          <w:tcPr/>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any person who provides Deliverables to the Buyer which are related to the Deliverables from time to time;</w:t>
            </w:r>
          </w:p>
        </w:tc>
      </w:tr>
      <w:tr>
        <w:trPr>
          <w:cantSplit w:val="0"/>
          <w:trHeight w:val="567" w:hRule="atLeast"/>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"Review Report"</w:t>
            </w:r>
          </w:p>
        </w:tc>
        <w:tc>
          <w:tcPr/>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has the meaning given to it in Paragraph 6.3 of this Schedule; and</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"Supplier's Proposals"</w:t>
            </w:r>
          </w:p>
        </w:tc>
        <w:tc>
          <w:tcPr/>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has the meaning given to it in Paragraph 6.3 of this Schedule;</w:t>
            </w:r>
          </w:p>
        </w:tc>
      </w:tr>
    </w:tbl>
    <w:p w:rsidR="00000000" w:rsidDel="00000000" w:rsidP="00000000" w:rsidRDefault="00000000" w:rsidRPr="00000000" w14:paraId="00000015">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BCDR Plan</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g8f18thw8yu0" w:id="2"/>
      <w:bookmarkEnd w:id="2"/>
      <w:r w:rsidDel="00000000" w:rsidR="00000000" w:rsidRPr="00000000">
        <w:rPr>
          <w:color w:val="000000"/>
          <w:sz w:val="24"/>
          <w:szCs w:val="24"/>
          <w:rtl w:val="0"/>
        </w:rPr>
        <w:t xml:space="preserve">The Buyer and the Supplier recognise that, where specified in Schedule 4 (Framework Management), CCS shall have the right to enforce the Buyer's rights under this Schedule.</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sz w:val="24"/>
          <w:szCs w:val="24"/>
        </w:rPr>
      </w:pPr>
      <w:bookmarkStart w:colFirst="0" w:colLast="0" w:name="_heading=h.dklgwq9y5c6" w:id="3"/>
      <w:bookmarkEnd w:id="3"/>
      <w:r w:rsidDel="00000000" w:rsidR="00000000" w:rsidRPr="00000000">
        <w:rPr>
          <w:sz w:val="24"/>
          <w:szCs w:val="24"/>
          <w:rtl w:val="0"/>
        </w:rPr>
        <w:t xml:space="preserve">The Buyer recognises that in most cases the Supplier will have in place a BCDR Plan for their services which will meet industry standards and satisfy the Buyer’s requirements. Where this is the case this should be provided to the Customer at the earliest opportunity. It is acknowledged that as these form part of a standard service it may not be possible for a Customer to request adjustments to the plan.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Rule="auto"/>
        <w:ind w:left="720" w:firstLine="0"/>
        <w:jc w:val="left"/>
        <w:rPr>
          <w:sz w:val="24"/>
          <w:szCs w:val="24"/>
        </w:rPr>
      </w:pPr>
      <w:bookmarkStart w:colFirst="0" w:colLast="0" w:name="_heading=h.ga3o2btp94z1" w:id="4"/>
      <w:bookmarkEnd w:id="4"/>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fob9te" w:id="5"/>
      <w:bookmarkEnd w:id="5"/>
      <w:r w:rsidDel="00000000" w:rsidR="00000000" w:rsidRPr="00000000">
        <w:rPr>
          <w:color w:val="000000"/>
          <w:sz w:val="24"/>
          <w:szCs w:val="24"/>
          <w:rtl w:val="0"/>
        </w:rPr>
        <w:t xml:space="preserve">At least ninety (90) Working Days prior to the Start Date the Supplier shall prepare and deliver to the Buyer for the Buyer’s written approval a plan (a </w:t>
      </w:r>
      <w:r w:rsidDel="00000000" w:rsidR="00000000" w:rsidRPr="00000000">
        <w:rPr>
          <w:b w:val="1"/>
          <w:color w:val="000000"/>
          <w:sz w:val="24"/>
          <w:szCs w:val="24"/>
          <w:rtl w:val="0"/>
        </w:rPr>
        <w:t xml:space="preserve">“BCDR Plan”</w:t>
      </w:r>
      <w:r w:rsidDel="00000000" w:rsidR="00000000" w:rsidRPr="00000000">
        <w:rPr>
          <w:color w:val="000000"/>
          <w:sz w:val="24"/>
          <w:szCs w:val="24"/>
          <w:rtl w:val="0"/>
        </w:rPr>
        <w:t xml:space="preserve">), which shall detail the processes and arrangements that the Supplier shall follow to:</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ensure continuity of the business processes and operations supported by the Services following any failure or disruption of any element of the Deliverables; and</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recovery of the Deliverables in the event of a Disaster </w:t>
      </w:r>
    </w:p>
    <w:p w:rsidR="00000000" w:rsidDel="00000000" w:rsidP="00000000" w:rsidRDefault="00000000" w:rsidRPr="00000000" w14:paraId="0000001C">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BCDR Plan shall be divided into three sections:</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bookmarkStart w:colFirst="0" w:colLast="0" w:name="_heading=h.3znysh7" w:id="6"/>
      <w:bookmarkEnd w:id="6"/>
      <w:r w:rsidDel="00000000" w:rsidR="00000000" w:rsidRPr="00000000">
        <w:rPr>
          <w:color w:val="000000"/>
          <w:sz w:val="24"/>
          <w:szCs w:val="24"/>
          <w:rtl w:val="0"/>
        </w:rPr>
        <w:t xml:space="preserve">Section 1 which shall set out general principles applicable to the BCDR Plan; </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bookmarkStart w:colFirst="0" w:colLast="0" w:name="_heading=h.2et92p0" w:id="7"/>
      <w:bookmarkEnd w:id="7"/>
      <w:r w:rsidDel="00000000" w:rsidR="00000000" w:rsidRPr="00000000">
        <w:rPr>
          <w:color w:val="000000"/>
          <w:sz w:val="24"/>
          <w:szCs w:val="24"/>
          <w:rtl w:val="0"/>
        </w:rPr>
        <w:t xml:space="preserve">Section 2 which shall relate to business continuity (the </w:t>
      </w:r>
      <w:r w:rsidDel="00000000" w:rsidR="00000000" w:rsidRPr="00000000">
        <w:rPr>
          <w:b w:val="1"/>
          <w:color w:val="000000"/>
          <w:sz w:val="24"/>
          <w:szCs w:val="24"/>
          <w:rtl w:val="0"/>
        </w:rPr>
        <w:t xml:space="preserve">"Business Continuity Plan"</w:t>
      </w:r>
      <w:r w:rsidDel="00000000" w:rsidR="00000000" w:rsidRPr="00000000">
        <w:rPr>
          <w:color w:val="000000"/>
          <w:sz w:val="24"/>
          <w:szCs w:val="24"/>
          <w:rtl w:val="0"/>
        </w:rPr>
        <w:t xml:space="preserve">); and</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bookmarkStart w:colFirst="0" w:colLast="0" w:name="_heading=h.tyjcwt" w:id="8"/>
      <w:bookmarkEnd w:id="8"/>
      <w:r w:rsidDel="00000000" w:rsidR="00000000" w:rsidRPr="00000000">
        <w:rPr>
          <w:color w:val="000000"/>
          <w:sz w:val="24"/>
          <w:szCs w:val="24"/>
          <w:rtl w:val="0"/>
        </w:rPr>
        <w:t xml:space="preserve">Section 3 which shall relate to disaster recovery (the </w:t>
      </w:r>
      <w:r w:rsidDel="00000000" w:rsidR="00000000" w:rsidRPr="00000000">
        <w:rPr>
          <w:b w:val="1"/>
          <w:color w:val="000000"/>
          <w:sz w:val="24"/>
          <w:szCs w:val="24"/>
          <w:rtl w:val="0"/>
        </w:rPr>
        <w:t xml:space="preserve">"Disaster Recovery Plan"</w:t>
      </w:r>
      <w:r w:rsidDel="00000000" w:rsidR="00000000" w:rsidRPr="00000000">
        <w:rPr>
          <w:color w:val="000000"/>
          <w:sz w:val="24"/>
          <w:szCs w:val="24"/>
          <w:rtl w:val="0"/>
        </w:rPr>
        <w:t xml:space="preserve">).</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3dy6vkm" w:id="9"/>
      <w:bookmarkEnd w:id="9"/>
      <w:r w:rsidDel="00000000" w:rsidR="00000000" w:rsidRPr="00000000">
        <w:rPr>
          <w:color w:val="000000"/>
          <w:sz w:val="24"/>
          <w:szCs w:val="24"/>
          <w:rtl w:val="0"/>
        </w:rPr>
        <w:t xml:space="preserve">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000000" w:rsidDel="00000000" w:rsidP="00000000" w:rsidRDefault="00000000" w:rsidRPr="00000000" w14:paraId="00000021">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smallCaps w:val="1"/>
          <w:color w:val="000000"/>
          <w:sz w:val="24"/>
          <w:szCs w:val="24"/>
        </w:rPr>
      </w:pPr>
      <w:bookmarkStart w:colFirst="0" w:colLast="0" w:name="_heading=h.1t3h5sf" w:id="10"/>
      <w:bookmarkEnd w:id="10"/>
      <w:r w:rsidDel="00000000" w:rsidR="00000000" w:rsidRPr="00000000">
        <w:rPr>
          <w:rFonts w:ascii="Arial Bold" w:cs="Arial Bold" w:eastAsia="Arial Bold" w:hAnsi="Arial Bold"/>
          <w:b w:val="1"/>
          <w:color w:val="000000"/>
          <w:sz w:val="24"/>
          <w:szCs w:val="24"/>
          <w:rtl w:val="0"/>
        </w:rPr>
        <w:t xml:space="preserve">General Principles of the BCDR Plan (Section 1)</w:t>
      </w:r>
      <w:r w:rsidDel="00000000" w:rsidR="00000000" w:rsidRPr="00000000">
        <w:rPr>
          <w:rtl w:val="0"/>
        </w:rPr>
      </w:r>
    </w:p>
    <w:p w:rsidR="00000000" w:rsidDel="00000000" w:rsidP="00000000" w:rsidRDefault="00000000" w:rsidRPr="00000000" w14:paraId="00000022">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Section 1 of the BCDR Plan shall:</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how the business continuity and disaster recovery elements of the BCDR Plan link to each other;</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provide details of how the invocation of any element of the BCDR Plan may impact upon the provision of the Deliverables and any goods and/or services provided to the Buyer by a Related Supplier;</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contain an obligation upon the Supplier to liaise with the Buyer and any Related Suppliers with respect to business continuity and disaster recovery;</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detail how the BCDR Plan interoperates with any overarching disaster recovery or business continuity plan of the Buyer and any of its other Related Supplier in each case as notified to the Supplier by the Buyer from time to time;</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contain a communication strategy including details of an incident and problem management service and advice and help desk facility which can be accessed via multiple channels;</w:t>
      </w:r>
    </w:p>
    <w:p w:rsidR="00000000" w:rsidDel="00000000" w:rsidP="00000000" w:rsidRDefault="00000000" w:rsidRPr="00000000" w14:paraId="00000028">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contain a risk analysis, including:</w:t>
      </w:r>
    </w:p>
    <w:p w:rsidR="00000000" w:rsidDel="00000000" w:rsidP="00000000" w:rsidRDefault="00000000" w:rsidRPr="00000000" w14:paraId="00000029">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failure or disruption scenarios and assessments of likely frequency of occurrence;</w:t>
      </w:r>
    </w:p>
    <w:p w:rsidR="00000000" w:rsidDel="00000000" w:rsidP="00000000" w:rsidRDefault="00000000" w:rsidRPr="00000000" w14:paraId="0000002A">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identification of any single points of failure within the provision of Deliverables and processes for managing those risks;</w:t>
      </w:r>
    </w:p>
    <w:p w:rsidR="00000000" w:rsidDel="00000000" w:rsidP="00000000" w:rsidRDefault="00000000" w:rsidRPr="00000000" w14:paraId="0000002B">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identification of risks arising from the interaction of the provision of Deliverables with the goods and/or services provided by a Related Supplier; and</w:t>
      </w:r>
    </w:p>
    <w:p w:rsidR="00000000" w:rsidDel="00000000" w:rsidP="00000000" w:rsidRDefault="00000000" w:rsidRPr="00000000" w14:paraId="0000002C">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 business impact analysis of different anticipated failures or disruptions;</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provide for documentation of processes, including business processes, and procedures;</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key contact details for the Supplier (and any Subcontractors) and for the Buyer;</w:t>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identify the procedures for reverting to "normal service";</w:t>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method(s) of recovering or updating data collected (or which ought to have been collected) during a failure or disruption to minimise data loss;</w:t>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identify the responsibilities (if any) that the Buyer has agreed it will assume in the event of the invocation of the BCDR Plan; and</w:t>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provide for the provision of technical assistance to key contacts at the Buyer as required by the Buyer to inform decisions in support of the Buyer’s business continuity plans.</w:t>
      </w:r>
    </w:p>
    <w:p w:rsidR="00000000" w:rsidDel="00000000" w:rsidP="00000000" w:rsidRDefault="00000000" w:rsidRPr="00000000" w14:paraId="00000033">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BCDR Plan shall be designed so as to ensure that:</w:t>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Deliverables are provided in accordance with this Contract at all times during and after the invocation of the BCDR Plan;</w:t>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adverse impact of any Disaster is minimised as far as reasonably possible; </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it complies with the relevant provisions of ISO/IEC 27002; ISO22301/ISO22313   and all other industry standards from time to time in force; and</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it details a process for the management of disaster recovery testing.</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BCDR Plan shall be upgradeable and sufficiently flexible to support any changes to the Deliverables and the business operations supported by the provision of Deliverables.</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not be entitled to any relief from its obligations under the Performance Indicators (PI’s) or Service levels, or to any increase in the Charges to the extent that a Disaster occurs as a consequence of any breach by the Supplier of this Contract.</w:t>
      </w:r>
    </w:p>
    <w:p w:rsidR="00000000" w:rsidDel="00000000" w:rsidP="00000000" w:rsidRDefault="00000000" w:rsidRPr="00000000" w14:paraId="0000003A">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Business Continuity (Section 2)</w:t>
      </w:r>
      <w:r w:rsidDel="00000000" w:rsidR="00000000" w:rsidRPr="00000000">
        <w:rPr>
          <w:rtl w:val="0"/>
        </w:rPr>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4d34og8" w:id="11"/>
      <w:bookmarkEnd w:id="11"/>
      <w:r w:rsidDel="00000000" w:rsidR="00000000" w:rsidRPr="00000000">
        <w:rPr>
          <w:color w:val="000000"/>
          <w:sz w:val="24"/>
          <w:szCs w:val="24"/>
          <w:rtl w:val="0"/>
        </w:rPr>
        <w:t xml:space="preserve">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alternative processes, options and responsibilities that may be adopted in the event of a failure in or disruption to the provision of Deliverables; and</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steps to be taken by the Supplier upon resumption of the provision of Deliverables in order to address the effect of the failure or disruption.</w:t>
      </w:r>
    </w:p>
    <w:p w:rsidR="00000000" w:rsidDel="00000000" w:rsidP="00000000" w:rsidRDefault="00000000" w:rsidRPr="00000000" w14:paraId="0000003E">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Business Continuity Plan shall:</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address the various possible levels of failures of or disruptions to the provision of Deliverables;</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bookmarkStart w:colFirst="0" w:colLast="0" w:name="_heading=h.2s8eyo1" w:id="12"/>
      <w:bookmarkEnd w:id="12"/>
      <w:r w:rsidDel="00000000" w:rsidR="00000000" w:rsidRPr="00000000">
        <w:rPr>
          <w:color w:val="000000"/>
          <w:sz w:val="24"/>
          <w:szCs w:val="24"/>
          <w:rtl w:val="0"/>
        </w:rPr>
        <w:t xml:space="preserve">set out the goods and/or services to be provided and the steps to be taken to remedy the different levels of failures of and disruption to the Deliverables;</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the circumstances in which the Business Continuity Plan is invoked.</w:t>
      </w:r>
    </w:p>
    <w:p w:rsidR="00000000" w:rsidDel="00000000" w:rsidP="00000000" w:rsidRDefault="00000000" w:rsidRPr="00000000" w14:paraId="00000043">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Disaster Recovery (Section 3)</w:t>
      </w: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7dp8vu" w:id="13"/>
      <w:bookmarkEnd w:id="13"/>
      <w:r w:rsidDel="00000000" w:rsidR="00000000" w:rsidRPr="00000000">
        <w:rPr>
          <w:color w:val="000000"/>
          <w:sz w:val="24"/>
          <w:szCs w:val="24"/>
          <w:rtl w:val="0"/>
        </w:rPr>
        <w:t xml:space="preserve">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rsidR="00000000" w:rsidDel="00000000" w:rsidP="00000000" w:rsidRDefault="00000000" w:rsidRPr="00000000" w14:paraId="00000045">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Supplier's BCDR Plan shall include an approach to business continuity and disaster recovery that addresses the following:</w:t>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access to the Buyer Premises;</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utilities to the Buyer Premises;</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the Supplier's helpdesk or CAFM system;</w:t>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a Subcontractor;</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emergency notification and escalation process;</w:t>
      </w:r>
    </w:p>
    <w:p w:rsidR="00000000" w:rsidDel="00000000" w:rsidP="00000000" w:rsidRDefault="00000000" w:rsidRPr="00000000" w14:paraId="0000004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contact lists;</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staff training and awareness;</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BCDR Plan testing; </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post implementation review process; </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details of how the Supplier shall ensure compliance with security standards ensuring that compliance is maintained for any period during which the Disaster Recovery Plan is invoked;</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access controls to any disaster recovery sites used by the Supplier in relation to its obligations pursuant to this Schedule; and</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testing and management arrangements.</w:t>
      </w:r>
    </w:p>
    <w:p w:rsidR="00000000" w:rsidDel="00000000" w:rsidP="00000000" w:rsidRDefault="00000000" w:rsidRPr="00000000" w14:paraId="00000053">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Review and changing the BCDR Plan</w:t>
      </w:r>
      <w:r w:rsidDel="00000000" w:rsidR="00000000" w:rsidRPr="00000000">
        <w:rPr>
          <w:rtl w:val="0"/>
        </w:rPr>
      </w:r>
    </w:p>
    <w:p w:rsidR="00000000" w:rsidDel="00000000" w:rsidP="00000000" w:rsidRDefault="00000000" w:rsidRPr="00000000" w14:paraId="00000054">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3rdcrjn" w:id="14"/>
      <w:bookmarkEnd w:id="14"/>
      <w:r w:rsidDel="00000000" w:rsidR="00000000" w:rsidRPr="00000000">
        <w:rPr>
          <w:color w:val="000000"/>
          <w:sz w:val="24"/>
          <w:szCs w:val="24"/>
          <w:rtl w:val="0"/>
        </w:rPr>
        <w:t xml:space="preserve">The Supplier shall review the BCDR Plan:</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bookmarkStart w:colFirst="0" w:colLast="0" w:name="_heading=h.26in1rg" w:id="15"/>
      <w:bookmarkEnd w:id="15"/>
      <w:r w:rsidDel="00000000" w:rsidR="00000000" w:rsidRPr="00000000">
        <w:rPr>
          <w:color w:val="000000"/>
          <w:sz w:val="24"/>
          <w:szCs w:val="24"/>
          <w:rtl w:val="0"/>
        </w:rPr>
        <w:t xml:space="preserve">on a regular basis and as a minimum once every six (6) Months;</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bookmarkStart w:colFirst="0" w:colLast="0" w:name="_heading=h.lnxbz9" w:id="16"/>
      <w:bookmarkEnd w:id="16"/>
      <w:r w:rsidDel="00000000" w:rsidR="00000000" w:rsidRPr="00000000">
        <w:rPr>
          <w:color w:val="000000"/>
          <w:sz w:val="24"/>
          <w:szCs w:val="24"/>
          <w:rtl w:val="0"/>
        </w:rPr>
        <w:t xml:space="preserve">within three (3) calendar Months of the BCDR Plan (or any part) having been invoked pursuant to Paragraph 7; and</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bookmarkStart w:colFirst="0" w:colLast="0" w:name="_heading=h.35nkun2" w:id="17"/>
      <w:bookmarkEnd w:id="17"/>
      <w:r w:rsidDel="00000000" w:rsidR="00000000" w:rsidRPr="00000000">
        <w:rPr>
          <w:color w:val="000000"/>
          <w:sz w:val="24"/>
          <w:szCs w:val="24"/>
          <w:rtl w:val="0"/>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ksv4uv" w:id="18"/>
      <w:bookmarkEnd w:id="18"/>
      <w:r w:rsidDel="00000000" w:rsidR="00000000" w:rsidRPr="00000000">
        <w:rPr>
          <w:color w:val="000000"/>
          <w:sz w:val="24"/>
          <w:szCs w:val="24"/>
          <w:rtl w:val="0"/>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44sinio" w:id="19"/>
      <w:bookmarkEnd w:id="19"/>
      <w:r w:rsidDel="00000000" w:rsidR="00000000" w:rsidRPr="00000000">
        <w:rPr>
          <w:color w:val="000000"/>
          <w:sz w:val="24"/>
          <w:szCs w:val="24"/>
          <w:rtl w:val="0"/>
        </w:rPr>
        <w:t xml:space="preserve">The Supplier shall, within twenty (20) Working Days of the conclusion of each such review of the BCDR Plan, provide to the Buyer a report (a </w:t>
      </w:r>
      <w:r w:rsidDel="00000000" w:rsidR="00000000" w:rsidRPr="00000000">
        <w:rPr>
          <w:b w:val="1"/>
          <w:color w:val="000000"/>
          <w:sz w:val="24"/>
          <w:szCs w:val="24"/>
          <w:rtl w:val="0"/>
        </w:rPr>
        <w:t xml:space="preserve">"Review Report"</w:t>
      </w:r>
      <w:r w:rsidDel="00000000" w:rsidR="00000000" w:rsidRPr="00000000">
        <w:rPr>
          <w:color w:val="000000"/>
          <w:sz w:val="24"/>
          <w:szCs w:val="24"/>
          <w:rtl w:val="0"/>
        </w:rPr>
        <w:t xml:space="preserve">) setting out the Supplier's proposals (the </w:t>
      </w:r>
      <w:r w:rsidDel="00000000" w:rsidR="00000000" w:rsidRPr="00000000">
        <w:rPr>
          <w:b w:val="1"/>
          <w:color w:val="000000"/>
          <w:sz w:val="24"/>
          <w:szCs w:val="24"/>
          <w:rtl w:val="0"/>
        </w:rPr>
        <w:t xml:space="preserve">"Supplier's Proposals"</w:t>
      </w:r>
      <w:r w:rsidDel="00000000" w:rsidR="00000000" w:rsidRPr="00000000">
        <w:rPr>
          <w:color w:val="000000"/>
          <w:sz w:val="24"/>
          <w:szCs w:val="24"/>
          <w:rtl w:val="0"/>
        </w:rPr>
        <w:t xml:space="preserve">) for addressing any changes in the risk profile and its proposals for amendments to the BCDR Plan.</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2jxsxqh" w:id="20"/>
      <w:bookmarkEnd w:id="20"/>
      <w:r w:rsidDel="00000000" w:rsidR="00000000" w:rsidRPr="00000000">
        <w:rPr>
          <w:color w:val="000000"/>
          <w:sz w:val="24"/>
          <w:szCs w:val="24"/>
          <w:rtl w:val="0"/>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000000" w:rsidDel="00000000" w:rsidP="00000000" w:rsidRDefault="00000000" w:rsidRPr="00000000" w14:paraId="0000005C">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504" w:hanging="720"/>
        <w:jc w:val="left"/>
        <w:rPr>
          <w:rFonts w:ascii="Arial Bold" w:cs="Arial Bold" w:eastAsia="Arial Bold" w:hAnsi="Arial Bold"/>
          <w:b w:val="1"/>
          <w:color w:val="000000"/>
          <w:sz w:val="24"/>
          <w:szCs w:val="24"/>
        </w:rPr>
      </w:pPr>
      <w:bookmarkStart w:colFirst="0" w:colLast="0" w:name="_heading=h.z337ya" w:id="21"/>
      <w:bookmarkEnd w:id="21"/>
      <w:r w:rsidDel="00000000" w:rsidR="00000000" w:rsidRPr="00000000">
        <w:rPr>
          <w:rFonts w:ascii="Arial Bold" w:cs="Arial Bold" w:eastAsia="Arial Bold" w:hAnsi="Arial Bold"/>
          <w:b w:val="1"/>
          <w:color w:val="000000"/>
          <w:sz w:val="24"/>
          <w:szCs w:val="24"/>
          <w:rtl w:val="0"/>
        </w:rPr>
        <w:t xml:space="preserve">Testing the BCDR Plan</w:t>
      </w:r>
    </w:p>
    <w:p w:rsidR="00000000" w:rsidDel="00000000" w:rsidP="00000000" w:rsidRDefault="00000000" w:rsidRPr="00000000" w14:paraId="0000005D">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3j2qqm3" w:id="22"/>
      <w:bookmarkEnd w:id="22"/>
      <w:r w:rsidDel="00000000" w:rsidR="00000000" w:rsidRPr="00000000">
        <w:rPr>
          <w:color w:val="000000"/>
          <w:sz w:val="24"/>
          <w:szCs w:val="24"/>
          <w:rtl w:val="0"/>
        </w:rPr>
        <w:t xml:space="preserve">The Supplier shall test the BCDR Plan: </w:t>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regularly and in any event not less than once in every Contract Year;</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in the event of any major reconfiguration of the Deliverables</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at any time where the Buyer considers it necessary (acting in its sole discretion).  </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y810tw" w:id="23"/>
      <w:bookmarkEnd w:id="23"/>
      <w:r w:rsidDel="00000000" w:rsidR="00000000" w:rsidRPr="00000000">
        <w:rPr>
          <w:color w:val="000000"/>
          <w:sz w:val="24"/>
          <w:szCs w:val="24"/>
          <w:rtl w:val="0"/>
        </w:rPr>
        <w:t xml:space="preserve">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000000" w:rsidDel="00000000" w:rsidP="00000000" w:rsidRDefault="00000000" w:rsidRPr="00000000" w14:paraId="00000064">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within twenty (20) Working Days of the conclusion of each test, provide to the Buyer a report setting out:</w:t>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outcome of the test;</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any failures in the BCDR Plan (including the BCDR Plan's procedures) revealed by the test; and</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Supplier's proposals for remedying any such failures.</w:t>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4i7ojhp" w:id="24"/>
      <w:bookmarkEnd w:id="24"/>
      <w:r w:rsidDel="00000000" w:rsidR="00000000" w:rsidRPr="00000000">
        <w:rPr>
          <w:color w:val="000000"/>
          <w:sz w:val="24"/>
          <w:szCs w:val="24"/>
          <w:rtl w:val="0"/>
        </w:rPr>
        <w:t xml:space="preserve">Following each test, the Supplier shall take all measures requested by the Buyer to remedy any failures in the BCDR Plan and such remedial activity and re-testing shall be completed by the Supplier, at its own cost, by the date reasonably required by the Buyer.</w:t>
      </w:r>
    </w:p>
    <w:p w:rsidR="00000000" w:rsidDel="00000000" w:rsidP="00000000" w:rsidRDefault="00000000" w:rsidRPr="00000000" w14:paraId="00000069">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rFonts w:ascii="Arial Bold" w:cs="Arial Bold" w:eastAsia="Arial Bold" w:hAnsi="Arial Bold"/>
          <w:b w:val="1"/>
          <w:color w:val="000000"/>
          <w:sz w:val="24"/>
          <w:szCs w:val="24"/>
        </w:rPr>
      </w:pPr>
      <w:bookmarkStart w:colFirst="0" w:colLast="0" w:name="_heading=h.2xcytpi" w:id="25"/>
      <w:bookmarkEnd w:id="25"/>
      <w:r w:rsidDel="00000000" w:rsidR="00000000" w:rsidRPr="00000000">
        <w:rPr>
          <w:rFonts w:ascii="Arial Bold" w:cs="Arial Bold" w:eastAsia="Arial Bold" w:hAnsi="Arial Bold"/>
          <w:b w:val="1"/>
          <w:color w:val="000000"/>
          <w:sz w:val="24"/>
          <w:szCs w:val="24"/>
          <w:rtl w:val="0"/>
        </w:rPr>
        <w:t xml:space="preserve">Invoking the BCDR Plan</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rsidR="00000000" w:rsidDel="00000000" w:rsidP="00000000" w:rsidRDefault="00000000" w:rsidRPr="00000000" w14:paraId="0000006B">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504" w:hanging="720"/>
        <w:jc w:val="left"/>
        <w:rPr>
          <w:b w:val="1"/>
          <w:smallCaps w:val="1"/>
          <w:color w:val="000000"/>
          <w:sz w:val="24"/>
          <w:szCs w:val="24"/>
        </w:rPr>
      </w:pPr>
      <w:r w:rsidDel="00000000" w:rsidR="00000000" w:rsidRPr="00000000">
        <w:rPr>
          <w:b w:val="1"/>
          <w:smallCaps w:val="1"/>
          <w:color w:val="000000"/>
          <w:sz w:val="24"/>
          <w:szCs w:val="24"/>
          <w:rtl w:val="0"/>
        </w:rPr>
        <w:t xml:space="preserve">C</w:t>
      </w:r>
      <w:r w:rsidDel="00000000" w:rsidR="00000000" w:rsidRPr="00000000">
        <w:rPr>
          <w:rFonts w:ascii="Arial Bold" w:cs="Arial Bold" w:eastAsia="Arial Bold" w:hAnsi="Arial Bold"/>
          <w:b w:val="1"/>
          <w:color w:val="000000"/>
          <w:sz w:val="24"/>
          <w:szCs w:val="24"/>
          <w:rtl w:val="0"/>
        </w:rPr>
        <w:t xml:space="preserve">ircumstances beyond your control</w:t>
      </w:r>
      <w:r w:rsidDel="00000000" w:rsidR="00000000" w:rsidRPr="00000000">
        <w:rPr>
          <w:rtl w:val="0"/>
        </w:rPr>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not be entitled to relief under Clause 20 (Circumstances beyond your control) if it would not have been impacted by the Force Majeure Event had it not failed to comply with its obligations under this Schedule. </w:t>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pos="4513"/>
        <w:tab w:val="right" w:pos="9026"/>
      </w:tabs>
      <w:spacing w:after="0" w:lineRule="auto"/>
      <w:ind w:left="0" w:firstLine="0"/>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Framework Ref: RM619</w:t>
    </w:r>
    <w:r w:rsidDel="00000000" w:rsidR="00000000" w:rsidRPr="00000000">
      <w:rPr>
        <w:sz w:val="20"/>
        <w:szCs w:val="20"/>
        <w:rtl w:val="0"/>
      </w:rPr>
      <w:t xml:space="preserve">3</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Project Version: v</w:t>
    </w:r>
    <w:r w:rsidDel="00000000" w:rsidR="00000000" w:rsidRPr="00000000">
      <w:rPr>
        <w:sz w:val="20"/>
        <w:szCs w:val="20"/>
        <w:rtl w:val="0"/>
      </w:rPr>
      <w:t xml:space="preserve">2</w:t>
    </w:r>
    <w:r w:rsidDel="00000000" w:rsidR="00000000" w:rsidRPr="00000000">
      <w:rPr>
        <w:color w:val="000000"/>
        <w:sz w:val="20"/>
        <w:szCs w:val="20"/>
        <w:rtl w:val="0"/>
      </w:rPr>
      <w:t xml:space="preserve">.0</w:t>
      <w:tab/>
      <w:tab/>
      <w:t xml:space="preserv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a6a6a6"/>
        <w:sz w:val="20"/>
        <w:szCs w:val="20"/>
      </w:rPr>
    </w:pPr>
    <w:r w:rsidDel="00000000" w:rsidR="00000000" w:rsidRPr="00000000">
      <w:rPr>
        <w:color w:val="000000"/>
        <w:sz w:val="20"/>
        <w:szCs w:val="20"/>
        <w:rtl w:val="0"/>
      </w:rPr>
      <w:t xml:space="preserve">Model Version: v3.2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Framework Ref: RM</w:t>
      <w:tab/>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Project Version: v1.0</w:t>
      <w:tab/>
      <w:tab/>
      <w:tab/>
      <w:t xml:space="preserve">-</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Model Version: v2.9</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Call-Off Schedule 8 (Business Continuity and Disaster Recovery)</w:t>
    </w:r>
    <w:r w:rsidDel="00000000" w:rsidR="00000000" w:rsidRPr="00000000">
      <w:rPr>
        <w:rtl w:val="0"/>
      </w:rPr>
    </w:r>
  </w:p>
  <w:p w:rsidR="00000000" w:rsidDel="00000000" w:rsidP="00000000" w:rsidRDefault="00000000" w:rsidRPr="00000000" w14:paraId="0000006E">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w:t>
    </w:r>
  </w:p>
  <w:p w:rsidR="00000000" w:rsidDel="00000000" w:rsidP="00000000" w:rsidRDefault="00000000" w:rsidRPr="00000000" w14:paraId="0000006F">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Crown Copyright 2020</w:t>
    </w:r>
  </w:p>
  <w:p w:rsidR="00000000" w:rsidDel="00000000" w:rsidP="00000000" w:rsidRDefault="00000000" w:rsidRPr="00000000" w14:paraId="00000070">
    <w:pPr>
      <w:tabs>
        <w:tab w:val="center" w:pos="4513"/>
        <w:tab w:val="right" w:pos="9026"/>
      </w:tabs>
      <w:spacing w:after="0" w:lineRule="auto"/>
      <w:ind w:left="0" w:firstLine="0"/>
      <w:jc w:val="lef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cs="Arial" w:eastAsia="Arial" w:hAnsi="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Calibri" w:cs="Calibri" w:eastAsia="Calibri" w:hAnsi="Calibri"/>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eastAsia="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ind w:left="360" w:hanging="36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pPr>
    <w:rPr>
      <w:rFonts w:eastAsia="Times New Roman"/>
    </w:rPr>
  </w:style>
  <w:style w:type="table" w:styleId="TableGrid">
    <w:name w:val="Table Grid"/>
    <w:basedOn w:val="TableNormal"/>
    <w:uiPriority w:val="59"/>
    <w:pPr>
      <w:spacing w:after="0"/>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pPr>
    <w:rPr>
      <w:rFonts w:ascii="Calibri" w:cs="Calibri" w:eastAsia="Calibri" w:hAnsi="Calibri"/>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Z7+ZlX5O0VvFSqu+zN0gMiGXg==">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2020-11-06T14:14:00Z</dcterms:created>
  <dc:creator>Richard Landor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