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AA8DF" w14:textId="77777777" w:rsidR="00173E60" w:rsidRDefault="00173E60">
      <w:pPr>
        <w:ind w:left="0"/>
        <w:rPr>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173E60" w14:paraId="7DAAA8E1" w14:textId="77777777">
        <w:tc>
          <w:tcPr>
            <w:tcW w:w="9026" w:type="dxa"/>
            <w:shd w:val="clear" w:color="auto" w:fill="auto"/>
            <w:tcMar>
              <w:top w:w="100" w:type="dxa"/>
              <w:left w:w="100" w:type="dxa"/>
              <w:bottom w:w="100" w:type="dxa"/>
              <w:right w:w="100" w:type="dxa"/>
            </w:tcMar>
          </w:tcPr>
          <w:p w14:paraId="7DAAA8E0" w14:textId="77777777" w:rsidR="00173E60" w:rsidRDefault="00DE4CDC">
            <w:pPr>
              <w:widowControl w:val="0"/>
              <w:spacing w:after="0"/>
              <w:ind w:left="0"/>
              <w:jc w:val="left"/>
              <w:rPr>
                <w:b/>
                <w:highlight w:val="cyan"/>
              </w:rPr>
            </w:pPr>
            <w:r w:rsidRPr="00DE4CDC">
              <w:rPr>
                <w:b/>
              </w:rPr>
              <w:t>PLEASE RETAIN A COPY OF THIS SCHEDULE AS THIS FORMS PART OF YOUR CALL-OFF CONTRACT</w:t>
            </w:r>
          </w:p>
        </w:tc>
      </w:tr>
    </w:tbl>
    <w:p w14:paraId="7DAAA8E2" w14:textId="77777777" w:rsidR="00173E60" w:rsidRDefault="00173E60">
      <w:pPr>
        <w:ind w:left="0"/>
        <w:rPr>
          <w:b/>
          <w:sz w:val="32"/>
          <w:szCs w:val="32"/>
        </w:rPr>
      </w:pPr>
    </w:p>
    <w:p w14:paraId="7DAAA8E3" w14:textId="77777777" w:rsidR="00173E60" w:rsidRDefault="00DE4CDC">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8 (Business Continuity and Disaster Recovery)</w:t>
      </w:r>
    </w:p>
    <w:p w14:paraId="7DAAA8E4"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bookmarkStart w:id="0" w:name="_heading=h.gjdgxs" w:colFirst="0" w:colLast="0"/>
      <w:bookmarkEnd w:id="0"/>
      <w:r>
        <w:rPr>
          <w:rFonts w:eastAsia="Arial"/>
          <w:b/>
          <w:smallCaps/>
          <w:color w:val="000000"/>
          <w:sz w:val="24"/>
          <w:szCs w:val="24"/>
        </w:rPr>
        <w:t>D</w:t>
      </w:r>
      <w:r>
        <w:rPr>
          <w:rFonts w:ascii="Arial Bold" w:eastAsia="Arial Bold" w:hAnsi="Arial Bold" w:cs="Arial Bold"/>
          <w:b/>
          <w:color w:val="000000"/>
          <w:sz w:val="24"/>
          <w:szCs w:val="24"/>
        </w:rPr>
        <w:t>efinitions</w:t>
      </w:r>
    </w:p>
    <w:p w14:paraId="7DAAA8E5"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15" w:type="dxa"/>
          <w:right w:w="115" w:type="dxa"/>
        </w:tblCellMar>
        <w:tblLook w:val="0400" w:firstRow="0" w:lastRow="0" w:firstColumn="0" w:lastColumn="0" w:noHBand="0" w:noVBand="1"/>
      </w:tblPr>
      <w:tblGrid>
        <w:gridCol w:w="3097"/>
        <w:gridCol w:w="5075"/>
      </w:tblGrid>
      <w:tr w:rsidR="00173E60" w14:paraId="7DAAA8E8" w14:textId="77777777">
        <w:tc>
          <w:tcPr>
            <w:tcW w:w="3097" w:type="dxa"/>
          </w:tcPr>
          <w:p w14:paraId="7DAAA8E6"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"BCDR Plan"</w:t>
            </w:r>
          </w:p>
        </w:tc>
        <w:tc>
          <w:tcPr>
            <w:tcW w:w="5075" w:type="dxa"/>
          </w:tcPr>
          <w:p w14:paraId="7DAAA8E7"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2.2 of this Schedule;</w:t>
            </w:r>
          </w:p>
        </w:tc>
      </w:tr>
      <w:tr w:rsidR="00173E60" w14:paraId="7DAAA8EB" w14:textId="77777777">
        <w:tc>
          <w:tcPr>
            <w:tcW w:w="3097" w:type="dxa"/>
          </w:tcPr>
          <w:p w14:paraId="7DAAA8E9"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"Business Continuity Plan"</w:t>
            </w:r>
          </w:p>
        </w:tc>
        <w:tc>
          <w:tcPr>
            <w:tcW w:w="5075" w:type="dxa"/>
          </w:tcPr>
          <w:p w14:paraId="7DAAA8EA"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2.3.2 of this Schedule;</w:t>
            </w:r>
          </w:p>
        </w:tc>
      </w:tr>
      <w:tr w:rsidR="00173E60" w14:paraId="7DAAA8EE" w14:textId="77777777">
        <w:tc>
          <w:tcPr>
            <w:tcW w:w="3097" w:type="dxa"/>
          </w:tcPr>
          <w:p w14:paraId="7DAAA8EC"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Deliverables"</w:t>
            </w:r>
          </w:p>
        </w:tc>
        <w:tc>
          <w:tcPr>
            <w:tcW w:w="5075" w:type="dxa"/>
          </w:tcPr>
          <w:p w14:paraId="7DAAA8ED" w14:textId="77777777" w:rsidR="00173E60" w:rsidRDefault="00DE4CDC">
            <w:pPr>
              <w:numPr>
                <w:ilvl w:val="0"/>
                <w:numId w:val="4"/>
              </w:numPr>
              <w:pBdr>
                <w:top w:val="nil"/>
                <w:left w:val="nil"/>
                <w:bottom w:val="nil"/>
                <w:right w:val="nil"/>
                <w:between w:val="nil"/>
              </w:pBdr>
              <w:tabs>
                <w:tab w:val="left" w:pos="-9"/>
                <w:tab w:val="left" w:pos="-179"/>
              </w:tabs>
              <w:spacing w:after="120"/>
              <w:jc w:val="left"/>
              <w:rPr>
                <w:rFonts w:eastAsia="Arial"/>
                <w:color w:val="000000"/>
                <w:sz w:val="24"/>
                <w:szCs w:val="24"/>
              </w:rPr>
            </w:pPr>
            <w:r>
              <w:rPr>
                <w:rFonts w:eastAsia="Arial"/>
                <w:color w:val="000000"/>
                <w:sz w:val="24"/>
                <w:szCs w:val="24"/>
              </w:rPr>
              <w:t>the Deliverables embodied in the processes and procedures for restoring the provision of Deliverables following the occurrence of a Disaster;</w:t>
            </w:r>
          </w:p>
        </w:tc>
      </w:tr>
      <w:tr w:rsidR="00173E60" w14:paraId="7DAAA8F1" w14:textId="77777777">
        <w:tc>
          <w:tcPr>
            <w:tcW w:w="3097" w:type="dxa"/>
          </w:tcPr>
          <w:p w14:paraId="7DAAA8EF"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Plan"</w:t>
            </w:r>
          </w:p>
        </w:tc>
        <w:tc>
          <w:tcPr>
            <w:tcW w:w="5075" w:type="dxa"/>
          </w:tcPr>
          <w:p w14:paraId="7DAAA8F0"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2.3.3 of this Schedule;</w:t>
            </w:r>
          </w:p>
        </w:tc>
      </w:tr>
      <w:tr w:rsidR="00173E60" w14:paraId="7DAAA8F4" w14:textId="77777777">
        <w:tc>
          <w:tcPr>
            <w:tcW w:w="3097" w:type="dxa"/>
          </w:tcPr>
          <w:p w14:paraId="7DAAA8F2"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System"</w:t>
            </w:r>
          </w:p>
        </w:tc>
        <w:tc>
          <w:tcPr>
            <w:tcW w:w="5075" w:type="dxa"/>
          </w:tcPr>
          <w:p w14:paraId="7DAAA8F3"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system embodied in the processes and procedures for restoring the provision of Deliverables following the occurrence of a Disaster;</w:t>
            </w:r>
          </w:p>
        </w:tc>
      </w:tr>
      <w:tr w:rsidR="00173E60" w14:paraId="7DAAA8F7" w14:textId="77777777">
        <w:trPr>
          <w:trHeight w:val="567"/>
        </w:trPr>
        <w:tc>
          <w:tcPr>
            <w:tcW w:w="3097" w:type="dxa"/>
          </w:tcPr>
          <w:p w14:paraId="7DAAA8F5"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"Related Supplier"</w:t>
            </w:r>
          </w:p>
        </w:tc>
        <w:tc>
          <w:tcPr>
            <w:tcW w:w="5075" w:type="dxa"/>
          </w:tcPr>
          <w:p w14:paraId="7DAAA8F6"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any person who provides Deliverables to the Buyer which are related to the Deliverables from time to time;</w:t>
            </w:r>
          </w:p>
        </w:tc>
      </w:tr>
      <w:tr w:rsidR="00173E60" w14:paraId="7DAAA8FA" w14:textId="77777777">
        <w:trPr>
          <w:trHeight w:val="567"/>
        </w:trPr>
        <w:tc>
          <w:tcPr>
            <w:tcW w:w="3097" w:type="dxa"/>
          </w:tcPr>
          <w:p w14:paraId="7DAAA8F8"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"Review Report"</w:t>
            </w:r>
          </w:p>
        </w:tc>
        <w:tc>
          <w:tcPr>
            <w:tcW w:w="5075" w:type="dxa"/>
          </w:tcPr>
          <w:p w14:paraId="7DAAA8F9"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 and</w:t>
            </w:r>
          </w:p>
        </w:tc>
      </w:tr>
      <w:tr w:rsidR="00173E60" w14:paraId="7DAAA8FD" w14:textId="77777777">
        <w:tc>
          <w:tcPr>
            <w:tcW w:w="3097" w:type="dxa"/>
          </w:tcPr>
          <w:p w14:paraId="7DAAA8FB" w14:textId="77777777" w:rsidR="00173E60" w:rsidRDefault="00DE4CDC">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"Supplier's Proposals"</w:t>
            </w:r>
          </w:p>
        </w:tc>
        <w:tc>
          <w:tcPr>
            <w:tcW w:w="5075" w:type="dxa"/>
          </w:tcPr>
          <w:p w14:paraId="7DAAA8FC" w14:textId="77777777" w:rsidR="00173E60" w:rsidRDefault="00DE4CDC">
            <w:pPr>
              <w:numPr>
                <w:ilvl w:val="0"/>
                <w:numId w:val="4"/>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w:t>
            </w:r>
          </w:p>
        </w:tc>
      </w:tr>
    </w:tbl>
    <w:p w14:paraId="7DAAA8FE"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BCDR Plan</w:t>
      </w:r>
    </w:p>
    <w:p w14:paraId="7DAAA8FF"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1" w:name="_heading=h.30j0zll" w:colFirst="0" w:colLast="0"/>
      <w:bookmarkEnd w:id="1"/>
      <w:r>
        <w:rPr>
          <w:rFonts w:eastAsia="Arial"/>
          <w:color w:val="000000"/>
          <w:sz w:val="24"/>
          <w:szCs w:val="24"/>
        </w:rPr>
        <w:t>The Buyer and the Supplier recognise that, where specified in Schedule 4 (Framework Management), CCS shall have the right to enforce the Buyer's rights under this Schedule.</w:t>
      </w:r>
    </w:p>
    <w:p w14:paraId="7DAAA900"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2" w:name="_heading=h.1fob9te" w:colFirst="0" w:colLast="0"/>
      <w:bookmarkEnd w:id="2"/>
      <w:r>
        <w:rPr>
          <w:rFonts w:eastAsia="Arial"/>
          <w:color w:val="000000"/>
          <w:sz w:val="24"/>
          <w:szCs w:val="24"/>
        </w:rPr>
        <w:t xml:space="preserve">At least ninety (90) Working Days prior to the Start Date the Supplier shall prepare and deliver to the Buyer for the Buyer’s written approval a plan (a </w:t>
      </w:r>
      <w:r>
        <w:rPr>
          <w:rFonts w:eastAsia="Arial"/>
          <w:b/>
          <w:color w:val="000000"/>
          <w:sz w:val="24"/>
          <w:szCs w:val="24"/>
        </w:rPr>
        <w:lastRenderedPageBreak/>
        <w:t>“BCDR Plan”</w:t>
      </w:r>
      <w:r>
        <w:rPr>
          <w:rFonts w:eastAsia="Arial"/>
          <w:color w:val="000000"/>
          <w:sz w:val="24"/>
          <w:szCs w:val="24"/>
        </w:rPr>
        <w:t>), which shall detail the processes and arrangements that the Supplier shall follow to:</w:t>
      </w:r>
    </w:p>
    <w:p w14:paraId="7DAAA901"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following any failure or disruption of any element of the Deliverables; and</w:t>
      </w:r>
    </w:p>
    <w:p w14:paraId="7DAAA902"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recovery of the Deliverables in the event of a Disaster </w:t>
      </w:r>
    </w:p>
    <w:p w14:paraId="7DAAA903"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divided into three sections:</w:t>
      </w:r>
    </w:p>
    <w:p w14:paraId="7DAAA904"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3" w:name="_heading=h.3znysh7" w:colFirst="0" w:colLast="0"/>
      <w:bookmarkEnd w:id="3"/>
      <w:r>
        <w:rPr>
          <w:rFonts w:eastAsia="Arial"/>
          <w:color w:val="000000"/>
          <w:sz w:val="24"/>
          <w:szCs w:val="24"/>
        </w:rPr>
        <w:t xml:space="preserve">Section 1 which shall set out general principles applicable to the BCDR Plan; </w:t>
      </w:r>
    </w:p>
    <w:p w14:paraId="7DAAA905"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4" w:name="_heading=h.2et92p0" w:colFirst="0" w:colLast="0"/>
      <w:bookmarkEnd w:id="4"/>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14:paraId="7DAAA906"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tyjcwt" w:colFirst="0" w:colLast="0"/>
      <w:bookmarkEnd w:id="5"/>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p>
    <w:p w14:paraId="7DAAA907"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6" w:name="_heading=h.3dy6vkm" w:colFirst="0" w:colLast="0"/>
      <w:bookmarkEnd w:id="6"/>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7DAAA908"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bookmarkStart w:id="7" w:name="_heading=h.1t3h5sf" w:colFirst="0" w:colLast="0"/>
      <w:bookmarkEnd w:id="7"/>
      <w:r>
        <w:rPr>
          <w:rFonts w:ascii="Arial Bold" w:eastAsia="Arial Bold" w:hAnsi="Arial Bold" w:cs="Arial Bold"/>
          <w:b/>
          <w:color w:val="000000"/>
          <w:sz w:val="24"/>
          <w:szCs w:val="24"/>
        </w:rPr>
        <w:t>General Principles of the BCDR Plan (Section 1)</w:t>
      </w:r>
    </w:p>
    <w:p w14:paraId="7DAAA909"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14:paraId="7DAAA90A"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14:paraId="7DAAA90B"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provided to the Buyer by a Related Supplier;</w:t>
      </w:r>
    </w:p>
    <w:p w14:paraId="7DAAA90C"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14:paraId="7DAAA90D"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7DAAA90E"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communication strategy including details of an incident and problem management service and advice and help desk facility which can be accessed via multiple channels;</w:t>
      </w:r>
    </w:p>
    <w:p w14:paraId="7DAAA90F" w14:textId="77777777" w:rsidR="00173E60" w:rsidRDefault="00DE4CDC">
      <w:pPr>
        <w:keepNext/>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risk analysis, including:</w:t>
      </w:r>
    </w:p>
    <w:p w14:paraId="7DAAA910" w14:textId="77777777" w:rsidR="00173E60" w:rsidRDefault="00DE4CDC">
      <w:pPr>
        <w:numPr>
          <w:ilvl w:val="3"/>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failure or disruption scenarios and assessments of likely frequency of occurrence;</w:t>
      </w:r>
    </w:p>
    <w:p w14:paraId="7DAAA911" w14:textId="77777777" w:rsidR="00173E60" w:rsidRDefault="00DE4CDC">
      <w:pPr>
        <w:numPr>
          <w:ilvl w:val="3"/>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any single points of failure within the provision of Deliverables and processes for managing those risks;</w:t>
      </w:r>
    </w:p>
    <w:p w14:paraId="7DAAA912" w14:textId="77777777" w:rsidR="00173E60" w:rsidRDefault="00DE4CDC">
      <w:pPr>
        <w:numPr>
          <w:ilvl w:val="3"/>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identification of risks arising from the interaction of the provision of Deliverables with the goods and/or services provided by a Related Supplier; and</w:t>
      </w:r>
    </w:p>
    <w:p w14:paraId="7DAAA913" w14:textId="77777777" w:rsidR="00173E60" w:rsidRDefault="00DE4CDC">
      <w:pPr>
        <w:numPr>
          <w:ilvl w:val="3"/>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 business impact analysis of different anticipated failures or disruptions;</w:t>
      </w:r>
    </w:p>
    <w:p w14:paraId="7DAAA914"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documentation of processes, including business processes, and procedures;</w:t>
      </w:r>
    </w:p>
    <w:p w14:paraId="7DAAA915"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14:paraId="7DAAA916"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14:paraId="7DAAA917"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14:paraId="7DAAA918"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invocation of the BCDR Plan; and</w:t>
      </w:r>
    </w:p>
    <w:p w14:paraId="7DAAA919"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the provision of technical assistance to key contacts at the Buyer as required by the Buyer to inform decisions in support of the Buyer’s business continuity plans.</w:t>
      </w:r>
    </w:p>
    <w:p w14:paraId="7DAAA91A"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that:</w:t>
      </w:r>
    </w:p>
    <w:p w14:paraId="7DAAA91B"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14:paraId="7DAAA91C"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adverse impact of any Disaster is minimised as far as reasonably possible; </w:t>
      </w:r>
    </w:p>
    <w:p w14:paraId="7DAAA91D"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ISO/IEC 27002; ISO22301/ISO22313   and all other industry standards from time to time in force; and</w:t>
      </w:r>
    </w:p>
    <w:p w14:paraId="7DAAA91E"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details a process for the management of disaster recovery testing.</w:t>
      </w:r>
    </w:p>
    <w:p w14:paraId="7DAAA91F"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upgradeable and sufficiently flexible to support any changes to the Deliverables and the business operations supported by the provision of Deliverables.</w:t>
      </w:r>
    </w:p>
    <w:p w14:paraId="7DAAA920"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7DAAA921"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Business Continuity (Section 2)</w:t>
      </w:r>
    </w:p>
    <w:p w14:paraId="7DAAA922"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8" w:name="_heading=h.4d34og8" w:colFirst="0" w:colLast="0"/>
      <w:bookmarkEnd w:id="8"/>
      <w:r>
        <w:rPr>
          <w:rFonts w:eastAsia="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7DAAA923"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the alternative processes, options and responsibilities that may be adopted in the event of a failure in or disruption to the provision of Deliverables; and</w:t>
      </w:r>
    </w:p>
    <w:p w14:paraId="7DAAA924"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steps to be taken by the Supplier upon resumption of the provision of Deliverables in order to address the effect of the failure or disruption.</w:t>
      </w:r>
    </w:p>
    <w:p w14:paraId="7DAAA925"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Business Continuity Plan shall:</w:t>
      </w:r>
    </w:p>
    <w:p w14:paraId="7DAAA926"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14:paraId="7DAAA927"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9" w:name="_heading=h.2s8eyo1" w:colFirst="0" w:colLast="0"/>
      <w:bookmarkEnd w:id="9"/>
      <w:r>
        <w:rPr>
          <w:rFonts w:eastAsia="Arial"/>
          <w:color w:val="000000"/>
          <w:sz w:val="24"/>
          <w:szCs w:val="24"/>
        </w:rPr>
        <w:t>set out the goods and/or services to be provided and the steps to be taken to remedy the different levels of failures of and disruption to the Deliverables;</w:t>
      </w:r>
    </w:p>
    <w:p w14:paraId="7DAAA928"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7DAAA929"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the circumstances in which the Business Continuity Plan is invoked.</w:t>
      </w:r>
    </w:p>
    <w:p w14:paraId="7DAAA92A"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Disaster Recovery (Section 3)</w:t>
      </w:r>
    </w:p>
    <w:p w14:paraId="7DAAA92B"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10" w:name="_heading=h.17dp8vu" w:colFirst="0" w:colLast="0"/>
      <w:bookmarkEnd w:id="10"/>
      <w:r>
        <w:rPr>
          <w:rFonts w:eastAsia="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7DAAA92C"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following:</w:t>
      </w:r>
    </w:p>
    <w:p w14:paraId="7DAAA92D"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14:paraId="7DAAA92E"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14:paraId="7DAAA92F"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14:paraId="7DAAA930"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14:paraId="7DAAA931"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14:paraId="7DAAA932"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14:paraId="7DAAA933"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14:paraId="7DAAA934"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BCDR Plan testing; </w:t>
      </w:r>
    </w:p>
    <w:p w14:paraId="7DAAA935"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post implementation review process; </w:t>
      </w:r>
    </w:p>
    <w:p w14:paraId="7DAAA936"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7DAAA937"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which the Disaster Recovery Plan is invoked;</w:t>
      </w:r>
    </w:p>
    <w:p w14:paraId="7DAAA938"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access controls to any disaster recovery sites used by the Supplier in relation to its obligations pursuant to this Schedule; and</w:t>
      </w:r>
    </w:p>
    <w:p w14:paraId="7DAAA939"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testing and management arrangements.</w:t>
      </w:r>
    </w:p>
    <w:p w14:paraId="7DAAA93A" w14:textId="77777777" w:rsidR="00173E60" w:rsidRDefault="00DE4CDC">
      <w:pPr>
        <w:keepNext/>
        <w:numPr>
          <w:ilvl w:val="0"/>
          <w:numId w:val="3"/>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Review and changing the BCDR Plan</w:t>
      </w:r>
    </w:p>
    <w:p w14:paraId="7DAAA93B"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bookmarkStart w:id="11" w:name="_heading=h.3rdcrjn" w:colFirst="0" w:colLast="0"/>
      <w:bookmarkEnd w:id="11"/>
      <w:r>
        <w:rPr>
          <w:rFonts w:eastAsia="Arial"/>
          <w:color w:val="000000"/>
          <w:sz w:val="24"/>
          <w:szCs w:val="24"/>
        </w:rPr>
        <w:t>The Supplier shall review the BCDR Plan:</w:t>
      </w:r>
    </w:p>
    <w:p w14:paraId="7DAAA93C"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2" w:name="_heading=h.26in1rg" w:colFirst="0" w:colLast="0"/>
      <w:bookmarkEnd w:id="12"/>
      <w:r>
        <w:rPr>
          <w:rFonts w:eastAsia="Arial"/>
          <w:color w:val="000000"/>
          <w:sz w:val="24"/>
          <w:szCs w:val="24"/>
        </w:rPr>
        <w:t>on a regular basis and as a minimum once every six (6) Months;</w:t>
      </w:r>
    </w:p>
    <w:p w14:paraId="7DAAA93D"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3" w:name="_heading=h.lnxbz9" w:colFirst="0" w:colLast="0"/>
      <w:bookmarkEnd w:id="13"/>
      <w:r>
        <w:rPr>
          <w:rFonts w:eastAsia="Arial"/>
          <w:color w:val="000000"/>
          <w:sz w:val="24"/>
          <w:szCs w:val="24"/>
        </w:rPr>
        <w:t>within three (3) calendar Months of the BCDR Plan (or any part) having been invoked pursuant to Paragraph 7; and</w:t>
      </w:r>
    </w:p>
    <w:p w14:paraId="7DAAA93E"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4" w:name="_heading=h.35nkun2" w:colFirst="0" w:colLast="0"/>
      <w:bookmarkEnd w:id="14"/>
      <w:r>
        <w:rPr>
          <w:rFonts w:eastAsia="Arial"/>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7DAAA93F"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15" w:name="_heading=h.1ksv4uv" w:colFirst="0" w:colLast="0"/>
      <w:bookmarkEnd w:id="15"/>
      <w:r>
        <w:rPr>
          <w:rFonts w:eastAsia="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7DAAA940"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16" w:name="_heading=h.44sinio" w:colFirst="0" w:colLast="0"/>
      <w:bookmarkEnd w:id="16"/>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Proposals"</w:t>
      </w:r>
      <w:r>
        <w:rPr>
          <w:rFonts w:eastAsia="Arial"/>
          <w:color w:val="000000"/>
          <w:sz w:val="24"/>
          <w:szCs w:val="24"/>
        </w:rPr>
        <w:t>) for addressing any changes in the risk profile and its proposals for amendments to the BCDR Plan.</w:t>
      </w:r>
    </w:p>
    <w:p w14:paraId="7DAAA941"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17" w:name="_heading=h.2jxsxqh" w:colFirst="0" w:colLast="0"/>
      <w:bookmarkEnd w:id="17"/>
      <w:r>
        <w:rPr>
          <w:rFonts w:eastAsia="Arial"/>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7DAAA942"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7DAAA943" w14:textId="77777777" w:rsidR="00173E60" w:rsidRDefault="00DE4CDC">
      <w:pPr>
        <w:keepNext/>
        <w:numPr>
          <w:ilvl w:val="0"/>
          <w:numId w:val="3"/>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bookmarkStart w:id="18" w:name="_heading=h.z337ya" w:colFirst="0" w:colLast="0"/>
      <w:bookmarkEnd w:id="18"/>
      <w:r>
        <w:rPr>
          <w:rFonts w:ascii="Arial Bold" w:eastAsia="Arial Bold" w:hAnsi="Arial Bold" w:cs="Arial Bold"/>
          <w:b/>
          <w:color w:val="000000"/>
          <w:sz w:val="24"/>
          <w:szCs w:val="24"/>
        </w:rPr>
        <w:t>Testing the BCDR Plan</w:t>
      </w:r>
    </w:p>
    <w:p w14:paraId="7DAAA944"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bookmarkStart w:id="19" w:name="_heading=h.3j2qqm3" w:colFirst="0" w:colLast="0"/>
      <w:bookmarkEnd w:id="19"/>
      <w:r>
        <w:rPr>
          <w:rFonts w:eastAsia="Arial"/>
          <w:color w:val="000000"/>
          <w:sz w:val="24"/>
          <w:szCs w:val="24"/>
        </w:rPr>
        <w:t xml:space="preserve">The Supplier shall test the BCDR Plan: </w:t>
      </w:r>
    </w:p>
    <w:p w14:paraId="7DAAA945"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14:paraId="7DAAA946"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p>
    <w:p w14:paraId="7DAAA947"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at any time where the Buyer considers it necessary (acting in its sole discretion).  </w:t>
      </w:r>
    </w:p>
    <w:p w14:paraId="7DAAA948"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20" w:name="_heading=h.1y810tw" w:colFirst="0" w:colLast="0"/>
      <w:bookmarkEnd w:id="20"/>
      <w:r>
        <w:rPr>
          <w:rFonts w:eastAsia="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7DAAA949"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7DAAA94A"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7DAAA94B" w14:textId="77777777" w:rsidR="00173E60" w:rsidRDefault="00DE4CDC">
      <w:pPr>
        <w:keepNext/>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Days of the conclusion of each test, provide to the Buyer a report setting out:</w:t>
      </w:r>
    </w:p>
    <w:p w14:paraId="7DAAA94C"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14:paraId="7DAAA94D"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14:paraId="7DAAA94E" w14:textId="77777777" w:rsidR="00173E60" w:rsidRDefault="00DE4CDC">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proposals for remedying any such failures.</w:t>
      </w:r>
    </w:p>
    <w:p w14:paraId="7DAAA94F"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bookmarkStart w:id="21" w:name="_heading=h.4i7ojhp" w:colFirst="0" w:colLast="0"/>
      <w:bookmarkEnd w:id="21"/>
      <w:r>
        <w:rPr>
          <w:rFonts w:eastAsia="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7DAAA950" w14:textId="77777777" w:rsidR="00173E60" w:rsidRDefault="00DE4CDC">
      <w:pPr>
        <w:keepNext/>
        <w:numPr>
          <w:ilvl w:val="0"/>
          <w:numId w:val="3"/>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22" w:name="_heading=h.2xcytpi" w:colFirst="0" w:colLast="0"/>
      <w:bookmarkEnd w:id="22"/>
      <w:r>
        <w:rPr>
          <w:rFonts w:ascii="Arial Bold" w:eastAsia="Arial Bold" w:hAnsi="Arial Bold" w:cs="Arial Bold"/>
          <w:b/>
          <w:color w:val="000000"/>
          <w:sz w:val="24"/>
          <w:szCs w:val="24"/>
        </w:rPr>
        <w:t>Invoking the BCDR Plan</w:t>
      </w:r>
    </w:p>
    <w:p w14:paraId="7DAAA951"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7DAAA952" w14:textId="77777777" w:rsidR="00173E60" w:rsidRDefault="00DE4CDC">
      <w:pPr>
        <w:keepNext/>
        <w:numPr>
          <w:ilvl w:val="0"/>
          <w:numId w:val="3"/>
        </w:numPr>
        <w:pBdr>
          <w:top w:val="nil"/>
          <w:left w:val="nil"/>
          <w:bottom w:val="nil"/>
          <w:right w:val="nil"/>
          <w:between w:val="nil"/>
        </w:pBdr>
        <w:tabs>
          <w:tab w:val="left" w:pos="0"/>
        </w:tabs>
        <w:spacing w:before="240"/>
        <w:ind w:left="504"/>
        <w:jc w:val="left"/>
        <w:rPr>
          <w:rFonts w:eastAsia="Arial"/>
          <w:b/>
          <w:smallCaps/>
          <w:color w:val="000000"/>
          <w:sz w:val="24"/>
          <w:szCs w:val="24"/>
        </w:rPr>
      </w:pPr>
      <w:r>
        <w:rPr>
          <w:rFonts w:eastAsia="Arial"/>
          <w:b/>
          <w:smallCaps/>
          <w:color w:val="000000"/>
          <w:sz w:val="24"/>
          <w:szCs w:val="24"/>
        </w:rPr>
        <w:t>C</w:t>
      </w:r>
      <w:r>
        <w:rPr>
          <w:rFonts w:ascii="Arial Bold" w:eastAsia="Arial Bold" w:hAnsi="Arial Bold" w:cs="Arial Bold"/>
          <w:b/>
          <w:color w:val="000000"/>
          <w:sz w:val="24"/>
          <w:szCs w:val="24"/>
        </w:rPr>
        <w:t>ircumstances beyond your control</w:t>
      </w:r>
    </w:p>
    <w:p w14:paraId="7DAAA953" w14:textId="77777777" w:rsidR="00173E60" w:rsidRDefault="00DE4CDC">
      <w:pPr>
        <w:numPr>
          <w:ilvl w:val="1"/>
          <w:numId w:val="3"/>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173E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C496" w14:textId="77777777" w:rsidR="00DE4CDC" w:rsidRDefault="00DE4CDC">
      <w:pPr>
        <w:spacing w:after="0"/>
      </w:pPr>
      <w:r>
        <w:separator/>
      </w:r>
    </w:p>
  </w:endnote>
  <w:endnote w:type="continuationSeparator" w:id="0">
    <w:p w14:paraId="39139B56" w14:textId="77777777" w:rsidR="00DE4CDC" w:rsidRDefault="00DE4CDC">
      <w:pPr>
        <w:spacing w:after="0"/>
      </w:pPr>
      <w:r>
        <w:continuationSeparator/>
      </w:r>
    </w:p>
  </w:endnote>
  <w:endnote w:type="continuationNotice" w:id="1">
    <w:p w14:paraId="5C949939" w14:textId="77777777" w:rsidR="00DB2D6E" w:rsidRDefault="00DB2D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2542" w14:textId="77777777" w:rsidR="00DE4CDC" w:rsidRDefault="00DE4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A958" w14:textId="77777777" w:rsidR="00DE4CDC" w:rsidRDefault="00DE4CDC">
    <w:pPr>
      <w:tabs>
        <w:tab w:val="center" w:pos="4513"/>
        <w:tab w:val="right" w:pos="9026"/>
      </w:tabs>
      <w:spacing w:after="0"/>
      <w:ind w:left="0"/>
      <w:rPr>
        <w:rFonts w:ascii="Calibri" w:eastAsia="Calibri" w:hAnsi="Calibri" w:cs="Calibri"/>
        <w:color w:val="A6A6A6"/>
      </w:rPr>
    </w:pPr>
  </w:p>
  <w:p w14:paraId="7DAAA959" w14:textId="2EB489CE" w:rsidR="00DE4CDC" w:rsidRDefault="00DE4CDC">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sz w:val="20"/>
        <w:szCs w:val="20"/>
      </w:rPr>
      <w:t>6174</w:t>
    </w:r>
    <w:bookmarkStart w:id="23" w:name="_GoBack"/>
    <w:bookmarkEnd w:id="23"/>
  </w:p>
  <w:p w14:paraId="7DAAA95A" w14:textId="5F176D0A" w:rsidR="00DE4CDC" w:rsidRDefault="00DE4CDC">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DB2D6E">
      <w:rPr>
        <w:rFonts w:eastAsia="Arial"/>
        <w:noProof/>
        <w:color w:val="000000"/>
        <w:sz w:val="20"/>
        <w:szCs w:val="20"/>
      </w:rPr>
      <w:t>1</w:t>
    </w:r>
    <w:r>
      <w:rPr>
        <w:rFonts w:eastAsia="Arial"/>
        <w:color w:val="000000"/>
        <w:sz w:val="20"/>
        <w:szCs w:val="20"/>
      </w:rPr>
      <w:fldChar w:fldCharType="end"/>
    </w:r>
  </w:p>
  <w:p w14:paraId="7DAAA95B" w14:textId="77777777" w:rsidR="00DE4CDC" w:rsidRDefault="00DE4CDC">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000000"/>
        <w:sz w:val="20"/>
        <w:szCs w:val="20"/>
      </w:rPr>
      <w:t>Model Version: v3.2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A95C" w14:textId="77777777" w:rsidR="00DE4CDC" w:rsidRDefault="00DE4CDC">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t xml:space="preserve">                                           </w:t>
    </w:r>
  </w:p>
  <w:p w14:paraId="7DAAA95D" w14:textId="77777777" w:rsidR="00DE4CDC" w:rsidRDefault="00DE4CDC">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14:paraId="7DAAA95E" w14:textId="77777777" w:rsidR="00DE4CDC" w:rsidRDefault="00DE4CDC">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58EC" w14:textId="77777777" w:rsidR="00DE4CDC" w:rsidRDefault="00DE4CDC">
      <w:pPr>
        <w:spacing w:after="0"/>
      </w:pPr>
      <w:r>
        <w:separator/>
      </w:r>
    </w:p>
  </w:footnote>
  <w:footnote w:type="continuationSeparator" w:id="0">
    <w:p w14:paraId="281A5186" w14:textId="77777777" w:rsidR="00DE4CDC" w:rsidRDefault="00DE4CDC">
      <w:pPr>
        <w:spacing w:after="0"/>
      </w:pPr>
      <w:r>
        <w:continuationSeparator/>
      </w:r>
    </w:p>
  </w:footnote>
  <w:footnote w:type="continuationNotice" w:id="1">
    <w:p w14:paraId="3414B5C2" w14:textId="77777777" w:rsidR="00DB2D6E" w:rsidRDefault="00DB2D6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6E5B" w14:textId="77777777" w:rsidR="00DE4CDC" w:rsidRDefault="00DE4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A954" w14:textId="77777777" w:rsidR="00DE4CDC" w:rsidRDefault="00DE4CDC">
    <w:pPr>
      <w:tabs>
        <w:tab w:val="center" w:pos="4513"/>
        <w:tab w:val="right" w:pos="9026"/>
      </w:tabs>
      <w:spacing w:after="0"/>
      <w:ind w:left="0"/>
      <w:jc w:val="left"/>
      <w:rPr>
        <w:sz w:val="20"/>
        <w:szCs w:val="20"/>
      </w:rPr>
    </w:pPr>
    <w:r>
      <w:rPr>
        <w:b/>
        <w:sz w:val="20"/>
        <w:szCs w:val="20"/>
      </w:rPr>
      <w:t>Call-Off Schedule 8 (Business Continuity and Disaster Recovery)</w:t>
    </w:r>
  </w:p>
  <w:p w14:paraId="7DAAA955" w14:textId="77777777" w:rsidR="00DE4CDC" w:rsidRDefault="00DE4CDC">
    <w:pPr>
      <w:tabs>
        <w:tab w:val="center" w:pos="4513"/>
        <w:tab w:val="right" w:pos="9026"/>
      </w:tabs>
      <w:spacing w:after="0"/>
      <w:ind w:left="0"/>
      <w:jc w:val="left"/>
      <w:rPr>
        <w:sz w:val="20"/>
        <w:szCs w:val="20"/>
      </w:rPr>
    </w:pPr>
    <w:r>
      <w:rPr>
        <w:sz w:val="20"/>
        <w:szCs w:val="20"/>
      </w:rPr>
      <w:t>Call-Off Ref:</w:t>
    </w:r>
  </w:p>
  <w:p w14:paraId="7DAAA956" w14:textId="77777777" w:rsidR="00DE4CDC" w:rsidRDefault="00DE4CDC">
    <w:pPr>
      <w:tabs>
        <w:tab w:val="center" w:pos="4513"/>
        <w:tab w:val="right" w:pos="9026"/>
      </w:tabs>
      <w:spacing w:after="0"/>
      <w:ind w:left="0"/>
      <w:jc w:val="left"/>
      <w:rPr>
        <w:sz w:val="20"/>
        <w:szCs w:val="20"/>
      </w:rPr>
    </w:pPr>
    <w:r>
      <w:rPr>
        <w:sz w:val="20"/>
        <w:szCs w:val="20"/>
      </w:rPr>
      <w:t>Crown Copyright 2018</w:t>
    </w:r>
  </w:p>
  <w:p w14:paraId="7DAAA957" w14:textId="77777777" w:rsidR="00DE4CDC" w:rsidRDefault="00DE4CDC">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FFFD" w14:textId="77777777" w:rsidR="00DE4CDC" w:rsidRDefault="00DE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515"/>
    <w:multiLevelType w:val="multilevel"/>
    <w:tmpl w:val="3D0A250C"/>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171D6077"/>
    <w:multiLevelType w:val="multilevel"/>
    <w:tmpl w:val="E864D012"/>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61053F4C"/>
    <w:multiLevelType w:val="multilevel"/>
    <w:tmpl w:val="03CCFE20"/>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4045DA"/>
    <w:multiLevelType w:val="multilevel"/>
    <w:tmpl w:val="F6D4B47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60"/>
    <w:rsid w:val="00173E60"/>
    <w:rsid w:val="00225517"/>
    <w:rsid w:val="009A3CE3"/>
    <w:rsid w:val="00DB2D6E"/>
    <w:rsid w:val="00DE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AAA8DF"/>
  <w15:docId w15:val="{FA673C1E-B5A9-4BAB-89B1-F9E624CE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3"/>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3"/>
      </w:numPr>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4"/>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MehiUKXy78fl/WjVag0sZImBg==">AMUW2mXQ+0GdcYUpv5aUsP2uT8jXNKIiJM8CjoqGmM54lJ8sqhP696n93NYFwezPw/CVXJyDGcJL38FsCUaDss0OjEt75AXaOlLCNZ3eHp0UX2GuK/c52jb59JgzwIDRPjh/eIlm7O8+5eZmNy72lMvnedISSUaGBKI/q+xiFQRsy1ZCw//hJ8XTwheEUFc80vY7HpjFeYmnBt6h2X9t8hgYh7+0vvK/cmfv9r9cHb/xs9H33pIQcTzuHSx6brtW/Zaook72v/QR2Gub1Wng4r7b4O1QyGllPv5gaPxzoAw3qeHEZfMN+mhQRK4gAbRcIb8b29So0mvHFdmnOd9sDogd/4Y/XjAYZyKphbS1rGAsGWdhfVcMkF6dbac+fFM+5oJDKnBGC5LGHV53eUN3IG3rL+xHsfXy8OEOz0JSw88u7JFlwonoTzu/bSaKHB2myDU+CT7Zcr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2</cp:revision>
  <dcterms:created xsi:type="dcterms:W3CDTF">2018-07-19T13:31:00Z</dcterms:created>
  <dcterms:modified xsi:type="dcterms:W3CDTF">2021-04-01T16:16:00Z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