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240" w:lineRule="auto"/>
        <w:ind w:left="567" w:hanging="567"/>
        <w:rPr>
          <w:b w:val="1"/>
          <w:color w:val="000000"/>
          <w:sz w:val="24"/>
          <w:szCs w:val="24"/>
        </w:rPr>
      </w:pPr>
      <w:r w:rsidDel="00000000" w:rsidR="00000000" w:rsidRPr="00000000">
        <w:rPr>
          <w:b w:val="1"/>
          <w:color w:val="000000"/>
          <w:sz w:val="24"/>
          <w:szCs w:val="24"/>
          <w:highlight w:val="yellow"/>
          <w:rtl w:val="0"/>
        </w:rPr>
        <w:t xml:space="preserve">[Guidance Note: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Buyer to Select whether or when Part A (Short Form Security Requirements) or Part B (Long Form Security Requirements) should apply. Part B should be considered where there is a high level of risk to personal or sensitive data.]</w:t>
      </w:r>
      <w:r w:rsidDel="00000000" w:rsidR="00000000" w:rsidRPr="00000000">
        <w:rPr>
          <w:b w:val="1"/>
          <w:color w:val="000000"/>
          <w:sz w:val="24"/>
          <w:szCs w:val="24"/>
          <w:rtl w:val="0"/>
        </w:rPr>
        <w:t xml:space="preserve"> </w:t>
      </w:r>
    </w:p>
    <w:bookmarkStart w:colFirst="0" w:colLast="0" w:name="bookmark=id.30j0zll" w:id="0"/>
    <w:bookmarkEnd w:id="0"/>
    <w:p w:rsidR="00000000" w:rsidDel="00000000" w:rsidP="00000000" w:rsidRDefault="00000000" w:rsidRPr="00000000" w14:paraId="00000004">
      <w:pPr>
        <w:spacing w:after="200" w:line="276" w:lineRule="auto"/>
        <w:ind w:left="0" w:firstLine="0"/>
        <w:jc w:val="left"/>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240" w:lineRule="auto"/>
        <w:ind w:left="0" w:hanging="567"/>
        <w:rPr>
          <w:b w:val="1"/>
          <w:color w:val="000000"/>
          <w:sz w:val="36"/>
          <w:szCs w:val="36"/>
        </w:rPr>
      </w:pPr>
      <w:r w:rsidDel="00000000" w:rsidR="00000000" w:rsidRPr="00000000">
        <w:rPr>
          <w:b w:val="1"/>
          <w:color w:val="000000"/>
          <w:sz w:val="36"/>
          <w:szCs w:val="36"/>
          <w:rtl w:val="0"/>
        </w:rPr>
        <w:t xml:space="preserve">Part A: Short Form Security Requirements</w:t>
      </w:r>
    </w:p>
    <w:p w:rsidR="00000000" w:rsidDel="00000000" w:rsidP="00000000" w:rsidRDefault="00000000" w:rsidRPr="00000000" w14:paraId="00000006">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7">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02"/>
        <w:gridCol w:w="5732"/>
        <w:tblGridChange w:id="0">
          <w:tblGrid>
            <w:gridCol w:w="2502"/>
            <w:gridCol w:w="5732"/>
          </w:tblGrid>
        </w:tblGridChange>
      </w:tblGrid>
      <w:t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shd w:fill="auto" w:val="clear"/>
          </w:tcPr>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occurrence of:</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B">
            <w:pPr>
              <w:numPr>
                <w:ilvl w:val="1"/>
                <w:numId w:val="4"/>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Policy where the Buyer has required compliance therewith in accordance with paragraph 2.2;</w:t>
            </w:r>
          </w:p>
        </w:tc>
      </w:tr>
      <w:t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Management Plan" </w:t>
            </w:r>
          </w:p>
        </w:tc>
        <w:tc>
          <w:tcPr>
            <w:shd w:fill="auto" w:val="clear"/>
          </w:tcPr>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tabs>
                <w:tab w:val="left"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F">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5">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Standards</w:t>
      </w:r>
      <w:r w:rsidDel="00000000" w:rsidR="00000000" w:rsidRPr="00000000">
        <w:rPr>
          <w:rtl w:val="0"/>
        </w:rPr>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7">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8">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is in accordance with the Law and this Contract; </w:t>
      </w:r>
    </w:p>
    <w:p w:rsidR="00000000" w:rsidDel="00000000" w:rsidP="00000000" w:rsidRDefault="00000000" w:rsidRPr="00000000" w14:paraId="00000019">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1A">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B">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where specified by the Buyer in accordance with paragraph 2.2 complies with the Security Policy and the ICT Policy.</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E">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S</w:t>
      </w:r>
      <w:r w:rsidDel="00000000" w:rsidR="00000000" w:rsidRPr="00000000">
        <w:rPr>
          <w:rFonts w:ascii="Arial Bold" w:cs="Arial Bold" w:eastAsia="Arial Bold" w:hAnsi="Arial Bold"/>
          <w:b w:val="1"/>
          <w:color w:val="000000"/>
          <w:sz w:val="24"/>
          <w:szCs w:val="24"/>
          <w:rtl w:val="0"/>
        </w:rPr>
        <w:t xml:space="preserve">ecurity Management Plan</w:t>
      </w:r>
      <w:r w:rsidDel="00000000" w:rsidR="00000000" w:rsidRPr="00000000">
        <w:rPr>
          <w:rtl w:val="0"/>
        </w:rPr>
      </w:r>
    </w:p>
    <w:p w:rsidR="00000000" w:rsidDel="00000000" w:rsidP="00000000" w:rsidRDefault="00000000" w:rsidRPr="00000000" w14:paraId="0000001F">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Introduction</w:t>
      </w:r>
    </w:p>
    <w:p w:rsidR="00000000" w:rsidDel="00000000" w:rsidP="00000000" w:rsidRDefault="00000000" w:rsidRPr="00000000" w14:paraId="00000020">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et92p0" w:id="4"/>
      <w:bookmarkEnd w:id="4"/>
      <w:r w:rsidDel="00000000" w:rsidR="00000000" w:rsidRPr="00000000">
        <w:rPr>
          <w:color w:val="000000"/>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1">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Content of the Security Management Plan</w:t>
      </w:r>
    </w:p>
    <w:p w:rsidR="00000000" w:rsidDel="00000000" w:rsidP="00000000" w:rsidRDefault="00000000" w:rsidRPr="00000000" w14:paraId="00000022">
      <w:pPr>
        <w:keepNext w:val="1"/>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dy6vkm" w:id="6"/>
      <w:bookmarkEnd w:id="6"/>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23">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comply with the principles of security set out in Paragraph 3 and any other provisions of this Contract relevant to security;</w:t>
      </w:r>
    </w:p>
    <w:p w:rsidR="00000000" w:rsidDel="00000000" w:rsidP="00000000" w:rsidRDefault="00000000" w:rsidRPr="00000000" w14:paraId="00000024">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identify the necessary delegated organisational roles for those responsible for ensuring it is complied with by the Supplier;</w:t>
      </w:r>
    </w:p>
    <w:p w:rsidR="00000000" w:rsidDel="00000000" w:rsidP="00000000" w:rsidRDefault="00000000" w:rsidRPr="00000000" w14:paraId="00000025">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6">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7">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8">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1t3h5sf" w:id="7"/>
      <w:bookmarkEnd w:id="7"/>
      <w:r w:rsidDel="00000000" w:rsidR="00000000" w:rsidRPr="00000000">
        <w:rPr>
          <w:color w:val="000000"/>
          <w:sz w:val="24"/>
          <w:szCs w:val="24"/>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9">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A">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2s8eyo1" w:id="9"/>
      <w:bookmarkEnd w:id="9"/>
      <w:r w:rsidDel="00000000" w:rsidR="00000000" w:rsidRPr="00000000">
        <w:rPr>
          <w:b w:val="1"/>
          <w:color w:val="000000"/>
          <w:sz w:val="24"/>
          <w:szCs w:val="24"/>
          <w:rtl w:val="0"/>
        </w:rPr>
        <w:t xml:space="preserve">Development of the Security Management Plan</w:t>
      </w:r>
    </w:p>
    <w:p w:rsidR="00000000" w:rsidDel="00000000" w:rsidP="00000000" w:rsidRDefault="00000000" w:rsidRPr="00000000" w14:paraId="0000002B">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Within twenty (20)</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C">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D">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F">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lnxbz9" w:id="13"/>
      <w:bookmarkEnd w:id="13"/>
      <w:r w:rsidDel="00000000" w:rsidR="00000000" w:rsidRPr="00000000">
        <w:rPr>
          <w:b w:val="1"/>
          <w:color w:val="000000"/>
          <w:sz w:val="24"/>
          <w:szCs w:val="24"/>
          <w:rtl w:val="0"/>
        </w:rPr>
        <w:t xml:space="preserve">Amendment of the Security Management Plan</w:t>
      </w:r>
    </w:p>
    <w:p w:rsidR="00000000" w:rsidDel="00000000" w:rsidP="00000000" w:rsidRDefault="00000000" w:rsidRPr="00000000" w14:paraId="00000030">
      <w:pPr>
        <w:keepNext w:val="1"/>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31">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32">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change or proposed change to the Deliverables and/or associated processes; </w:t>
      </w:r>
    </w:p>
    <w:p w:rsidR="00000000" w:rsidDel="00000000" w:rsidP="00000000" w:rsidRDefault="00000000" w:rsidRPr="00000000" w14:paraId="00000033">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where necessary in accordance with paragraph 2.2, any change to the Security Policy; </w:t>
      </w:r>
    </w:p>
    <w:p w:rsidR="00000000" w:rsidDel="00000000" w:rsidP="00000000" w:rsidRDefault="00000000" w:rsidRPr="00000000" w14:paraId="00000034">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35">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reasonable change in requirements requested by the Buyer.</w:t>
      </w:r>
    </w:p>
    <w:p w:rsidR="00000000" w:rsidDel="00000000" w:rsidP="00000000" w:rsidRDefault="00000000" w:rsidRPr="00000000" w14:paraId="0000003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7">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to the effectiveness of the Security Management Plan;</w:t>
      </w:r>
    </w:p>
    <w:p w:rsidR="00000000" w:rsidDel="00000000" w:rsidP="00000000" w:rsidRDefault="00000000" w:rsidRPr="00000000" w14:paraId="00000038">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updates to the risk assessments; and</w:t>
      </w:r>
    </w:p>
    <w:p w:rsidR="00000000" w:rsidDel="00000000" w:rsidP="00000000" w:rsidRDefault="00000000" w:rsidRPr="00000000" w14:paraId="00000039">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3A">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jxsxqh" w:id="17"/>
      <w:bookmarkEnd w:id="17"/>
      <w:r w:rsidDel="00000000" w:rsidR="00000000" w:rsidRPr="00000000">
        <w:rPr>
          <w:color w:val="000000"/>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C">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z337ya" w:id="18"/>
      <w:bookmarkEnd w:id="18"/>
      <w:r w:rsidDel="00000000" w:rsidR="00000000" w:rsidRPr="00000000">
        <w:rPr>
          <w:color w:val="000000"/>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E">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40">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w:t>
      </w:r>
    </w:p>
    <w:p w:rsidR="00000000" w:rsidDel="00000000" w:rsidP="00000000" w:rsidRDefault="00000000" w:rsidRPr="00000000" w14:paraId="00000041">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2">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an equivalent breach in the future exploiting the same cause failure; and</w:t>
      </w:r>
    </w:p>
    <w:p w:rsidR="00000000" w:rsidDel="00000000" w:rsidP="00000000" w:rsidRDefault="00000000" w:rsidRPr="00000000" w14:paraId="00000043">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5">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6">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4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2"/>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means the occurrence of:</w:t>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requirements in the Security Policy where the Buyer has required compliance therewith in accordance with paragraph 3.4.3 d;</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"ISMS"</w:t>
            </w:r>
          </w:p>
        </w:tc>
        <w:tc>
          <w:tcPr/>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information security management system and process developed by the Supplier in accordance with Paragraph 3 (ISMS) as updated from time to time in accordance with this Schedule; and</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Tests"</w:t>
            </w:r>
          </w:p>
        </w:tc>
        <w:tc>
          <w:tcPr/>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4">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4i7ojhp" w:id="21"/>
      <w:bookmarkEnd w:id="21"/>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7">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2xcytpi" w:id="22"/>
      <w:bookmarkEnd w:id="22"/>
      <w:r w:rsidDel="00000000" w:rsidR="00000000" w:rsidRPr="00000000">
        <w:rPr>
          <w:color w:val="000000"/>
          <w:sz w:val="24"/>
          <w:szCs w:val="24"/>
          <w:highlight w:val="yellow"/>
          <w:rtl w:val="0"/>
        </w:rPr>
        <w:t xml:space="preserve">[insert security representative of the Buyer]</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ci93xb" w:id="23"/>
      <w:bookmarkEnd w:id="23"/>
      <w:r w:rsidDel="00000000" w:rsidR="00000000" w:rsidRPr="00000000">
        <w:rPr>
          <w:color w:val="000000"/>
          <w:sz w:val="24"/>
          <w:szCs w:val="24"/>
          <w:highlight w:val="yellow"/>
          <w:rtl w:val="0"/>
        </w:rPr>
        <w:t xml:space="preserve">[insert security representative of the Supplier]</w:t>
      </w: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3whwml4" w:id="24"/>
      <w:bookmarkEnd w:id="24"/>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bn6wsx" w:id="25"/>
      <w:bookmarkEnd w:id="25"/>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65">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qsh70q" w:id="26"/>
      <w:bookmarkEnd w:id="26"/>
      <w:r w:rsidDel="00000000" w:rsidR="00000000" w:rsidRPr="00000000">
        <w:rPr>
          <w:color w:val="000000"/>
          <w:sz w:val="24"/>
          <w:szCs w:val="24"/>
          <w:rtl w:val="0"/>
        </w:rPr>
        <w:t xml:space="preserve">The ISMS shall:</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6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6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6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6D">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6E">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7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72">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bookmarkStart w:colFirst="0" w:colLast="0" w:name="_heading=h.3as4poj" w:id="27"/>
      <w:bookmarkEnd w:id="27"/>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pxezwc" w:id="28"/>
      <w:bookmarkEnd w:id="28"/>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9x2ik5" w:id="29"/>
      <w:bookmarkEnd w:id="29"/>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7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p2csry" w:id="30"/>
      <w:bookmarkEnd w:id="30"/>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C">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47n2zr" w:id="31"/>
      <w:bookmarkEnd w:id="31"/>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o7alnk" w:id="32"/>
      <w:bookmarkEnd w:id="32"/>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8B">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3ckvvd" w:id="33"/>
      <w:bookmarkEnd w:id="33"/>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ihv636" w:id="34"/>
      <w:bookmarkEnd w:id="34"/>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2hioqz" w:id="35"/>
      <w:bookmarkEnd w:id="35"/>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hmsyys" w:id="36"/>
      <w:bookmarkEnd w:id="36"/>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1mghml" w:id="37"/>
      <w:bookmarkEnd w:id="37"/>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grqrue" w:id="38"/>
      <w:bookmarkEnd w:id="38"/>
      <w:r w:rsidDel="00000000" w:rsidR="00000000" w:rsidRPr="00000000">
        <w:rPr>
          <w:color w:val="000000"/>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vx1227" w:id="39"/>
      <w:bookmarkEnd w:id="39"/>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fwokq0" w:id="40"/>
      <w:bookmarkEnd w:id="40"/>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v1yuxt" w:id="41"/>
      <w:bookmarkEnd w:id="41"/>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f1mdlm" w:id="42"/>
      <w:bookmarkEnd w:id="42"/>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5">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A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A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A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B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color w:val="000000"/>
          <w:sz w:val="24"/>
          <w:szCs w:val="24"/>
        </w:rPr>
      </w:pPr>
      <w:bookmarkStart w:colFirst="0" w:colLast="0" w:name="_heading=h.2u6wntf" w:id="43"/>
      <w:bookmarkEnd w:id="43"/>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B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45"/>
      <w:bookmarkEnd w:id="45"/>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44"/>
      <w:bookmarkEnd w:id="44"/>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8">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C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A">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C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D">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C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0j0zll" w:id="46"/>
      <w:bookmarkEnd w:id="46"/>
      <w:r w:rsidDel="00000000" w:rsidR="00000000" w:rsidRPr="00000000">
        <w:rPr>
          <w:color w:val="000000"/>
          <w:sz w:val="24"/>
          <w:szCs w:val="24"/>
          <w:rtl w:val="0"/>
        </w:rPr>
        <w:t xml:space="preserve">The Supplier shall agree any change in location of data storage, processing and administration with the Buyer in accordance with Clause 15 (Data protection).</w:t>
      </w:r>
    </w:p>
    <w:p w:rsidR="00000000" w:rsidDel="00000000" w:rsidP="00000000" w:rsidRDefault="00000000" w:rsidRPr="00000000" w14:paraId="000000D0">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D1">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D2">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D3">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D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D5">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D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8">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D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B">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D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E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1">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E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3">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47"/>
      <w:bookmarkEnd w:id="47"/>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E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5">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8">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48"/>
  <w:bookmarkEnd w:id="48"/>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color w:val="000000"/>
        <w:sz w:val="20"/>
        <w:szCs w:val="20"/>
        <w:rtl w:val="0"/>
      </w:rPr>
      <w:t xml:space="preserve">Framework Ref: </w:t>
    </w:r>
    <w:r w:rsidDel="00000000" w:rsidR="00000000" w:rsidRPr="00000000">
      <w:rPr>
        <w:sz w:val="20"/>
        <w:szCs w:val="20"/>
        <w:rtl w:val="0"/>
      </w:rPr>
      <w:t xml:space="preserve">RM6181</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000000"/>
        <w:sz w:val="20"/>
        <w:szCs w:val="20"/>
      </w:rPr>
    </w:pPr>
    <w:r w:rsidDel="00000000" w:rsidR="00000000" w:rsidRPr="00000000">
      <w:rPr>
        <w:color w:val="000000"/>
        <w:sz w:val="20"/>
        <w:szCs w:val="20"/>
        <w:rtl w:val="0"/>
      </w:rPr>
      <w:t xml:space="preserve">Project Version: </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a6a6a6"/>
        <w:sz w:val="20"/>
        <w:szCs w:val="20"/>
      </w:rPr>
    </w:pPr>
    <w:bookmarkStart w:colFirst="0" w:colLast="0" w:name="_heading=h.37m2jsg" w:id="49"/>
    <w:bookmarkEnd w:id="49"/>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F0">
    <w:pPr>
      <w:tabs>
        <w:tab w:val="center" w:pos="4513"/>
        <w:tab w:val="right" w:pos="9026"/>
      </w:tabs>
      <w:spacing w:after="0" w:lineRule="auto"/>
      <w:ind w:left="0" w:firstLine="0"/>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F1">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2021</w:t>
    </w:r>
  </w:p>
  <w:p w:rsidR="00000000" w:rsidDel="00000000" w:rsidP="00000000" w:rsidRDefault="00000000" w:rsidRPr="00000000" w14:paraId="000000F2">
    <w:pPr>
      <w:tabs>
        <w:tab w:val="center" w:pos="4513"/>
        <w:tab w:val="right" w:pos="9026"/>
      </w:tabs>
      <w:spacing w:after="0" w:lineRule="auto"/>
      <w:ind w:left="0" w:firstLine="0"/>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17"/>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17"/>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VT44pGK5bkVepPtWU0MW08XYg==">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2021-01-21T11:10:00Z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