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 (Security)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240" w:lineRule="auto"/>
        <w:ind w:left="567" w:hanging="567"/>
        <w:rPr>
          <w:b w:val="1"/>
          <w:color w:val="000000"/>
          <w:sz w:val="24"/>
          <w:szCs w:val="24"/>
        </w:rPr>
      </w:pPr>
      <w:r w:rsidDel="00000000" w:rsidR="00000000" w:rsidRPr="00000000">
        <w:rPr>
          <w:b w:val="1"/>
          <w:color w:val="000000"/>
          <w:sz w:val="24"/>
          <w:szCs w:val="24"/>
          <w:highlight w:val="yellow"/>
          <w:rtl w:val="0"/>
        </w:rPr>
        <w:t xml:space="preserve">[Guidance Note: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Buyer to Select whether or when Part A (Short Form Security Requirements) or Part B (Long Form Security Requirements) should apply. Part B should be considered where there is a high level of risk to personal or sensitive data.]</w:t>
      </w:r>
      <w:r w:rsidDel="00000000" w:rsidR="00000000" w:rsidRPr="00000000">
        <w:rPr>
          <w:b w:val="1"/>
          <w:color w:val="000000"/>
          <w:sz w:val="24"/>
          <w:szCs w:val="24"/>
          <w:rtl w:val="0"/>
        </w:rPr>
        <w:t xml:space="preserve"> </w:t>
      </w:r>
    </w:p>
    <w:p w:rsidR="00000000" w:rsidDel="00000000" w:rsidP="00000000" w:rsidRDefault="00000000" w:rsidRPr="00000000" w14:paraId="00000004">
      <w:pPr>
        <w:spacing w:after="200" w:line="276" w:lineRule="auto"/>
        <w:ind w:left="0" w:firstLine="0"/>
        <w:jc w:val="left"/>
        <w:rPr>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240" w:lineRule="auto"/>
        <w:ind w:left="0" w:hanging="567"/>
        <w:rPr>
          <w:b w:val="1"/>
          <w:color w:val="000000"/>
          <w:sz w:val="36"/>
          <w:szCs w:val="36"/>
        </w:rPr>
      </w:pPr>
      <w:r w:rsidDel="00000000" w:rsidR="00000000" w:rsidRPr="00000000">
        <w:rPr>
          <w:b w:val="1"/>
          <w:color w:val="000000"/>
          <w:sz w:val="36"/>
          <w:szCs w:val="36"/>
          <w:rtl w:val="0"/>
        </w:rPr>
        <w:t xml:space="preserve">Part A: Short Form Security Requirements</w:t>
      </w:r>
    </w:p>
    <w:p w:rsidR="00000000" w:rsidDel="00000000" w:rsidP="00000000" w:rsidRDefault="00000000" w:rsidRPr="00000000" w14:paraId="00000006">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7">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502"/>
        <w:gridCol w:w="5732"/>
        <w:tblGridChange w:id="0">
          <w:tblGrid>
            <w:gridCol w:w="2502"/>
            <w:gridCol w:w="5732"/>
          </w:tblGrid>
        </w:tblGridChange>
      </w:tblGrid>
      <w:tr>
        <w:trPr>
          <w:cantSplit w:val="0"/>
          <w:tblHeader w:val="0"/>
        </w:trPr>
        <w:tc>
          <w:tcPr/>
          <w:p w:rsidR="00000000" w:rsidDel="00000000" w:rsidP="00000000" w:rsidRDefault="00000000" w:rsidRPr="00000000" w14:paraId="00000008">
            <w:pPr>
              <w:spacing w:after="120" w:lineRule="auto"/>
              <w:ind w:left="-108" w:firstLine="108"/>
              <w:jc w:val="left"/>
              <w:rPr>
                <w:sz w:val="24"/>
                <w:szCs w:val="24"/>
              </w:rPr>
            </w:pPr>
            <w:r w:rsidDel="00000000" w:rsidR="00000000" w:rsidRPr="00000000">
              <w:rPr>
                <w:sz w:val="24"/>
                <w:szCs w:val="24"/>
                <w:rtl w:val="0"/>
              </w:rPr>
              <w:t xml:space="preserve">"Breach of Security"</w:t>
            </w:r>
          </w:p>
        </w:tc>
        <w:tc>
          <w:tcPr/>
          <w:p w:rsidR="00000000" w:rsidDel="00000000" w:rsidP="00000000" w:rsidRDefault="00000000" w:rsidRPr="00000000" w14:paraId="00000009">
            <w:pPr>
              <w:numPr>
                <w:ilvl w:val="0"/>
                <w:numId w:val="2"/>
              </w:numPr>
              <w:tabs>
                <w:tab w:val="left" w:pos="-9"/>
              </w:tabs>
              <w:spacing w:after="120" w:lineRule="auto"/>
              <w:ind w:left="170" w:hanging="170"/>
              <w:jc w:val="left"/>
              <w:rPr>
                <w:sz w:val="24"/>
                <w:szCs w:val="24"/>
              </w:rPr>
            </w:pPr>
            <w:r w:rsidDel="00000000" w:rsidR="00000000" w:rsidRPr="00000000">
              <w:rPr>
                <w:sz w:val="24"/>
                <w:szCs w:val="24"/>
                <w:rtl w:val="0"/>
              </w:rPr>
              <w:t xml:space="preserve">the occurrence of:</w:t>
            </w:r>
          </w:p>
          <w:p w:rsidR="00000000" w:rsidDel="00000000" w:rsidP="00000000" w:rsidRDefault="00000000" w:rsidRPr="00000000" w14:paraId="0000000A">
            <w:pPr>
              <w:numPr>
                <w:ilvl w:val="1"/>
                <w:numId w:val="2"/>
              </w:numPr>
              <w:tabs>
                <w:tab w:val="left" w:pos="144"/>
              </w:tabs>
              <w:spacing w:after="120" w:lineRule="auto"/>
              <w:ind w:left="720" w:hanging="360"/>
              <w:jc w:val="left"/>
              <w:rPr>
                <w:sz w:val="24"/>
                <w:szCs w:val="24"/>
              </w:rPr>
            </w:pPr>
            <w:r w:rsidDel="00000000" w:rsidR="00000000" w:rsidRPr="00000000">
              <w:rPr>
                <w:sz w:val="24"/>
                <w:szCs w:val="24"/>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B">
            <w:pPr>
              <w:numPr>
                <w:ilvl w:val="1"/>
                <w:numId w:val="2"/>
              </w:numPr>
              <w:tabs>
                <w:tab w:val="left" w:pos="144"/>
              </w:tabs>
              <w:spacing w:after="120" w:lineRule="auto"/>
              <w:ind w:left="720" w:hanging="360"/>
              <w:jc w:val="left"/>
              <w:rPr>
                <w:sz w:val="24"/>
                <w:szCs w:val="24"/>
              </w:rPr>
            </w:pPr>
            <w:r w:rsidDel="00000000" w:rsidR="00000000" w:rsidRPr="00000000">
              <w:rPr>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C">
            <w:pPr>
              <w:numPr>
                <w:ilvl w:val="0"/>
                <w:numId w:val="2"/>
              </w:numPr>
              <w:tabs>
                <w:tab w:val="left" w:pos="-9"/>
              </w:tabs>
              <w:spacing w:after="120" w:lineRule="auto"/>
              <w:ind w:left="170" w:hanging="170"/>
              <w:jc w:val="left"/>
              <w:rPr>
                <w:sz w:val="24"/>
                <w:szCs w:val="24"/>
              </w:rPr>
            </w:pPr>
            <w:r w:rsidDel="00000000" w:rsidR="00000000" w:rsidRPr="00000000">
              <w:rPr>
                <w:sz w:val="24"/>
                <w:szCs w:val="24"/>
                <w:rtl w:val="0"/>
              </w:rPr>
              <w:t xml:space="preserve">in either case as more particularly set out in the Security Policy where the Buyer has required compliance therewith in accordance with paragraph 2.2;</w:t>
            </w:r>
          </w:p>
        </w:tc>
      </w:tr>
      <w:tr>
        <w:trPr>
          <w:cantSplit w:val="0"/>
          <w:tblHeader w:val="0"/>
        </w:trPr>
        <w:tc>
          <w:tcPr/>
          <w:p w:rsidR="00000000" w:rsidDel="00000000" w:rsidP="00000000" w:rsidRDefault="00000000" w:rsidRPr="00000000" w14:paraId="0000000D">
            <w:pPr>
              <w:spacing w:after="120" w:lineRule="auto"/>
              <w:ind w:left="-108" w:firstLine="108"/>
              <w:jc w:val="left"/>
              <w:rPr>
                <w:sz w:val="24"/>
                <w:szCs w:val="24"/>
              </w:rPr>
            </w:pPr>
            <w:r w:rsidDel="00000000" w:rsidR="00000000" w:rsidRPr="00000000">
              <w:rPr>
                <w:sz w:val="24"/>
                <w:szCs w:val="24"/>
                <w:rtl w:val="0"/>
              </w:rPr>
              <w:t xml:space="preserve">"Security Management Plan" </w:t>
            </w:r>
          </w:p>
        </w:tc>
        <w:tc>
          <w:tcPr/>
          <w:p w:rsidR="00000000" w:rsidDel="00000000" w:rsidP="00000000" w:rsidRDefault="00000000" w:rsidRPr="00000000" w14:paraId="0000000E">
            <w:pPr>
              <w:numPr>
                <w:ilvl w:val="0"/>
                <w:numId w:val="2"/>
              </w:numPr>
              <w:tabs>
                <w:tab w:val="left" w:pos="-179"/>
              </w:tabs>
              <w:spacing w:after="120" w:lineRule="auto"/>
              <w:ind w:left="170" w:hanging="170"/>
              <w:jc w:val="left"/>
              <w:rPr>
                <w:sz w:val="24"/>
                <w:szCs w:val="24"/>
              </w:rPr>
            </w:pPr>
            <w:r w:rsidDel="00000000" w:rsidR="00000000" w:rsidRPr="00000000">
              <w:rPr>
                <w:sz w:val="24"/>
                <w:szCs w:val="24"/>
                <w:rtl w:val="0"/>
              </w:rPr>
              <w:t xml:space="preserve">the Supplier's security management plan prepared pursuant to this Schedule, a draft of which has been provided by the Supplier to the Buyer and as updated from time to time.</w:t>
            </w:r>
          </w:p>
        </w:tc>
      </w:tr>
    </w:tbl>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security requirements and updates to them</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Where the Security Policy applies the Buyer shall notify the Supplier of any changes or proposed changes to the Security Policy.</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5">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Standards</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7">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bookmarkStart w:colFirst="0" w:colLast="0" w:name="_heading=h.1fob9te" w:id="2"/>
      <w:bookmarkEnd w:id="2"/>
      <w:r w:rsidDel="00000000" w:rsidR="00000000" w:rsidRPr="00000000">
        <w:rPr>
          <w:color w:val="000000"/>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is in accordance with the Law and this Contract; </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Deliverables and/or the Government Data; and</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where specified by the Buyer in accordance with paragraph 2.2 complies with the Buyers Security Policy and the ICT Policy.</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E">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S</w:t>
      </w:r>
      <w:r w:rsidDel="00000000" w:rsidR="00000000" w:rsidRPr="00000000">
        <w:rPr>
          <w:rFonts w:ascii="Arial Bold" w:cs="Arial Bold" w:eastAsia="Arial Bold" w:hAnsi="Arial Bold"/>
          <w:b w:val="1"/>
          <w:color w:val="000000"/>
          <w:sz w:val="24"/>
          <w:szCs w:val="24"/>
          <w:rtl w:val="0"/>
        </w:rPr>
        <w:t xml:space="preserve">ecurity Management Plan</w:t>
      </w:r>
      <w:r w:rsidDel="00000000" w:rsidR="00000000" w:rsidRPr="00000000">
        <w:rPr>
          <w:rtl w:val="0"/>
        </w:rPr>
      </w:r>
    </w:p>
    <w:p w:rsidR="00000000" w:rsidDel="00000000" w:rsidP="00000000" w:rsidRDefault="00000000" w:rsidRPr="00000000" w14:paraId="0000001F">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3znysh7" w:id="3"/>
      <w:bookmarkEnd w:id="3"/>
      <w:r w:rsidDel="00000000" w:rsidR="00000000" w:rsidRPr="00000000">
        <w:rPr>
          <w:b w:val="1"/>
          <w:color w:val="000000"/>
          <w:sz w:val="24"/>
          <w:szCs w:val="24"/>
          <w:rtl w:val="0"/>
        </w:rPr>
        <w:t xml:space="preserve">Introduction</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et92p0" w:id="4"/>
      <w:bookmarkEnd w:id="4"/>
      <w:r w:rsidDel="00000000" w:rsidR="00000000" w:rsidRPr="00000000">
        <w:rPr>
          <w:color w:val="000000"/>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21">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tyjcwt" w:id="5"/>
      <w:bookmarkEnd w:id="5"/>
      <w:r w:rsidDel="00000000" w:rsidR="00000000" w:rsidRPr="00000000">
        <w:rPr>
          <w:b w:val="1"/>
          <w:color w:val="000000"/>
          <w:sz w:val="24"/>
          <w:szCs w:val="24"/>
          <w:rtl w:val="0"/>
        </w:rPr>
        <w:t xml:space="preserve">Content of the Security Management Plan</w:t>
      </w:r>
    </w:p>
    <w:p w:rsidR="00000000" w:rsidDel="00000000" w:rsidP="00000000" w:rsidRDefault="00000000" w:rsidRPr="00000000" w14:paraId="00000022">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dy6vkm" w:id="6"/>
      <w:bookmarkEnd w:id="6"/>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23">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comply with the principles of security set out in Paragraph 3 and any other provisions of this Contract relevant to security;</w:t>
      </w:r>
    </w:p>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identify the necessary delegated organisational roles for those responsible for ensuring it is complied with by the Supplier;</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1t3h5sf" w:id="7"/>
      <w:bookmarkEnd w:id="7"/>
      <w:r w:rsidDel="00000000" w:rsidR="00000000" w:rsidRPr="00000000">
        <w:rPr>
          <w:color w:val="000000"/>
          <w:sz w:val="24"/>
          <w:szCs w:val="24"/>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4d34og8" w:id="8"/>
      <w:bookmarkEnd w:id="8"/>
      <w:r w:rsidDel="00000000" w:rsidR="00000000" w:rsidRPr="00000000">
        <w:rPr>
          <w:color w:val="000000"/>
          <w:sz w:val="24"/>
          <w:szCs w:val="24"/>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2s8eyo1" w:id="9"/>
      <w:bookmarkEnd w:id="9"/>
      <w:r w:rsidDel="00000000" w:rsidR="00000000" w:rsidRPr="00000000">
        <w:rPr>
          <w:b w:val="1"/>
          <w:color w:val="000000"/>
          <w:sz w:val="24"/>
          <w:szCs w:val="24"/>
          <w:rtl w:val="0"/>
        </w:rPr>
        <w:t xml:space="preserve">Development of the Security Management Plan</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7dp8vu" w:id="10"/>
      <w:bookmarkEnd w:id="10"/>
      <w:r w:rsidDel="00000000" w:rsidR="00000000" w:rsidRPr="00000000">
        <w:rPr>
          <w:color w:val="000000"/>
          <w:sz w:val="24"/>
          <w:szCs w:val="24"/>
          <w:rtl w:val="0"/>
        </w:rPr>
        <w:t xml:space="preserve">Within twenty (20)</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rdcrjn" w:id="11"/>
      <w:bookmarkEnd w:id="11"/>
      <w:r w:rsidDel="00000000" w:rsidR="00000000" w:rsidRPr="00000000">
        <w:rPr>
          <w:color w:val="000000"/>
          <w:sz w:val="24"/>
          <w:szCs w:val="24"/>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6in1rg" w:id="12"/>
      <w:bookmarkEnd w:id="12"/>
      <w:r w:rsidDel="00000000" w:rsidR="00000000" w:rsidRPr="00000000">
        <w:rPr>
          <w:color w:val="000000"/>
          <w:sz w:val="24"/>
          <w:szCs w:val="24"/>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F">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lnxbz9" w:id="13"/>
      <w:bookmarkEnd w:id="13"/>
      <w:r w:rsidDel="00000000" w:rsidR="00000000" w:rsidRPr="00000000">
        <w:rPr>
          <w:b w:val="1"/>
          <w:color w:val="000000"/>
          <w:sz w:val="24"/>
          <w:szCs w:val="24"/>
          <w:rtl w:val="0"/>
        </w:rPr>
        <w:t xml:space="preserve">Amendment of the Security Management Plan</w:t>
      </w:r>
    </w:p>
    <w:p w:rsidR="00000000" w:rsidDel="00000000" w:rsidP="00000000" w:rsidRDefault="00000000" w:rsidRPr="00000000" w14:paraId="00000030">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5nkun2" w:id="14"/>
      <w:bookmarkEnd w:id="14"/>
      <w:r w:rsidDel="00000000" w:rsidR="00000000" w:rsidRPr="00000000">
        <w:rPr>
          <w:color w:val="000000"/>
          <w:sz w:val="24"/>
          <w:szCs w:val="24"/>
          <w:rtl w:val="0"/>
        </w:rPr>
        <w:t xml:space="preserve">The Security Management Plan shall be fully reviewed and updated by the Supplier at least annually to reflect:</w:t>
      </w:r>
    </w:p>
    <w:p w:rsidR="00000000" w:rsidDel="00000000" w:rsidP="00000000" w:rsidRDefault="00000000" w:rsidRPr="00000000" w14:paraId="00000031">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32">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change or proposed change to the Deliverables and/or associated processes; </w:t>
      </w:r>
    </w:p>
    <w:p w:rsidR="00000000" w:rsidDel="00000000" w:rsidP="00000000" w:rsidRDefault="00000000" w:rsidRPr="00000000" w14:paraId="00000033">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where necessary in accordance with paragraph 2.2, any change to the Security Policy; </w:t>
      </w:r>
    </w:p>
    <w:p w:rsidR="00000000" w:rsidDel="00000000" w:rsidP="00000000" w:rsidRDefault="00000000" w:rsidRPr="00000000" w14:paraId="00000034">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3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reasonable change in requirements requested by the Buyer.</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ksv4uv" w:id="15"/>
      <w:bookmarkEnd w:id="15"/>
      <w:r w:rsidDel="00000000" w:rsidR="00000000" w:rsidRPr="00000000">
        <w:rPr>
          <w:color w:val="000000"/>
          <w:sz w:val="24"/>
          <w:szCs w:val="24"/>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to the effectiveness of the Security Management Plan;</w:t>
      </w:r>
    </w:p>
    <w:p w:rsidR="00000000" w:rsidDel="00000000" w:rsidP="00000000" w:rsidRDefault="00000000" w:rsidRPr="00000000" w14:paraId="0000003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updates to the risk assessments; and</w:t>
      </w:r>
    </w:p>
    <w:p w:rsidR="00000000" w:rsidDel="00000000" w:rsidP="00000000" w:rsidRDefault="00000000" w:rsidRPr="00000000" w14:paraId="0000003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44sinio" w:id="16"/>
      <w:bookmarkEnd w:id="16"/>
      <w:r w:rsidDel="00000000" w:rsidR="00000000" w:rsidRPr="00000000">
        <w:rPr>
          <w:color w:val="000000"/>
          <w:sz w:val="24"/>
          <w:szCs w:val="24"/>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jxsxqh" w:id="17"/>
      <w:bookmarkEnd w:id="17"/>
      <w:r w:rsidDel="00000000" w:rsidR="00000000" w:rsidRPr="00000000">
        <w:rPr>
          <w:color w:val="000000"/>
          <w:sz w:val="24"/>
          <w:szCs w:val="24"/>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C">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z337ya" w:id="18"/>
      <w:bookmarkEnd w:id="18"/>
      <w:r w:rsidDel="00000000" w:rsidR="00000000" w:rsidRPr="00000000">
        <w:rPr>
          <w:color w:val="000000"/>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E">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j2qqm3" w:id="19"/>
      <w:bookmarkEnd w:id="19"/>
      <w:r w:rsidDel="00000000" w:rsidR="00000000" w:rsidRPr="00000000">
        <w:rPr>
          <w:color w:val="000000"/>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y810tw" w:id="20"/>
      <w:bookmarkEnd w:id="20"/>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40">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w:t>
      </w:r>
    </w:p>
    <w:p w:rsidR="00000000" w:rsidDel="00000000" w:rsidP="00000000" w:rsidRDefault="00000000" w:rsidRPr="00000000" w14:paraId="00000041">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42">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an equivalent breach in the future exploiting the same cause failure; and</w:t>
      </w:r>
    </w:p>
    <w:p w:rsidR="00000000" w:rsidDel="00000000" w:rsidP="00000000" w:rsidRDefault="00000000" w:rsidRPr="00000000" w14:paraId="00000043">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5">
      <w:pPr>
        <w:ind w:left="0" w:firstLine="0"/>
        <w:jc w:val="left"/>
        <w:rPr>
          <w:b w:val="1"/>
          <w:smallCaps w:val="1"/>
          <w:sz w:val="24"/>
          <w:szCs w:val="24"/>
        </w:rPr>
      </w:pPr>
      <w:r w:rsidDel="00000000" w:rsidR="00000000" w:rsidRPr="00000000">
        <w:rPr>
          <w:b w:val="1"/>
          <w:smallCaps w:val="1"/>
          <w:sz w:val="24"/>
          <w:szCs w:val="24"/>
          <w:rtl w:val="0"/>
        </w:rPr>
        <w:t xml:space="preserve"> </w:t>
      </w:r>
    </w:p>
    <w:p w:rsidR="00000000" w:rsidDel="00000000" w:rsidP="00000000" w:rsidRDefault="00000000" w:rsidRPr="00000000" w14:paraId="00000046">
      <w:pPr>
        <w:spacing w:after="200" w:line="276" w:lineRule="auto"/>
        <w:ind w:left="0" w:firstLine="0"/>
        <w:jc w:val="left"/>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36"/>
          <w:szCs w:val="36"/>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48">
      <w:pPr>
        <w:ind w:firstLine="1418"/>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4A">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2"/>
        <w:tblW w:w="8031.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50"/>
        <w:gridCol w:w="5781"/>
        <w:tblGridChange w:id="0">
          <w:tblGrid>
            <w:gridCol w:w="2250"/>
            <w:gridCol w:w="5781"/>
          </w:tblGrid>
        </w:tblGridChange>
      </w:tblGrid>
      <w:tr>
        <w:trPr>
          <w:cantSplit w:val="0"/>
          <w:tblHeader w:val="0"/>
        </w:trPr>
        <w:tc>
          <w:tcPr/>
          <w:p w:rsidR="00000000" w:rsidDel="00000000" w:rsidP="00000000" w:rsidRDefault="00000000" w:rsidRPr="00000000" w14:paraId="0000004B">
            <w:pPr>
              <w:spacing w:after="120" w:lineRule="auto"/>
              <w:ind w:left="-108" w:firstLine="108"/>
              <w:jc w:val="left"/>
              <w:rPr>
                <w:sz w:val="24"/>
                <w:szCs w:val="24"/>
              </w:rPr>
            </w:pPr>
            <w:r w:rsidDel="00000000" w:rsidR="00000000" w:rsidRPr="00000000">
              <w:rPr>
                <w:sz w:val="24"/>
                <w:szCs w:val="24"/>
                <w:rtl w:val="0"/>
              </w:rPr>
              <w:t xml:space="preserve">"Breach of Security"</w:t>
            </w:r>
          </w:p>
        </w:tc>
        <w:tc>
          <w:tcPr/>
          <w:p w:rsidR="00000000" w:rsidDel="00000000" w:rsidP="00000000" w:rsidRDefault="00000000" w:rsidRPr="00000000" w14:paraId="0000004C">
            <w:pPr>
              <w:numPr>
                <w:ilvl w:val="0"/>
                <w:numId w:val="2"/>
              </w:numPr>
              <w:tabs>
                <w:tab w:val="left" w:pos="-9"/>
              </w:tabs>
              <w:spacing w:after="120" w:lineRule="auto"/>
              <w:ind w:left="170" w:hanging="170"/>
              <w:jc w:val="left"/>
              <w:rPr>
                <w:sz w:val="24"/>
                <w:szCs w:val="24"/>
              </w:rPr>
            </w:pPr>
            <w:r w:rsidDel="00000000" w:rsidR="00000000" w:rsidRPr="00000000">
              <w:rPr>
                <w:sz w:val="24"/>
                <w:szCs w:val="24"/>
                <w:rtl w:val="0"/>
              </w:rPr>
              <w:t xml:space="preserve">means the occurrence of:</w:t>
            </w:r>
          </w:p>
          <w:p w:rsidR="00000000" w:rsidDel="00000000" w:rsidP="00000000" w:rsidRDefault="00000000" w:rsidRPr="00000000" w14:paraId="0000004D">
            <w:pPr>
              <w:numPr>
                <w:ilvl w:val="1"/>
                <w:numId w:val="2"/>
              </w:numPr>
              <w:tabs>
                <w:tab w:val="left" w:pos="144"/>
              </w:tabs>
              <w:spacing w:after="120" w:lineRule="auto"/>
              <w:ind w:left="720" w:hanging="360"/>
              <w:jc w:val="left"/>
              <w:rPr>
                <w:sz w:val="24"/>
                <w:szCs w:val="24"/>
              </w:rPr>
            </w:pPr>
            <w:r w:rsidDel="00000000" w:rsidR="00000000" w:rsidRPr="00000000">
              <w:rPr>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4E">
            <w:pPr>
              <w:numPr>
                <w:ilvl w:val="1"/>
                <w:numId w:val="2"/>
              </w:numPr>
              <w:tabs>
                <w:tab w:val="left" w:pos="144"/>
              </w:tabs>
              <w:spacing w:after="120" w:lineRule="auto"/>
              <w:ind w:left="720" w:hanging="360"/>
              <w:jc w:val="left"/>
              <w:rPr>
                <w:sz w:val="24"/>
                <w:szCs w:val="24"/>
              </w:rPr>
            </w:pPr>
            <w:r w:rsidDel="00000000" w:rsidR="00000000" w:rsidRPr="00000000">
              <w:rPr>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4F">
            <w:pPr>
              <w:numPr>
                <w:ilvl w:val="0"/>
                <w:numId w:val="2"/>
              </w:numPr>
              <w:tabs>
                <w:tab w:val="left" w:pos="-9"/>
              </w:tabs>
              <w:spacing w:after="120" w:lineRule="auto"/>
              <w:ind w:left="170" w:hanging="170"/>
              <w:jc w:val="left"/>
              <w:rPr>
                <w:sz w:val="24"/>
                <w:szCs w:val="24"/>
              </w:rPr>
            </w:pPr>
            <w:r w:rsidDel="00000000" w:rsidR="00000000" w:rsidRPr="00000000">
              <w:rPr>
                <w:sz w:val="24"/>
                <w:szCs w:val="24"/>
                <w:rtl w:val="0"/>
              </w:rPr>
              <w:t xml:space="preserve">in either case as more particularly set out in the security requirements in the Security Policy where the Buyer has required compliance therewith in accordance with paragraph 3.4.3 d;</w:t>
            </w:r>
          </w:p>
        </w:tc>
      </w:tr>
      <w:tr>
        <w:trPr>
          <w:cantSplit w:val="0"/>
          <w:tblHeader w:val="0"/>
        </w:trPr>
        <w:tc>
          <w:tcPr/>
          <w:p w:rsidR="00000000" w:rsidDel="00000000" w:rsidP="00000000" w:rsidRDefault="00000000" w:rsidRPr="00000000" w14:paraId="00000050">
            <w:pPr>
              <w:spacing w:after="120" w:lineRule="auto"/>
              <w:ind w:left="-108" w:firstLine="108"/>
              <w:jc w:val="left"/>
              <w:rPr>
                <w:sz w:val="24"/>
                <w:szCs w:val="24"/>
              </w:rPr>
            </w:pPr>
            <w:r w:rsidDel="00000000" w:rsidR="00000000" w:rsidRPr="00000000">
              <w:rPr>
                <w:sz w:val="24"/>
                <w:szCs w:val="24"/>
                <w:rtl w:val="0"/>
              </w:rPr>
              <w:t xml:space="preserve">"ISMS"</w:t>
            </w:r>
          </w:p>
        </w:tc>
        <w:tc>
          <w:tcPr/>
          <w:p w:rsidR="00000000" w:rsidDel="00000000" w:rsidP="00000000" w:rsidRDefault="00000000" w:rsidRPr="00000000" w14:paraId="00000051">
            <w:pPr>
              <w:numPr>
                <w:ilvl w:val="0"/>
                <w:numId w:val="2"/>
              </w:numPr>
              <w:tabs>
                <w:tab w:val="left" w:pos="-9"/>
              </w:tabs>
              <w:spacing w:after="120" w:lineRule="auto"/>
              <w:ind w:left="170" w:hanging="170"/>
              <w:jc w:val="left"/>
              <w:rPr>
                <w:sz w:val="24"/>
                <w:szCs w:val="24"/>
              </w:rPr>
            </w:pPr>
            <w:r w:rsidDel="00000000" w:rsidR="00000000" w:rsidRPr="00000000">
              <w:rPr>
                <w:sz w:val="24"/>
                <w:szCs w:val="24"/>
                <w:rtl w:val="0"/>
              </w:rPr>
              <w:t xml:space="preserve">the information security management system and process developed by the Supplier in accordance with Paragraph 3 (ISMS) as updated from time to time in accordance with this Schedule; and</w:t>
            </w:r>
          </w:p>
        </w:tc>
      </w:tr>
      <w:tr>
        <w:trPr>
          <w:cantSplit w:val="0"/>
          <w:tblHeader w:val="0"/>
        </w:trPr>
        <w:tc>
          <w:tcPr/>
          <w:p w:rsidR="00000000" w:rsidDel="00000000" w:rsidP="00000000" w:rsidRDefault="00000000" w:rsidRPr="00000000" w14:paraId="00000052">
            <w:pPr>
              <w:spacing w:after="120" w:lineRule="auto"/>
              <w:ind w:left="-108" w:firstLine="108"/>
              <w:jc w:val="left"/>
              <w:rPr>
                <w:sz w:val="24"/>
                <w:szCs w:val="24"/>
              </w:rPr>
            </w:pPr>
            <w:r w:rsidDel="00000000" w:rsidR="00000000" w:rsidRPr="00000000">
              <w:rPr>
                <w:sz w:val="24"/>
                <w:szCs w:val="24"/>
                <w:rtl w:val="0"/>
              </w:rPr>
              <w:t xml:space="preserve">"Security Tests"</w:t>
            </w:r>
          </w:p>
        </w:tc>
        <w:tc>
          <w:tcPr/>
          <w:p w:rsidR="00000000" w:rsidDel="00000000" w:rsidP="00000000" w:rsidRDefault="00000000" w:rsidRPr="00000000" w14:paraId="00000053">
            <w:pPr>
              <w:numPr>
                <w:ilvl w:val="0"/>
                <w:numId w:val="2"/>
              </w:numPr>
              <w:tabs>
                <w:tab w:val="left" w:pos="-9"/>
              </w:tabs>
              <w:spacing w:after="120" w:lineRule="auto"/>
              <w:ind w:left="170" w:hanging="170"/>
              <w:jc w:val="left"/>
              <w:rPr>
                <w:sz w:val="24"/>
                <w:szCs w:val="24"/>
              </w:rPr>
            </w:pPr>
            <w:r w:rsidDel="00000000" w:rsidR="00000000" w:rsidRPr="00000000">
              <w:rPr>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54">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4i7ojhp" w:id="21"/>
      <w:bookmarkEnd w:id="21"/>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55">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5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57">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58">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2xcytpi" w:id="22"/>
      <w:bookmarkEnd w:id="22"/>
      <w:r w:rsidDel="00000000" w:rsidR="00000000" w:rsidRPr="00000000">
        <w:rPr>
          <w:color w:val="000000"/>
          <w:sz w:val="24"/>
          <w:szCs w:val="24"/>
          <w:highlight w:val="yellow"/>
          <w:rtl w:val="0"/>
        </w:rPr>
        <w:t xml:space="preserve">[insert security representative of the Buyer]</w:t>
      </w:r>
      <w:r w:rsidDel="00000000" w:rsidR="00000000" w:rsidRPr="00000000">
        <w:rPr>
          <w:rtl w:val="0"/>
        </w:rPr>
      </w:r>
    </w:p>
    <w:p w:rsidR="00000000" w:rsidDel="00000000" w:rsidP="00000000" w:rsidRDefault="00000000" w:rsidRPr="00000000" w14:paraId="00000059">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ci93xb" w:id="23"/>
      <w:bookmarkEnd w:id="23"/>
      <w:r w:rsidDel="00000000" w:rsidR="00000000" w:rsidRPr="00000000">
        <w:rPr>
          <w:color w:val="000000"/>
          <w:sz w:val="24"/>
          <w:szCs w:val="24"/>
          <w:highlight w:val="yellow"/>
          <w:rtl w:val="0"/>
        </w:rPr>
        <w:t xml:space="preserve">[insert security representative of the Supplier]</w:t>
      </w:r>
      <w:r w:rsidDel="00000000" w:rsidR="00000000" w:rsidRPr="00000000">
        <w:rPr>
          <w:rtl w:val="0"/>
        </w:rPr>
      </w:r>
    </w:p>
    <w:p w:rsidR="00000000" w:rsidDel="00000000" w:rsidP="00000000" w:rsidRDefault="00000000" w:rsidRPr="00000000" w14:paraId="0000005A">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5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5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5F">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3whwml4" w:id="24"/>
      <w:bookmarkEnd w:id="24"/>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bn6wsx" w:id="25"/>
      <w:bookmarkEnd w:id="25"/>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63">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6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65">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qsh70q" w:id="26"/>
      <w:bookmarkEnd w:id="26"/>
      <w:r w:rsidDel="00000000" w:rsidR="00000000" w:rsidRPr="00000000">
        <w:rPr>
          <w:color w:val="000000"/>
          <w:sz w:val="24"/>
          <w:szCs w:val="24"/>
          <w:rtl w:val="0"/>
        </w:rPr>
        <w:t xml:space="preserve">The ISMS shall:</w:t>
      </w:r>
    </w:p>
    <w:p w:rsidR="00000000" w:rsidDel="00000000" w:rsidP="00000000" w:rsidRDefault="00000000" w:rsidRPr="00000000" w14:paraId="0000006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67">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68">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69">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6A">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6B">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6C">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6D">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6E">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6F">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70">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71">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72">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73">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7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bookmarkStart w:colFirst="0" w:colLast="0" w:name="_heading=h.3as4poj" w:id="27"/>
      <w:bookmarkEnd w:id="27"/>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7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pxezwc" w:id="28"/>
      <w:bookmarkEnd w:id="28"/>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9x2ik5" w:id="29"/>
      <w:bookmarkEnd w:id="29"/>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7A">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p2csry" w:id="30"/>
      <w:bookmarkEnd w:id="30"/>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7C">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47n2zr" w:id="31"/>
      <w:bookmarkEnd w:id="31"/>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7D">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7E">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7F">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80">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8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82">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83">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8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8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8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87">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o7alnk" w:id="32"/>
      <w:bookmarkEnd w:id="32"/>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8A">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8B">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3ckvvd" w:id="33"/>
      <w:bookmarkEnd w:id="33"/>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8C">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8D">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8E">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8F">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required in accordance with paragraph 3.4.3 d, any changes to the Security Policy;</w:t>
      </w:r>
    </w:p>
    <w:p w:rsidR="00000000" w:rsidDel="00000000" w:rsidP="00000000" w:rsidRDefault="00000000" w:rsidRPr="00000000" w14:paraId="00000090">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9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9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ihv636" w:id="34"/>
      <w:bookmarkEnd w:id="34"/>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93">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9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9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9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9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2hioqz" w:id="35"/>
      <w:bookmarkEnd w:id="35"/>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98">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hmsyys" w:id="36"/>
      <w:bookmarkEnd w:id="36"/>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99">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9A">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1mghml" w:id="37"/>
      <w:bookmarkEnd w:id="37"/>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9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grqrue" w:id="38"/>
      <w:bookmarkEnd w:id="38"/>
      <w:r w:rsidDel="00000000" w:rsidR="00000000" w:rsidRPr="00000000">
        <w:rPr>
          <w:color w:val="000000"/>
          <w:sz w:val="24"/>
          <w:szCs w:val="24"/>
          <w:rtl w:val="0"/>
        </w:rPr>
        <w:t xml:space="preserve">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9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vx1227" w:id="39"/>
      <w:bookmarkEnd w:id="39"/>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9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fwokq0" w:id="40"/>
      <w:bookmarkEnd w:id="40"/>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9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9F">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A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A1">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v1yuxt" w:id="41"/>
      <w:bookmarkEnd w:id="41"/>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A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A3">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A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f1mdlm" w:id="42"/>
      <w:bookmarkEnd w:id="42"/>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A5">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A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A7">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A8">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A9">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AA">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AB">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w:t>
      </w:r>
      <w:r w:rsidDel="00000000" w:rsidR="00000000" w:rsidRPr="00000000">
        <w:rPr>
          <w:color w:val="000000"/>
          <w:sz w:val="24"/>
          <w:szCs w:val="24"/>
          <w:rtl w:val="0"/>
        </w:rPr>
        <w:t xml:space="preserve">("GovCertUK"))</w:t>
      </w:r>
      <w:r w:rsidDel="00000000" w:rsidR="00000000" w:rsidRPr="00000000">
        <w:rPr>
          <w:color w:val="000000"/>
          <w:sz w:val="24"/>
          <w:szCs w:val="24"/>
          <w:rtl w:val="0"/>
        </w:rPr>
        <w:t xml:space="preserve"> on the Buyer’s request within two (2) Working Days and without charge (where such requests are reasonably related to a possible incident or compromise); and</w:t>
      </w:r>
    </w:p>
    <w:p w:rsidR="00000000" w:rsidDel="00000000" w:rsidP="00000000" w:rsidRDefault="00000000" w:rsidRPr="00000000" w14:paraId="000000AC">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A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AE">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AF">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B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B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B2">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B3">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rPr>
          <w:color w:val="000000"/>
          <w:sz w:val="24"/>
          <w:szCs w:val="24"/>
        </w:rPr>
      </w:pPr>
      <w:bookmarkStart w:colFirst="0" w:colLast="0" w:name="_heading=h.2u6wntf" w:id="43"/>
      <w:bookmarkEnd w:id="43"/>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B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B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B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B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B8">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B9">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BA">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BB">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BC">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BD">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BE">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BF">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C0">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C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C2">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C3">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C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bookmarkStart w:colFirst="0" w:colLast="0" w:name="_heading=h.19c6y18" w:id="44"/>
      <w:bookmarkEnd w:id="44"/>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1: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8">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C9">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CA">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CB">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CC">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CD">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CE">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CF">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D0">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D1">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D2">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D3">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D4">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D5">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D6">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D7">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D8">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D9">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DA">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DB">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DC">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D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DE">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DF">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E0">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E1">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E2">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E3">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bookmarkStart w:colFirst="0" w:colLast="0" w:name="_heading=h.28h4qwu" w:id="45"/>
      <w:bookmarkEnd w:id="45"/>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E4">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E5">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E6">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E7">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E8">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pos="4513"/>
        <w:tab w:val="right"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color w:val="000000"/>
        <w:sz w:val="20"/>
        <w:szCs w:val="20"/>
        <w:rtl w:val="0"/>
      </w:rPr>
      <w:t xml:space="preserve">Framework Ref: RM6</w:t>
    </w:r>
    <w:r w:rsidDel="00000000" w:rsidR="00000000" w:rsidRPr="00000000">
      <w:rPr>
        <w:sz w:val="20"/>
        <w:szCs w:val="20"/>
        <w:rtl w:val="0"/>
      </w:rPr>
      <w:t xml:space="preserve">193</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000000"/>
        <w:sz w:val="20"/>
        <w:szCs w:val="20"/>
      </w:rPr>
    </w:pPr>
    <w:r w:rsidDel="00000000" w:rsidR="00000000" w:rsidRPr="00000000">
      <w:rPr>
        <w:color w:val="000000"/>
        <w:sz w:val="20"/>
        <w:szCs w:val="20"/>
        <w:rtl w:val="0"/>
      </w:rPr>
      <w:t xml:space="preserve">Project Version: v</w:t>
    </w:r>
    <w:r w:rsidDel="00000000" w:rsidR="00000000" w:rsidRPr="00000000">
      <w:rPr>
        <w:sz w:val="20"/>
        <w:szCs w:val="20"/>
        <w:rtl w:val="0"/>
      </w:rPr>
      <w:t xml:space="preserve">2</w:t>
    </w:r>
    <w:r w:rsidDel="00000000" w:rsidR="00000000" w:rsidRPr="00000000">
      <w:rPr>
        <w:color w:val="000000"/>
        <w:sz w:val="20"/>
        <w:szCs w:val="20"/>
        <w:rtl w:val="0"/>
      </w:rPr>
      <w:t xml:space="preserve">.0</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a6a6a6"/>
        <w:sz w:val="20"/>
        <w:szCs w:val="20"/>
      </w:rPr>
    </w:pPr>
    <w:bookmarkStart w:colFirst="0" w:colLast="0" w:name="_heading=h.37m2jsg" w:id="46"/>
    <w:bookmarkEnd w:id="46"/>
    <w:r w:rsidDel="00000000" w:rsidR="00000000" w:rsidRPr="00000000">
      <w:rPr>
        <w:color w:val="000000"/>
        <w:sz w:val="20"/>
        <w:szCs w:val="20"/>
        <w:rtl w:val="0"/>
      </w:rPr>
      <w:t xml:space="preserve">Model Version: v3.4</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tabs>
        <w:tab w:val="center" w:pos="4513"/>
        <w:tab w:val="right" w:pos="9026"/>
      </w:tabs>
      <w:spacing w:after="0" w:lineRule="auto"/>
      <w:ind w:left="0" w:firstLine="0"/>
      <w:rPr>
        <w:b w:val="1"/>
        <w:sz w:val="20"/>
        <w:szCs w:val="20"/>
      </w:rPr>
    </w:pPr>
    <w:r w:rsidDel="00000000" w:rsidR="00000000" w:rsidRPr="00000000">
      <w:rPr>
        <w:b w:val="1"/>
        <w:sz w:val="20"/>
        <w:szCs w:val="20"/>
        <w:rtl w:val="0"/>
      </w:rPr>
      <w:t xml:space="preserve">Call-Off Schedule 9 (Security)</w:t>
    </w:r>
  </w:p>
  <w:p w:rsidR="00000000" w:rsidDel="00000000" w:rsidP="00000000" w:rsidRDefault="00000000" w:rsidRPr="00000000" w14:paraId="000000F0">
    <w:pPr>
      <w:tabs>
        <w:tab w:val="center" w:pos="4513"/>
        <w:tab w:val="right" w:pos="9026"/>
      </w:tabs>
      <w:spacing w:after="0" w:lineRule="auto"/>
      <w:ind w:left="0" w:firstLine="0"/>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F1">
    <w:pPr>
      <w:tabs>
        <w:tab w:val="center" w:pos="4513"/>
        <w:tab w:val="right" w:pos="9026"/>
      </w:tabs>
      <w:spacing w:after="0" w:lineRule="auto"/>
      <w:ind w:left="0" w:firstLine="0"/>
      <w:rPr>
        <w:sz w:val="20"/>
        <w:szCs w:val="20"/>
      </w:rPr>
    </w:pPr>
    <w:r w:rsidDel="00000000" w:rsidR="00000000" w:rsidRPr="00000000">
      <w:rPr>
        <w:sz w:val="20"/>
        <w:szCs w:val="20"/>
        <w:rtl w:val="0"/>
      </w:rPr>
      <w:t xml:space="preserve">Crown Copyright 2020</w:t>
    </w:r>
  </w:p>
  <w:p w:rsidR="00000000" w:rsidDel="00000000" w:rsidP="00000000" w:rsidRDefault="00000000" w:rsidRPr="00000000" w14:paraId="000000F2">
    <w:pPr>
      <w:tabs>
        <w:tab w:val="center" w:pos="4513"/>
        <w:tab w:val="right" w:pos="9026"/>
      </w:tabs>
      <w:spacing w:after="0" w:lineRule="auto"/>
      <w:ind w:left="0" w:firstLine="0"/>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8"/>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val="1"/>
    <w:rsid w:val="00D3427F"/>
    <w:pPr>
      <w:keepNext w:val="1"/>
      <w:keepLines w:val="1"/>
      <w:numPr>
        <w:numId w:val="4"/>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4"/>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4"/>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4"/>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4"/>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4"/>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4"/>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jc w:val="center"/>
      <w:outlineLvl w:val="1"/>
    </w:pPr>
    <w:rPr>
      <w:rFonts w:ascii="Calibri"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eastAsia="Times New Roman"/>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pPr>
      <w:keepNext w:val="1"/>
      <w:keepLines w:val="1"/>
      <w:spacing w:after="80" w:before="360"/>
      <w:ind w:left="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paragraph" w:styleId="FFWLevel2" w:customStyle="1">
    <w:name w:val="FFW Level 2"/>
    <w:basedOn w:val="Normal"/>
    <w:uiPriority w:val="4"/>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Level3" w:customStyle="1">
    <w:name w:val="FFW Level 3"/>
    <w:basedOn w:val="Normal"/>
    <w:uiPriority w:val="4"/>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Level4" w:customStyle="1">
    <w:name w:val="FFW Level 4"/>
    <w:basedOn w:val="Normal"/>
    <w:uiPriority w:val="5"/>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Level5" w:customStyle="1">
    <w:name w:val="FFW Level 5"/>
    <w:basedOn w:val="Normal"/>
    <w:uiPriority w:val="5"/>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Level6" w:customStyle="1">
    <w:name w:val="FFW Level 6"/>
    <w:basedOn w:val="Normal"/>
    <w:uiPriority w:val="5"/>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ManualNumber1" w:customStyle="1">
    <w:name w:val="FFW Manual Number 1"/>
    <w:basedOn w:val="Normal"/>
    <w:uiPriority w:val="9"/>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ManualNumber2" w:customStyle="1">
    <w:name w:val="FFW Manual Number 2"/>
    <w:basedOn w:val="Normal"/>
    <w:uiPriority w:val="9"/>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ManualNumber3" w:customStyle="1">
    <w:name w:val="FFW Manual Number 3"/>
    <w:basedOn w:val="Normal"/>
    <w:uiPriority w:val="9"/>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ManualNumber4" w:customStyle="1">
    <w:name w:val="FFW Manual Number 4"/>
    <w:basedOn w:val="Normal"/>
    <w:uiPriority w:val="9"/>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ManualNumber5" w:customStyle="1">
    <w:name w:val="FFW Manual Number 5"/>
    <w:basedOn w:val="Normal"/>
    <w:uiPriority w:val="9"/>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ManualNumber6" w:customStyle="1">
    <w:name w:val="FFW Manual Number 6"/>
    <w:basedOn w:val="Normal"/>
    <w:uiPriority w:val="9"/>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NumberedList" w:customStyle="1">
    <w:name w:val="FFW Numb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style>
  <w:style w:type="numbering" w:styleId="NumbListBullet" w:customStyle="1">
    <w:name w:val="NumbList Bullet"/>
    <w:uiPriority w:val="99"/>
    <w:rsid w:val="00D3427F"/>
  </w:style>
  <w:style w:type="numbering" w:styleId="NumbListLegal" w:customStyle="1">
    <w:name w:val="NumbList Legal"/>
    <w:uiPriority w:val="99"/>
    <w:rsid w:val="00D3427F"/>
  </w:style>
  <w:style w:type="numbering" w:styleId="NumbListLetteredLists" w:customStyle="1">
    <w:name w:val="NumbList LetteredLists"/>
    <w:uiPriority w:val="99"/>
    <w:rsid w:val="00D3427F"/>
  </w:style>
  <w:style w:type="numbering" w:styleId="NumbListManualNumbers" w:customStyle="1">
    <w:name w:val="NumbList ManualNumbers"/>
    <w:uiPriority w:val="99"/>
    <w:rsid w:val="00D3427F"/>
  </w:style>
  <w:style w:type="numbering" w:styleId="NumbListNumberedLists" w:customStyle="1">
    <w:name w:val="NumbList NumberedLists"/>
    <w:uiPriority w:val="99"/>
    <w:rsid w:val="00D3427F"/>
  </w:style>
  <w:style w:type="paragraph" w:styleId="FFWParties" w:customStyle="1">
    <w:name w:val="FFW Parties"/>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Parties" w:customStyle="1">
    <w:name w:val="NumbList Parties"/>
    <w:uiPriority w:val="99"/>
    <w:rsid w:val="00D3427F"/>
  </w:style>
  <w:style w:type="paragraph" w:styleId="FFWUCLetteredList" w:customStyle="1">
    <w:name w:val="FFW UC Lettered List"/>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tabs>
        <w:tab w:val="num" w:pos="1440"/>
      </w:tabs>
      <w:overflowPunct w:val="1"/>
      <w:autoSpaceDE w:val="1"/>
      <w:autoSpaceDN w:val="1"/>
      <w:adjustRightInd w:val="1"/>
      <w:spacing w:after="0" w:before="240" w:line="260" w:lineRule="atLeast"/>
      <w:ind w:left="1440" w:hanging="720"/>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6"/>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6"/>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style>
  <w:style w:type="numbering" w:styleId="NumbListRecitials" w:customStyle="1">
    <w:name w:val="NumbList Recitials"/>
    <w:uiPriority w:val="99"/>
    <w:rsid w:val="00D3427F"/>
  </w:style>
  <w:style w:type="paragraph" w:styleId="FFWDefinition" w:customStyle="1">
    <w:name w:val="FFW Definition"/>
    <w:basedOn w:val="Normal"/>
    <w:uiPriority w:val="13"/>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Appendix" w:customStyle="1">
    <w:name w:val="Appendix"/>
    <w:basedOn w:val="Normal"/>
    <w:uiPriority w:val="39"/>
    <w:semiHidden w:val="1"/>
    <w:qFormat w:val="1"/>
    <w:rsid w:val="00D3427F"/>
    <w:pPr>
      <w:tabs>
        <w:tab w:val="num" w:pos="1440"/>
      </w:tabs>
      <w:overflowPunct w:val="1"/>
      <w:autoSpaceDE w:val="1"/>
      <w:autoSpaceDN w:val="1"/>
      <w:adjustRightInd w:val="1"/>
      <w:spacing w:after="0" w:before="240" w:line="260" w:lineRule="atLeast"/>
      <w:ind w:left="1440" w:hanging="720"/>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numbering" w:styleId="NumbListDefinitions" w:customStyle="1">
    <w:name w:val="NumbList Definitions"/>
    <w:uiPriority w:val="99"/>
    <w:rsid w:val="00D3427F"/>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numbering" w:styleId="NumbListAnnex" w:customStyle="1">
    <w:name w:val="NumbList Annex"/>
    <w:uiPriority w:val="99"/>
    <w:rsid w:val="00D3427F"/>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RomanList" w:customStyle="1">
    <w:name w:val="NumbList RomanList"/>
    <w:uiPriority w:val="99"/>
    <w:rsid w:val="00D3427F"/>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style>
  <w:style w:type="numbering" w:styleId="1ai">
    <w:name w:val="Outline List 1"/>
    <w:basedOn w:val="NoList"/>
    <w:uiPriority w:val="99"/>
    <w:semiHidden w:val="1"/>
    <w:unhideWhenUsed w:val="1"/>
    <w:rsid w:val="00D3427F"/>
  </w:style>
  <w:style w:type="numbering" w:styleId="ArticleSection">
    <w:name w:val="Outline List 3"/>
    <w:basedOn w:val="NoList"/>
    <w:uiPriority w:val="99"/>
    <w:semiHidden w:val="1"/>
    <w:unhideWhenUsed w:val="1"/>
    <w:rsid w:val="00D3427F"/>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pPr>
    <w:rPr>
      <w:color w:val="000000" w:themeColor="text1" w:themeShade="0000BF"/>
      <w:sz w:val="20"/>
      <w:szCs w:val="2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pPr>
    <w:rPr>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pPr>
    <w:rPr>
      <w:color w:val="943634" w:themeColor="accent2" w:themeShade="0000BF"/>
      <w:sz w:val="20"/>
      <w:szCs w:val="20"/>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pPr>
    <w:rPr>
      <w:color w:val="76923c" w:themeColor="accent3" w:themeShade="0000BF"/>
      <w:sz w:val="20"/>
      <w:szCs w:val="20"/>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pPr>
    <w:rPr>
      <w:color w:val="5f497a" w:themeColor="accent4" w:themeShade="0000BF"/>
      <w:sz w:val="20"/>
      <w:szCs w:val="20"/>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pPr>
    <w:rPr>
      <w:color w:val="31849b" w:themeColor="accent5" w:themeShade="0000BF"/>
      <w:sz w:val="20"/>
      <w:szCs w:val="20"/>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pPr>
    <w:rPr>
      <w:color w:val="e36c0a" w:themeColor="accent6" w:themeShade="0000BF"/>
      <w:sz w:val="20"/>
      <w:szCs w:val="20"/>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pPr>
    <w:rPr>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pPr>
    <w:rPr>
      <w:sz w:val="20"/>
      <w:szCs w:val="20"/>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pPr>
    <w:rPr>
      <w:sz w:val="20"/>
      <w:szCs w:val="20"/>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pPr>
    <w:rPr>
      <w:sz w:val="20"/>
      <w:szCs w:val="20"/>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pPr>
    <w:rPr>
      <w:color w:val="000080"/>
      <w:sz w:val="20"/>
      <w:szCs w:val="2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pPr>
    <w:rPr>
      <w:color w:val="ffffff"/>
      <w:sz w:val="20"/>
      <w:szCs w:val="20"/>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pPr>
    <w:rPr>
      <w:sz w:val="20"/>
      <w:szCs w:val="20"/>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pPr>
    <w:rPr>
      <w:sz w:val="20"/>
      <w:szCs w:val="20"/>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pPr>
    <w:rPr>
      <w:b w:val="1"/>
      <w:bCs w:val="1"/>
      <w:sz w:val="20"/>
      <w:szCs w:val="20"/>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pPr>
    <w:rPr>
      <w:sz w:val="20"/>
      <w:szCs w:val="20"/>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pPr>
    <w:rPr>
      <w:sz w:val="20"/>
      <w:szCs w:val="20"/>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pPr>
    <w:rPr>
      <w:color w:val="000000"/>
      <w:sz w:val="20"/>
      <w:szCs w:val="20"/>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pPr>
    <w:rPr>
      <w:sz w:val="20"/>
      <w:szCs w:val="20"/>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pPr>
    <w:rPr>
      <w:sz w:val="20"/>
      <w:szCs w:val="20"/>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pPr>
    <w:rPr>
      <w:sz w:val="20"/>
      <w:szCs w:val="20"/>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pPr>
    <w:rPr>
      <w:b w:val="1"/>
      <w:bCs w:val="1"/>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pPr>
    <w:rPr>
      <w:sz w:val="20"/>
      <w:szCs w:val="20"/>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pPr>
    <w:rPr>
      <w:color w:val="000000"/>
      <w:sz w:val="20"/>
      <w:szCs w:val="20"/>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pPr>
    <w:rPr>
      <w:sz w:val="20"/>
      <w:szCs w:val="20"/>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pPr>
    <w:rPr>
      <w:color w:val="000000"/>
      <w:sz w:val="20"/>
      <w:szCs w:val="20"/>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pPr>
    <w:rPr>
      <w:sz w:val="20"/>
      <w:szCs w:val="20"/>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pPr>
    <w:rPr>
      <w:color w:val="000000"/>
      <w:sz w:val="20"/>
      <w:szCs w:val="20"/>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pPr>
    <w:rPr>
      <w:color w:val="000000"/>
      <w:sz w:val="20"/>
      <w:szCs w:val="20"/>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pPr>
    <w:rPr>
      <w:color w:val="000000"/>
      <w:sz w:val="20"/>
      <w:szCs w:val="20"/>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pPr>
    <w:rPr>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pPr>
    <w:rPr>
      <w:sz w:val="20"/>
      <w:szCs w:val="20"/>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before="240"/>
    </w:pPr>
    <w:rPr>
      <w:rFonts w:ascii="Cambria" w:cs="Cambria" w:eastAsia="Cambria" w:hAnsi="Cambria"/>
      <w:b w:val="1"/>
      <w:color w:val="000000"/>
      <w:sz w:val="20"/>
      <w:szCs w:val="20"/>
    </w:rPr>
    <w:tblPr>
      <w:tblStyleRowBandSize w:val="1"/>
      <w:tblStyleColBandSize w:val="1"/>
      <w:tblCellMar>
        <w:left w:w="115.0" w:type="dxa"/>
        <w:right w:w="115.0" w:type="dxa"/>
      </w:tblCellMar>
    </w:tblPr>
    <w:tcPr>
      <w:shd w:color="auto" w:fill="auto" w:val="clear"/>
    </w:tcPr>
  </w:style>
  <w:style w:type="table" w:styleId="a2" w:customStyle="1">
    <w:basedOn w:val="TableNormal"/>
    <w:pPr>
      <w:pBdr>
        <w:top w:space="0" w:sz="0" w:val="nil"/>
        <w:left w:space="0" w:sz="0" w:val="nil"/>
        <w:bottom w:space="0" w:sz="0" w:val="nil"/>
        <w:right w:space="0" w:sz="0" w:val="nil"/>
        <w:between w:space="0" w:sz="0" w:val="nil"/>
      </w:pBdr>
      <w:spacing w:after="0" w:before="240"/>
    </w:pPr>
    <w:rPr>
      <w:rFonts w:ascii="Cambria" w:cs="Cambria" w:eastAsia="Cambria" w:hAnsi="Cambria"/>
      <w:b w:val="1"/>
      <w:color w:val="000000"/>
      <w:sz w:val="20"/>
      <w:szCs w:val="20"/>
    </w:rPr>
    <w:tblPr>
      <w:tblStyleRowBandSize w:val="1"/>
      <w:tblStyleColBandSize w:val="1"/>
      <w:tblCellMar>
        <w:left w:w="115.0" w:type="dxa"/>
        <w:right w:w="115.0" w:type="dxa"/>
      </w:tblCellMar>
    </w:tblPr>
    <w:tcPr>
      <w:shd w:color="auto" w:fill="auto" w:val="clear"/>
    </w:tcPr>
  </w:style>
  <w:style w:type="table" w:styleId="a3" w:customStyle="1">
    <w:basedOn w:val="TableNormal"/>
    <w:pPr>
      <w:pBdr>
        <w:top w:space="0" w:sz="0" w:val="nil"/>
        <w:left w:space="0" w:sz="0" w:val="nil"/>
        <w:bottom w:space="0" w:sz="0" w:val="nil"/>
        <w:right w:space="0" w:sz="0" w:val="nil"/>
        <w:between w:space="0" w:sz="0" w:val="nil"/>
      </w:pBdr>
      <w:spacing w:after="0" w:before="240"/>
    </w:pPr>
    <w:rPr>
      <w:rFonts w:ascii="Cambria" w:cs="Cambria" w:eastAsia="Cambria" w:hAnsi="Cambria"/>
      <w:b w:val="1"/>
      <w:color w:val="000000"/>
      <w:sz w:val="20"/>
      <w:szCs w:val="20"/>
    </w:rPr>
    <w:tblPr>
      <w:tblStyleRowBandSize w:val="1"/>
      <w:tblStyleColBandSize w:val="1"/>
      <w:tblCellMar>
        <w:left w:w="115.0" w:type="dxa"/>
        <w:right w:w="115.0" w:type="dxa"/>
      </w:tblCellMar>
    </w:tblPr>
    <w:tcPr>
      <w:shd w:color="auto" w:fill="auto" w:val="clear"/>
    </w:tcPr>
  </w:style>
  <w:style w:type="table" w:styleId="a4" w:customStyle="1">
    <w:basedOn w:val="TableNormal"/>
    <w:pPr>
      <w:pBdr>
        <w:top w:space="0" w:sz="0" w:val="nil"/>
        <w:left w:space="0" w:sz="0" w:val="nil"/>
        <w:bottom w:space="0" w:sz="0" w:val="nil"/>
        <w:right w:space="0" w:sz="0" w:val="nil"/>
        <w:between w:space="0" w:sz="0" w:val="nil"/>
      </w:pBdr>
      <w:spacing w:after="0" w:before="240"/>
    </w:pPr>
    <w:rPr>
      <w:rFonts w:ascii="Cambria" w:cs="Cambria" w:eastAsia="Cambria" w:hAnsi="Cambria"/>
      <w:b w:val="1"/>
      <w:color w:val="000000"/>
      <w:sz w:val="20"/>
      <w:szCs w:val="20"/>
    </w:rPr>
    <w:tblPr>
      <w:tblStyleRowBandSize w:val="1"/>
      <w:tblStyleColBandSize w:val="1"/>
      <w:tblCellMar>
        <w:left w:w="115.0" w:type="dxa"/>
        <w:right w:w="115.0" w:type="dxa"/>
      </w:tblCellMar>
    </w:tblPr>
    <w:tcPr>
      <w:shd w:color="auto"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FmcN+Zb9BPE4l3TZ0Yy1d23NQ==">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2020-11-06T14:14:00Z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