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8AF5" w14:textId="77777777" w:rsidR="00903E93" w:rsidRDefault="009A6F70">
      <w:pPr>
        <w:rPr>
          <w:b/>
          <w:sz w:val="36"/>
          <w:szCs w:val="36"/>
        </w:rPr>
      </w:pPr>
      <w:r>
        <w:rPr>
          <w:b/>
          <w:sz w:val="36"/>
          <w:szCs w:val="36"/>
        </w:rPr>
        <w:t>Workplace Services (FM Phase 2)</w:t>
      </w:r>
      <w:r w:rsidR="00372CEC">
        <w:rPr>
          <w:b/>
          <w:sz w:val="36"/>
          <w:szCs w:val="36"/>
        </w:rPr>
        <w:t xml:space="preserve"> Customer Guidance</w:t>
      </w:r>
      <w:r w:rsidR="00372CEC">
        <w:rPr>
          <w:noProof/>
        </w:rPr>
        <w:drawing>
          <wp:anchor distT="114300" distB="114300" distL="114300" distR="114300" simplePos="0" relativeHeight="251658240" behindDoc="0" locked="0" layoutInCell="1" hidden="0" allowOverlap="1" wp14:anchorId="6797266B" wp14:editId="2CA9C77D">
            <wp:simplePos x="0" y="0"/>
            <wp:positionH relativeFrom="margin">
              <wp:posOffset>3905250</wp:posOffset>
            </wp:positionH>
            <wp:positionV relativeFrom="paragraph">
              <wp:posOffset>114300</wp:posOffset>
            </wp:positionV>
            <wp:extent cx="1381013" cy="1381013"/>
            <wp:effectExtent l="0" t="0" r="0" b="0"/>
            <wp:wrapSquare wrapText="bothSides" distT="114300" distB="11430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381013" cy="1381013"/>
                    </a:xfrm>
                    <a:prstGeom prst="rect">
                      <a:avLst/>
                    </a:prstGeom>
                    <a:ln/>
                  </pic:spPr>
                </pic:pic>
              </a:graphicData>
            </a:graphic>
          </wp:anchor>
        </w:drawing>
      </w:r>
    </w:p>
    <w:p w14:paraId="4882C5E0" w14:textId="77777777" w:rsidR="00903E93" w:rsidRDefault="00903E93">
      <w:pPr>
        <w:ind w:left="7920"/>
        <w:rPr>
          <w:b/>
          <w:sz w:val="24"/>
          <w:szCs w:val="24"/>
        </w:rPr>
      </w:pPr>
    </w:p>
    <w:p w14:paraId="5BEDF94A" w14:textId="77777777" w:rsidR="00903E93" w:rsidRDefault="00372CEC">
      <w:pPr>
        <w:rPr>
          <w:b/>
          <w:sz w:val="24"/>
          <w:szCs w:val="24"/>
        </w:rPr>
      </w:pPr>
      <w:r>
        <w:rPr>
          <w:b/>
          <w:sz w:val="24"/>
          <w:szCs w:val="24"/>
        </w:rPr>
        <w:t>(</w:t>
      </w:r>
      <w:r w:rsidR="009A6F70">
        <w:rPr>
          <w:b/>
          <w:sz w:val="24"/>
          <w:szCs w:val="24"/>
        </w:rPr>
        <w:t>RM6089</w:t>
      </w:r>
      <w:r>
        <w:rPr>
          <w:b/>
          <w:sz w:val="24"/>
          <w:szCs w:val="24"/>
        </w:rPr>
        <w:t xml:space="preserve">) Buyers guide and ordering procedure </w:t>
      </w:r>
    </w:p>
    <w:p w14:paraId="538180B2" w14:textId="77777777" w:rsidR="00903E93" w:rsidRDefault="00903E93">
      <w:pPr>
        <w:rPr>
          <w:b/>
          <w:sz w:val="24"/>
          <w:szCs w:val="24"/>
        </w:rPr>
      </w:pPr>
    </w:p>
    <w:p w14:paraId="2A330D53" w14:textId="77777777" w:rsidR="00903E93" w:rsidRDefault="00903E93">
      <w:pPr>
        <w:rPr>
          <w:sz w:val="24"/>
          <w:szCs w:val="24"/>
        </w:rPr>
      </w:pPr>
    </w:p>
    <w:p w14:paraId="0392E8C5" w14:textId="77777777" w:rsidR="00903E93" w:rsidRDefault="00372CEC">
      <w:pPr>
        <w:rPr>
          <w:b/>
          <w:sz w:val="24"/>
          <w:szCs w:val="24"/>
        </w:rPr>
      </w:pPr>
      <w:r>
        <w:rPr>
          <w:b/>
          <w:sz w:val="24"/>
          <w:szCs w:val="24"/>
        </w:rPr>
        <w:t>Contents:</w:t>
      </w:r>
    </w:p>
    <w:p w14:paraId="35F88936" w14:textId="77777777" w:rsidR="00903E93" w:rsidRDefault="00372CEC">
      <w:pPr>
        <w:rPr>
          <w:sz w:val="24"/>
          <w:szCs w:val="24"/>
        </w:rPr>
      </w:pPr>
      <w:r>
        <w:rPr>
          <w:sz w:val="24"/>
          <w:szCs w:val="24"/>
        </w:rPr>
        <w:t xml:space="preserve">1. </w:t>
      </w:r>
      <w:r w:rsidR="009A6F70">
        <w:rPr>
          <w:color w:val="222222"/>
          <w:sz w:val="24"/>
          <w:szCs w:val="24"/>
        </w:rPr>
        <w:t xml:space="preserve">Workplace Services (FM Phase 2) </w:t>
      </w:r>
      <w:r>
        <w:rPr>
          <w:color w:val="222222"/>
          <w:sz w:val="24"/>
          <w:szCs w:val="24"/>
        </w:rPr>
        <w:t>Contract Overview</w:t>
      </w:r>
    </w:p>
    <w:p w14:paraId="1AB4A693" w14:textId="77777777" w:rsidR="00903E93" w:rsidRDefault="00372CEC">
      <w:pPr>
        <w:rPr>
          <w:sz w:val="24"/>
          <w:szCs w:val="24"/>
          <w:highlight w:val="red"/>
        </w:rPr>
      </w:pPr>
      <w:r>
        <w:rPr>
          <w:sz w:val="24"/>
          <w:szCs w:val="24"/>
          <w:highlight w:val="white"/>
        </w:rPr>
        <w:t xml:space="preserve">2. </w:t>
      </w:r>
      <w:r>
        <w:rPr>
          <w:sz w:val="24"/>
          <w:szCs w:val="24"/>
        </w:rPr>
        <w:t xml:space="preserve">Benefits </w:t>
      </w:r>
      <w:r>
        <w:rPr>
          <w:sz w:val="24"/>
          <w:szCs w:val="24"/>
          <w:highlight w:val="red"/>
        </w:rPr>
        <w:t xml:space="preserve"> </w:t>
      </w:r>
    </w:p>
    <w:p w14:paraId="1F671398" w14:textId="77777777" w:rsidR="00903E93" w:rsidRDefault="00372CEC">
      <w:pPr>
        <w:rPr>
          <w:sz w:val="24"/>
          <w:szCs w:val="24"/>
        </w:rPr>
      </w:pPr>
      <w:r>
        <w:rPr>
          <w:sz w:val="24"/>
          <w:szCs w:val="24"/>
        </w:rPr>
        <w:t xml:space="preserve">3. </w:t>
      </w:r>
      <w:r>
        <w:rPr>
          <w:sz w:val="24"/>
          <w:szCs w:val="24"/>
          <w:highlight w:val="white"/>
        </w:rPr>
        <w:t xml:space="preserve">What services are </w:t>
      </w:r>
      <w:proofErr w:type="gramStart"/>
      <w:r>
        <w:rPr>
          <w:sz w:val="24"/>
          <w:szCs w:val="24"/>
          <w:highlight w:val="white"/>
        </w:rPr>
        <w:t>available</w:t>
      </w:r>
      <w:proofErr w:type="gramEnd"/>
    </w:p>
    <w:p w14:paraId="50677EEA" w14:textId="77777777" w:rsidR="00903E93" w:rsidRDefault="00372CEC">
      <w:pPr>
        <w:rPr>
          <w:sz w:val="24"/>
          <w:szCs w:val="24"/>
        </w:rPr>
      </w:pPr>
      <w:r>
        <w:rPr>
          <w:sz w:val="24"/>
          <w:szCs w:val="24"/>
        </w:rPr>
        <w:t>4. Framework Prices</w:t>
      </w:r>
    </w:p>
    <w:p w14:paraId="2D7CC8E6" w14:textId="77777777" w:rsidR="00903E93" w:rsidRDefault="008E0351">
      <w:pPr>
        <w:rPr>
          <w:sz w:val="24"/>
          <w:szCs w:val="24"/>
        </w:rPr>
      </w:pPr>
      <w:r>
        <w:rPr>
          <w:sz w:val="24"/>
          <w:szCs w:val="24"/>
        </w:rPr>
        <w:t>5</w:t>
      </w:r>
      <w:r w:rsidR="00372CEC">
        <w:rPr>
          <w:sz w:val="24"/>
          <w:szCs w:val="24"/>
        </w:rPr>
        <w:t xml:space="preserve">. Suppliers  </w:t>
      </w:r>
    </w:p>
    <w:p w14:paraId="2733FCFE" w14:textId="77777777" w:rsidR="008E0351" w:rsidRPr="008E0351" w:rsidRDefault="008E0351" w:rsidP="008E0351">
      <w:pPr>
        <w:rPr>
          <w:sz w:val="24"/>
          <w:szCs w:val="24"/>
        </w:rPr>
      </w:pPr>
      <w:r w:rsidRPr="008E0351">
        <w:rPr>
          <w:sz w:val="24"/>
          <w:szCs w:val="24"/>
        </w:rPr>
        <w:t>6. How to Access the Agreement – Lot 1a, 1b and 2c - Next Steps</w:t>
      </w:r>
    </w:p>
    <w:p w14:paraId="107D6329" w14:textId="77777777" w:rsidR="008E0351" w:rsidRPr="008E0351" w:rsidRDefault="008E0351" w:rsidP="008E0351">
      <w:pPr>
        <w:rPr>
          <w:sz w:val="24"/>
          <w:szCs w:val="24"/>
        </w:rPr>
      </w:pPr>
      <w:r w:rsidRPr="008E0351">
        <w:rPr>
          <w:sz w:val="24"/>
          <w:szCs w:val="24"/>
        </w:rPr>
        <w:t>7. Customer User Agreement - How to complete (Lot 1a, 1b and 2c)</w:t>
      </w:r>
    </w:p>
    <w:p w14:paraId="50288438" w14:textId="6D689093" w:rsidR="001D475D" w:rsidRPr="008E0351" w:rsidRDefault="008E0351">
      <w:pPr>
        <w:rPr>
          <w:sz w:val="24"/>
          <w:szCs w:val="24"/>
        </w:rPr>
      </w:pPr>
      <w:r w:rsidRPr="008E0351">
        <w:rPr>
          <w:sz w:val="24"/>
          <w:szCs w:val="24"/>
        </w:rPr>
        <w:t>8. How to Access the Agreement – Lot 1a, 1b and 2c - Next Steps</w:t>
      </w:r>
    </w:p>
    <w:p w14:paraId="5D34B6F5" w14:textId="77777777" w:rsidR="001D475D" w:rsidRDefault="008E0351">
      <w:pPr>
        <w:rPr>
          <w:sz w:val="24"/>
          <w:szCs w:val="24"/>
        </w:rPr>
      </w:pPr>
      <w:r w:rsidRPr="008E0351">
        <w:rPr>
          <w:sz w:val="24"/>
          <w:szCs w:val="24"/>
        </w:rPr>
        <w:t>9</w:t>
      </w:r>
      <w:r w:rsidR="00372CEC" w:rsidRPr="008E0351">
        <w:rPr>
          <w:sz w:val="24"/>
          <w:szCs w:val="24"/>
        </w:rPr>
        <w:t xml:space="preserve">. </w:t>
      </w:r>
      <w:r w:rsidR="001D475D">
        <w:rPr>
          <w:sz w:val="24"/>
          <w:szCs w:val="24"/>
        </w:rPr>
        <w:t xml:space="preserve">What is a Further </w:t>
      </w:r>
      <w:proofErr w:type="gramStart"/>
      <w:r w:rsidR="001D475D">
        <w:rPr>
          <w:sz w:val="24"/>
          <w:szCs w:val="24"/>
        </w:rPr>
        <w:t>Competition</w:t>
      </w:r>
      <w:proofErr w:type="gramEnd"/>
    </w:p>
    <w:p w14:paraId="1D960C4F" w14:textId="659C3780" w:rsidR="00903E93" w:rsidRPr="008E0351" w:rsidRDefault="001D475D">
      <w:pPr>
        <w:rPr>
          <w:sz w:val="24"/>
          <w:szCs w:val="24"/>
        </w:rPr>
      </w:pPr>
      <w:r>
        <w:rPr>
          <w:sz w:val="24"/>
          <w:szCs w:val="24"/>
        </w:rPr>
        <w:t>10</w:t>
      </w:r>
      <w:proofErr w:type="gramStart"/>
      <w:r>
        <w:rPr>
          <w:sz w:val="24"/>
          <w:szCs w:val="24"/>
        </w:rPr>
        <w:t>.</w:t>
      </w:r>
      <w:r w:rsidR="00372CEC" w:rsidRPr="008E0351">
        <w:rPr>
          <w:sz w:val="24"/>
          <w:szCs w:val="24"/>
        </w:rPr>
        <w:t>Estates</w:t>
      </w:r>
      <w:proofErr w:type="gramEnd"/>
      <w:r w:rsidR="00372CEC" w:rsidRPr="008E0351">
        <w:rPr>
          <w:sz w:val="24"/>
          <w:szCs w:val="24"/>
        </w:rPr>
        <w:t xml:space="preserve"> Information</w:t>
      </w:r>
    </w:p>
    <w:p w14:paraId="2062EEDE" w14:textId="4D6F90D2" w:rsidR="00903E93" w:rsidRPr="008E0351" w:rsidRDefault="001D475D">
      <w:pPr>
        <w:rPr>
          <w:sz w:val="24"/>
          <w:szCs w:val="24"/>
        </w:rPr>
      </w:pPr>
      <w:r>
        <w:rPr>
          <w:sz w:val="24"/>
          <w:szCs w:val="24"/>
        </w:rPr>
        <w:t>11</w:t>
      </w:r>
      <w:proofErr w:type="gramStart"/>
      <w:r>
        <w:rPr>
          <w:sz w:val="24"/>
          <w:szCs w:val="24"/>
        </w:rPr>
        <w:t>.</w:t>
      </w:r>
      <w:r w:rsidR="00372CEC" w:rsidRPr="008E0351">
        <w:rPr>
          <w:sz w:val="24"/>
          <w:szCs w:val="24"/>
        </w:rPr>
        <w:t>Terms</w:t>
      </w:r>
      <w:proofErr w:type="gramEnd"/>
      <w:r w:rsidR="00372CEC" w:rsidRPr="008E0351">
        <w:rPr>
          <w:sz w:val="24"/>
          <w:szCs w:val="24"/>
        </w:rPr>
        <w:t xml:space="preserve"> and Conditions</w:t>
      </w:r>
    </w:p>
    <w:p w14:paraId="0E728F05" w14:textId="29E78BF0" w:rsidR="00903E93" w:rsidRPr="008E0351" w:rsidRDefault="001D475D">
      <w:pPr>
        <w:rPr>
          <w:sz w:val="24"/>
          <w:szCs w:val="24"/>
        </w:rPr>
      </w:pPr>
      <w:r>
        <w:rPr>
          <w:sz w:val="24"/>
          <w:szCs w:val="24"/>
        </w:rPr>
        <w:t>12</w:t>
      </w:r>
      <w:r w:rsidR="00372CEC" w:rsidRPr="008E0351">
        <w:rPr>
          <w:sz w:val="24"/>
          <w:szCs w:val="24"/>
        </w:rPr>
        <w:t>. Cabinet Office controls</w:t>
      </w:r>
    </w:p>
    <w:p w14:paraId="5BE57A85" w14:textId="57B7E716" w:rsidR="00903E93" w:rsidRPr="008E0351" w:rsidRDefault="001D475D">
      <w:pPr>
        <w:rPr>
          <w:sz w:val="24"/>
          <w:szCs w:val="24"/>
        </w:rPr>
      </w:pPr>
      <w:r>
        <w:rPr>
          <w:sz w:val="24"/>
          <w:szCs w:val="24"/>
        </w:rPr>
        <w:t>13</w:t>
      </w:r>
      <w:r w:rsidR="00372CEC" w:rsidRPr="008E0351">
        <w:rPr>
          <w:sz w:val="24"/>
          <w:szCs w:val="24"/>
        </w:rPr>
        <w:t>. Contact details</w:t>
      </w:r>
    </w:p>
    <w:p w14:paraId="0D9A3A01" w14:textId="77777777" w:rsidR="00903E93" w:rsidRDefault="00903E93">
      <w:pPr>
        <w:rPr>
          <w:sz w:val="24"/>
          <w:szCs w:val="24"/>
        </w:rPr>
      </w:pPr>
    </w:p>
    <w:p w14:paraId="70AFEB3D" w14:textId="77777777" w:rsidR="00903E93" w:rsidRDefault="00903E93">
      <w:pPr>
        <w:rPr>
          <w:b/>
          <w:color w:val="222222"/>
          <w:sz w:val="24"/>
          <w:szCs w:val="24"/>
        </w:rPr>
      </w:pPr>
    </w:p>
    <w:p w14:paraId="27E069D0" w14:textId="77777777" w:rsidR="00903E93" w:rsidRDefault="00372CEC">
      <w:pPr>
        <w:rPr>
          <w:b/>
          <w:color w:val="222222"/>
          <w:sz w:val="24"/>
          <w:szCs w:val="24"/>
        </w:rPr>
      </w:pPr>
      <w:r>
        <w:rPr>
          <w:b/>
          <w:color w:val="222222"/>
          <w:sz w:val="24"/>
          <w:szCs w:val="24"/>
        </w:rPr>
        <w:t>Crown Commercial Service (CCS) is an executive agency of the Cabinet Office which supports the public sector to achieve maximum commercial value when procuring common goods and services.</w:t>
      </w:r>
    </w:p>
    <w:p w14:paraId="674824B4" w14:textId="77777777" w:rsidR="00903E93" w:rsidRDefault="00903E93">
      <w:pPr>
        <w:rPr>
          <w:sz w:val="24"/>
          <w:szCs w:val="24"/>
        </w:rPr>
      </w:pPr>
    </w:p>
    <w:p w14:paraId="55B50CEB" w14:textId="77777777" w:rsidR="00903E93" w:rsidRDefault="00372CEC">
      <w:pPr>
        <w:rPr>
          <w:sz w:val="24"/>
          <w:szCs w:val="24"/>
        </w:rPr>
      </w:pPr>
      <w:r>
        <w:rPr>
          <w:sz w:val="24"/>
          <w:szCs w:val="24"/>
        </w:rPr>
        <w:t>This framework has been developed to meet our buyers</w:t>
      </w:r>
      <w:r w:rsidR="00175401">
        <w:rPr>
          <w:sz w:val="24"/>
          <w:szCs w:val="24"/>
        </w:rPr>
        <w:t>’</w:t>
      </w:r>
      <w:r>
        <w:rPr>
          <w:sz w:val="24"/>
          <w:szCs w:val="24"/>
        </w:rPr>
        <w:t xml:space="preserve"> Facilities Management (FM) requirements by providing the best route to market. It has been designed to provide the right structure for buyers with a variety of suppliers and services, whilst ensuring unrivalled ‘value for money’ for public sector organisations.</w:t>
      </w:r>
    </w:p>
    <w:p w14:paraId="1DBD730F" w14:textId="77777777" w:rsidR="00CE789B" w:rsidRDefault="00CE789B">
      <w:pPr>
        <w:rPr>
          <w:sz w:val="24"/>
          <w:szCs w:val="24"/>
        </w:rPr>
      </w:pPr>
    </w:p>
    <w:p w14:paraId="07F3B835" w14:textId="77777777" w:rsidR="00CE789B" w:rsidRDefault="00CE789B">
      <w:pPr>
        <w:rPr>
          <w:sz w:val="24"/>
          <w:szCs w:val="24"/>
        </w:rPr>
      </w:pPr>
    </w:p>
    <w:p w14:paraId="2BEE6DBF" w14:textId="77777777" w:rsidR="00CE789B" w:rsidRDefault="00CE789B">
      <w:pPr>
        <w:rPr>
          <w:sz w:val="24"/>
          <w:szCs w:val="24"/>
        </w:rPr>
      </w:pPr>
    </w:p>
    <w:p w14:paraId="74F4FD78" w14:textId="77777777" w:rsidR="00CE789B" w:rsidRDefault="00CE789B">
      <w:pPr>
        <w:rPr>
          <w:sz w:val="24"/>
          <w:szCs w:val="24"/>
        </w:rPr>
      </w:pPr>
    </w:p>
    <w:p w14:paraId="75ACD090" w14:textId="77777777" w:rsidR="00CE789B" w:rsidRDefault="00CE789B">
      <w:pPr>
        <w:rPr>
          <w:sz w:val="24"/>
          <w:szCs w:val="24"/>
        </w:rPr>
      </w:pPr>
    </w:p>
    <w:p w14:paraId="01CA1AC7" w14:textId="77777777" w:rsidR="00CE789B" w:rsidRDefault="00CE789B">
      <w:pPr>
        <w:rPr>
          <w:sz w:val="24"/>
          <w:szCs w:val="24"/>
        </w:rPr>
      </w:pPr>
    </w:p>
    <w:p w14:paraId="4171FE83" w14:textId="77777777" w:rsidR="00CE789B" w:rsidRDefault="00CE789B">
      <w:pPr>
        <w:rPr>
          <w:sz w:val="24"/>
          <w:szCs w:val="24"/>
        </w:rPr>
      </w:pPr>
    </w:p>
    <w:p w14:paraId="4D3DC69A" w14:textId="77777777" w:rsidR="00CE789B" w:rsidRDefault="00CE789B">
      <w:pPr>
        <w:rPr>
          <w:sz w:val="24"/>
          <w:szCs w:val="24"/>
        </w:rPr>
      </w:pPr>
    </w:p>
    <w:p w14:paraId="55F8D8B6" w14:textId="77777777" w:rsidR="00CE789B" w:rsidRDefault="00CE789B">
      <w:pPr>
        <w:rPr>
          <w:sz w:val="24"/>
          <w:szCs w:val="24"/>
        </w:rPr>
      </w:pPr>
    </w:p>
    <w:p w14:paraId="469EA4FE" w14:textId="77777777" w:rsidR="00CE789B" w:rsidRDefault="00CE789B">
      <w:pPr>
        <w:rPr>
          <w:sz w:val="24"/>
          <w:szCs w:val="24"/>
        </w:rPr>
      </w:pPr>
    </w:p>
    <w:p w14:paraId="4F2C8D2C" w14:textId="77777777" w:rsidR="00CE789B" w:rsidRDefault="00CE789B">
      <w:pPr>
        <w:rPr>
          <w:sz w:val="24"/>
          <w:szCs w:val="24"/>
        </w:rPr>
      </w:pPr>
    </w:p>
    <w:p w14:paraId="7B30B636" w14:textId="77777777" w:rsidR="00CE789B" w:rsidRDefault="00CE789B">
      <w:pPr>
        <w:rPr>
          <w:sz w:val="24"/>
          <w:szCs w:val="24"/>
        </w:rPr>
      </w:pPr>
    </w:p>
    <w:p w14:paraId="16CB1EAB" w14:textId="77777777" w:rsidR="00CE789B" w:rsidRDefault="00CE789B">
      <w:pPr>
        <w:rPr>
          <w:sz w:val="24"/>
          <w:szCs w:val="24"/>
        </w:rPr>
      </w:pPr>
    </w:p>
    <w:p w14:paraId="09645313" w14:textId="77777777" w:rsidR="00903E93" w:rsidRDefault="00903E93">
      <w:pPr>
        <w:rPr>
          <w:sz w:val="24"/>
          <w:szCs w:val="24"/>
        </w:rPr>
      </w:pPr>
    </w:p>
    <w:p w14:paraId="68D3C848" w14:textId="77777777" w:rsidR="00903E93" w:rsidRDefault="00372CEC">
      <w:pPr>
        <w:spacing w:after="200"/>
        <w:rPr>
          <w:b/>
          <w:color w:val="222222"/>
          <w:sz w:val="24"/>
          <w:szCs w:val="24"/>
        </w:rPr>
      </w:pPr>
      <w:r>
        <w:rPr>
          <w:b/>
          <w:color w:val="222222"/>
          <w:sz w:val="24"/>
          <w:szCs w:val="24"/>
        </w:rPr>
        <w:t xml:space="preserve">1. </w:t>
      </w:r>
      <w:r w:rsidR="009A6F70">
        <w:rPr>
          <w:b/>
          <w:color w:val="222222"/>
          <w:sz w:val="24"/>
          <w:szCs w:val="24"/>
        </w:rPr>
        <w:t xml:space="preserve">Workplace Services (FM Phase 2) </w:t>
      </w:r>
      <w:r>
        <w:rPr>
          <w:b/>
          <w:color w:val="222222"/>
          <w:sz w:val="24"/>
          <w:szCs w:val="24"/>
        </w:rPr>
        <w:t>Contract Overview</w:t>
      </w:r>
    </w:p>
    <w:p w14:paraId="1FB75DD5" w14:textId="77777777" w:rsidR="000030FC" w:rsidRDefault="00372CEC" w:rsidP="00B61577">
      <w:pPr>
        <w:pStyle w:val="NormalWeb"/>
        <w:spacing w:before="0" w:beforeAutospacing="0" w:after="0" w:afterAutospacing="0" w:line="276" w:lineRule="auto"/>
        <w:ind w:right="-320"/>
        <w:jc w:val="both"/>
        <w:textAlignment w:val="baseline"/>
        <w:rPr>
          <w:rFonts w:ascii="Arial" w:hAnsi="Arial" w:cs="Arial"/>
        </w:rPr>
      </w:pPr>
      <w:r w:rsidRPr="00B61577">
        <w:rPr>
          <w:rFonts w:ascii="Arial" w:hAnsi="Arial" w:cs="Arial"/>
        </w:rPr>
        <w:t xml:space="preserve">The FM framework provides </w:t>
      </w:r>
      <w:r w:rsidR="009A6F70" w:rsidRPr="00B61577">
        <w:rPr>
          <w:rFonts w:ascii="Arial" w:hAnsi="Arial" w:cs="Arial"/>
          <w:color w:val="0B0C0C"/>
        </w:rPr>
        <w:t xml:space="preserve">access </w:t>
      </w:r>
      <w:r w:rsidR="00B61577" w:rsidRPr="00B61577">
        <w:rPr>
          <w:rFonts w:ascii="Arial" w:hAnsi="Arial" w:cs="Arial"/>
          <w:color w:val="0B0C0C"/>
        </w:rPr>
        <w:t xml:space="preserve">to Security, </w:t>
      </w:r>
      <w:r w:rsidR="009A6F70" w:rsidRPr="00B61577">
        <w:rPr>
          <w:rFonts w:ascii="Arial" w:hAnsi="Arial" w:cs="Arial"/>
          <w:color w:val="0B0C0C"/>
        </w:rPr>
        <w:t>Housing Management and Maintenance Services</w:t>
      </w:r>
      <w:r w:rsidR="00B61577">
        <w:rPr>
          <w:rFonts w:ascii="Arial" w:hAnsi="Arial" w:cs="Arial"/>
          <w:color w:val="0B0C0C"/>
        </w:rPr>
        <w:t>.  The framework also provides access to</w:t>
      </w:r>
      <w:r w:rsidR="00B61577" w:rsidRPr="00B61577">
        <w:rPr>
          <w:rFonts w:ascii="Arial" w:hAnsi="Arial" w:cs="Arial"/>
          <w:color w:val="000000"/>
        </w:rPr>
        <w:t xml:space="preserve"> </w:t>
      </w:r>
      <w:r w:rsidR="009A6F70" w:rsidRPr="00B61577">
        <w:rPr>
          <w:rFonts w:ascii="Arial" w:hAnsi="Arial" w:cs="Arial"/>
          <w:color w:val="0B0C0C"/>
        </w:rPr>
        <w:t>specialist Defence FM and Housing Services, for Defence customers only</w:t>
      </w:r>
      <w:r w:rsidR="00B61577" w:rsidRPr="00B61577">
        <w:rPr>
          <w:rFonts w:ascii="Arial" w:hAnsi="Arial" w:cs="Arial"/>
          <w:color w:val="0B0C0C"/>
        </w:rPr>
        <w:t>.  Lots 1a, 1b</w:t>
      </w:r>
      <w:r w:rsidR="00B61577">
        <w:rPr>
          <w:rFonts w:ascii="Arial" w:hAnsi="Arial" w:cs="Arial"/>
          <w:color w:val="0B0C0C"/>
        </w:rPr>
        <w:t xml:space="preserve"> (Security)</w:t>
      </w:r>
      <w:r w:rsidR="00B61577" w:rsidRPr="00B61577">
        <w:rPr>
          <w:rFonts w:ascii="Arial" w:hAnsi="Arial" w:cs="Arial"/>
          <w:color w:val="0B0C0C"/>
        </w:rPr>
        <w:t xml:space="preserve"> and 2c</w:t>
      </w:r>
      <w:r w:rsidR="00B61577">
        <w:rPr>
          <w:rFonts w:ascii="Arial" w:hAnsi="Arial" w:cs="Arial"/>
          <w:color w:val="0B0C0C"/>
        </w:rPr>
        <w:t xml:space="preserve"> (Housing Maintenance and Management)</w:t>
      </w:r>
      <w:r w:rsidR="00B61577" w:rsidRPr="00B61577">
        <w:rPr>
          <w:rFonts w:ascii="Arial" w:hAnsi="Arial" w:cs="Arial"/>
          <w:color w:val="0B0C0C"/>
        </w:rPr>
        <w:t xml:space="preserve"> are </w:t>
      </w:r>
      <w:r w:rsidRPr="00B61577">
        <w:rPr>
          <w:rFonts w:ascii="Arial" w:hAnsi="Arial" w:cs="Arial"/>
        </w:rPr>
        <w:t xml:space="preserve">suitable for all public sector, Devolved Administrations and third party entities including; Schools, Hospitals, Local Authorities, Charities and Central Government departments. </w:t>
      </w:r>
      <w:r w:rsidR="00B61577">
        <w:rPr>
          <w:rFonts w:ascii="Arial" w:hAnsi="Arial" w:cs="Arial"/>
        </w:rPr>
        <w:t xml:space="preserve"> </w:t>
      </w:r>
    </w:p>
    <w:p w14:paraId="58976887" w14:textId="77777777" w:rsidR="000030FC" w:rsidRDefault="000030FC" w:rsidP="00B61577">
      <w:pPr>
        <w:pStyle w:val="NormalWeb"/>
        <w:spacing w:before="0" w:beforeAutospacing="0" w:after="0" w:afterAutospacing="0" w:line="276" w:lineRule="auto"/>
        <w:ind w:right="-320"/>
        <w:jc w:val="both"/>
        <w:textAlignment w:val="baseline"/>
        <w:rPr>
          <w:rFonts w:ascii="Arial" w:hAnsi="Arial" w:cs="Arial"/>
        </w:rPr>
      </w:pPr>
    </w:p>
    <w:p w14:paraId="4391ED11" w14:textId="77777777" w:rsidR="00903E93" w:rsidRPr="00B61577" w:rsidRDefault="00B61577" w:rsidP="00B61577">
      <w:pPr>
        <w:pStyle w:val="NormalWeb"/>
        <w:spacing w:before="0" w:beforeAutospacing="0" w:after="0" w:afterAutospacing="0" w:line="276" w:lineRule="auto"/>
        <w:ind w:right="-320"/>
        <w:jc w:val="both"/>
        <w:textAlignment w:val="baseline"/>
        <w:rPr>
          <w:rFonts w:ascii="Arial" w:hAnsi="Arial" w:cs="Arial"/>
        </w:rPr>
      </w:pPr>
      <w:r w:rsidRPr="00B61577">
        <w:rPr>
          <w:rFonts w:ascii="Arial" w:hAnsi="Arial" w:cs="Arial"/>
        </w:rPr>
        <w:t xml:space="preserve">Lot 2a, 2b </w:t>
      </w:r>
      <w:r>
        <w:rPr>
          <w:rFonts w:ascii="Arial" w:hAnsi="Arial" w:cs="Arial"/>
        </w:rPr>
        <w:t xml:space="preserve">(Defence specific Housing lots) </w:t>
      </w:r>
      <w:r w:rsidRPr="00B61577">
        <w:rPr>
          <w:rFonts w:ascii="Arial" w:hAnsi="Arial" w:cs="Arial"/>
        </w:rPr>
        <w:t xml:space="preserve">and 3 </w:t>
      </w:r>
      <w:r>
        <w:rPr>
          <w:rFonts w:ascii="Arial" w:hAnsi="Arial" w:cs="Arial"/>
        </w:rPr>
        <w:t xml:space="preserve">(Defence FM) </w:t>
      </w:r>
      <w:r w:rsidRPr="00B61577">
        <w:rPr>
          <w:rFonts w:ascii="Arial" w:hAnsi="Arial" w:cs="Arial"/>
          <w:color w:val="000000"/>
          <w:shd w:val="clear" w:color="auto" w:fill="FFFFFF"/>
        </w:rPr>
        <w:t xml:space="preserve">are part of the phased Future Defence Infrastructure Services Programme (FDIS). FDIS covers all sites and establishments on the UK Defence estate, except those with long-term contracts already in place (e.g. Main Building PFI, naval base contracts, </w:t>
      </w:r>
      <w:proofErr w:type="spellStart"/>
      <w:r w:rsidRPr="00B61577">
        <w:rPr>
          <w:rFonts w:ascii="Arial" w:hAnsi="Arial" w:cs="Arial"/>
          <w:color w:val="000000"/>
          <w:shd w:val="clear" w:color="auto" w:fill="FFFFFF"/>
        </w:rPr>
        <w:t>etc</w:t>
      </w:r>
      <w:proofErr w:type="spellEnd"/>
      <w:r w:rsidRPr="00B61577">
        <w:rPr>
          <w:rFonts w:ascii="Arial" w:hAnsi="Arial" w:cs="Arial"/>
          <w:color w:val="000000"/>
          <w:shd w:val="clear" w:color="auto" w:fill="FFFFFF"/>
        </w:rPr>
        <w:t>). </w:t>
      </w:r>
      <w:r w:rsidRPr="00B61577">
        <w:rPr>
          <w:rFonts w:ascii="Arial" w:hAnsi="Arial" w:cs="Arial"/>
        </w:rPr>
        <w:t xml:space="preserve"> </w:t>
      </w:r>
      <w:r w:rsidR="00372CEC" w:rsidRPr="00B61577">
        <w:rPr>
          <w:rFonts w:ascii="Arial" w:hAnsi="Arial" w:cs="Arial"/>
        </w:rPr>
        <w:t xml:space="preserve">For more information as to who can access this framework please refer to the </w:t>
      </w:r>
      <w:hyperlink r:id="rId8" w:history="1">
        <w:r w:rsidR="00372CEC" w:rsidRPr="008E0351">
          <w:rPr>
            <w:rStyle w:val="Hyperlink"/>
            <w:rFonts w:ascii="Arial" w:hAnsi="Arial" w:cs="Arial"/>
          </w:rPr>
          <w:t>contract notice.</w:t>
        </w:r>
        <w:r w:rsidRPr="008E0351">
          <w:rPr>
            <w:rStyle w:val="Hyperlink"/>
            <w:rFonts w:ascii="Arial" w:hAnsi="Arial" w:cs="Arial"/>
          </w:rPr>
          <w:t xml:space="preserve"> </w:t>
        </w:r>
      </w:hyperlink>
      <w:r>
        <w:rPr>
          <w:rFonts w:ascii="Arial" w:hAnsi="Arial" w:cs="Arial"/>
        </w:rPr>
        <w:t xml:space="preserve"> </w:t>
      </w:r>
    </w:p>
    <w:p w14:paraId="50407FD7" w14:textId="77777777" w:rsidR="00903E93" w:rsidRDefault="00903E93">
      <w:pPr>
        <w:rPr>
          <w:sz w:val="24"/>
          <w:szCs w:val="24"/>
        </w:rPr>
      </w:pPr>
    </w:p>
    <w:p w14:paraId="55752CB4" w14:textId="77777777" w:rsidR="00903E93" w:rsidRDefault="00B61577">
      <w:pPr>
        <w:rPr>
          <w:sz w:val="24"/>
          <w:szCs w:val="24"/>
        </w:rPr>
      </w:pPr>
      <w:r>
        <w:rPr>
          <w:sz w:val="24"/>
          <w:szCs w:val="24"/>
        </w:rPr>
        <w:t>Lot 1 of th</w:t>
      </w:r>
      <w:r w:rsidR="00372CEC">
        <w:rPr>
          <w:sz w:val="24"/>
          <w:szCs w:val="24"/>
        </w:rPr>
        <w:t xml:space="preserve">e </w:t>
      </w:r>
      <w:r w:rsidR="009A6F70">
        <w:rPr>
          <w:sz w:val="24"/>
          <w:szCs w:val="24"/>
        </w:rPr>
        <w:t xml:space="preserve">Workplace Services (FM Phase 2) </w:t>
      </w:r>
      <w:r w:rsidR="00372CEC">
        <w:rPr>
          <w:sz w:val="24"/>
          <w:szCs w:val="24"/>
        </w:rPr>
        <w:t>Framework (</w:t>
      </w:r>
      <w:r w:rsidR="009A6F70">
        <w:rPr>
          <w:sz w:val="24"/>
          <w:szCs w:val="24"/>
        </w:rPr>
        <w:t>RM6089</w:t>
      </w:r>
      <w:r>
        <w:rPr>
          <w:sz w:val="24"/>
          <w:szCs w:val="24"/>
        </w:rPr>
        <w:t>) commenced on 25 January 2019</w:t>
      </w:r>
      <w:r w:rsidR="00372CEC">
        <w:rPr>
          <w:sz w:val="24"/>
          <w:szCs w:val="24"/>
        </w:rPr>
        <w:t xml:space="preserve"> </w:t>
      </w:r>
      <w:r>
        <w:rPr>
          <w:sz w:val="24"/>
          <w:szCs w:val="24"/>
        </w:rPr>
        <w:t xml:space="preserve">and </w:t>
      </w:r>
      <w:r w:rsidR="00372CEC">
        <w:rPr>
          <w:sz w:val="24"/>
          <w:szCs w:val="24"/>
        </w:rPr>
        <w:t xml:space="preserve">will expire on </w:t>
      </w:r>
      <w:r>
        <w:rPr>
          <w:sz w:val="24"/>
          <w:szCs w:val="24"/>
        </w:rPr>
        <w:t>24 January 2021</w:t>
      </w:r>
      <w:r w:rsidR="00372CEC">
        <w:rPr>
          <w:sz w:val="24"/>
          <w:szCs w:val="24"/>
        </w:rPr>
        <w:t xml:space="preserve">. </w:t>
      </w:r>
      <w:r>
        <w:rPr>
          <w:sz w:val="24"/>
          <w:szCs w:val="24"/>
        </w:rPr>
        <w:t xml:space="preserve">  Lot 2 and 3 commenced on 5 March 2019 and will expire on 4 March 2021.  </w:t>
      </w:r>
      <w:r w:rsidR="00372CEC">
        <w:rPr>
          <w:sz w:val="24"/>
          <w:szCs w:val="24"/>
        </w:rPr>
        <w:t>The framework is awarded for 2 years with an option to extend for 2 x 1 years.  Call-Off Contracts can be let for an initial period of up to seven years (with a maximum Contract Period of 10 years inclusive of all Call-Off Optional Extension Periods and Mobilisation Period).</w:t>
      </w:r>
    </w:p>
    <w:p w14:paraId="0B40C7D1" w14:textId="77777777" w:rsidR="00903E93" w:rsidRDefault="00903E93">
      <w:pPr>
        <w:rPr>
          <w:sz w:val="24"/>
          <w:szCs w:val="24"/>
        </w:rPr>
      </w:pPr>
    </w:p>
    <w:p w14:paraId="4F3E48E8" w14:textId="77777777" w:rsidR="00903E93" w:rsidRDefault="00372CEC">
      <w:pPr>
        <w:rPr>
          <w:sz w:val="24"/>
          <w:szCs w:val="24"/>
        </w:rPr>
      </w:pPr>
      <w:r>
        <w:rPr>
          <w:b/>
          <w:sz w:val="24"/>
          <w:szCs w:val="24"/>
        </w:rPr>
        <w:t>2. Benefits</w:t>
      </w:r>
      <w:r>
        <w:rPr>
          <w:sz w:val="24"/>
          <w:szCs w:val="24"/>
        </w:rPr>
        <w:t xml:space="preserve"> </w:t>
      </w:r>
    </w:p>
    <w:p w14:paraId="237FDE06" w14:textId="77777777" w:rsidR="00903E93" w:rsidRDefault="00903E93">
      <w:pPr>
        <w:rPr>
          <w:sz w:val="24"/>
          <w:szCs w:val="24"/>
        </w:rPr>
      </w:pPr>
    </w:p>
    <w:p w14:paraId="7B755BAD" w14:textId="77777777" w:rsidR="00903E93" w:rsidRDefault="00372CEC">
      <w:pPr>
        <w:rPr>
          <w:sz w:val="24"/>
          <w:szCs w:val="24"/>
        </w:rPr>
      </w:pPr>
      <w:r>
        <w:rPr>
          <w:sz w:val="24"/>
          <w:szCs w:val="24"/>
        </w:rPr>
        <w:t xml:space="preserve">Free, fast and simple to use: </w:t>
      </w:r>
    </w:p>
    <w:p w14:paraId="604AF155" w14:textId="1E2556C7" w:rsidR="00903E93" w:rsidRDefault="00372CEC">
      <w:pPr>
        <w:numPr>
          <w:ilvl w:val="0"/>
          <w:numId w:val="3"/>
        </w:numPr>
        <w:contextualSpacing/>
        <w:rPr>
          <w:sz w:val="24"/>
          <w:szCs w:val="24"/>
        </w:rPr>
      </w:pPr>
      <w:r>
        <w:rPr>
          <w:sz w:val="24"/>
          <w:szCs w:val="24"/>
        </w:rPr>
        <w:t>Free​: No charge to buyers to use the framework agreement</w:t>
      </w:r>
      <w:r w:rsidR="008821C8">
        <w:rPr>
          <w:sz w:val="24"/>
          <w:szCs w:val="24"/>
        </w:rPr>
        <w:t>;</w:t>
      </w:r>
      <w:r>
        <w:rPr>
          <w:sz w:val="24"/>
          <w:szCs w:val="24"/>
        </w:rPr>
        <w:t xml:space="preserve"> </w:t>
      </w:r>
    </w:p>
    <w:p w14:paraId="361942E4" w14:textId="322E6B73" w:rsidR="00903E93" w:rsidRDefault="00372CEC">
      <w:pPr>
        <w:numPr>
          <w:ilvl w:val="0"/>
          <w:numId w:val="3"/>
        </w:numPr>
        <w:contextualSpacing/>
        <w:rPr>
          <w:sz w:val="24"/>
          <w:szCs w:val="24"/>
        </w:rPr>
      </w:pPr>
      <w:r>
        <w:rPr>
          <w:sz w:val="24"/>
          <w:szCs w:val="24"/>
        </w:rPr>
        <w:t xml:space="preserve">Fast: ​The </w:t>
      </w:r>
      <w:r w:rsidR="008821C8">
        <w:rPr>
          <w:sz w:val="24"/>
          <w:szCs w:val="24"/>
        </w:rPr>
        <w:t>f</w:t>
      </w:r>
      <w:r>
        <w:rPr>
          <w:sz w:val="24"/>
          <w:szCs w:val="24"/>
        </w:rPr>
        <w:t>ramework provides a streamlined route for all buyers to access a comprehensive range of external suppliers through a further competition process</w:t>
      </w:r>
      <w:r w:rsidR="008E0351">
        <w:rPr>
          <w:sz w:val="24"/>
          <w:szCs w:val="24"/>
        </w:rPr>
        <w:t xml:space="preserve">. </w:t>
      </w:r>
      <w:r>
        <w:rPr>
          <w:sz w:val="24"/>
          <w:szCs w:val="24"/>
        </w:rPr>
        <w:t>​Further competitions can take a minimum of 8 weeks to conduct, however this depends on the size and scale of the requirement</w:t>
      </w:r>
      <w:r w:rsidR="008821C8">
        <w:rPr>
          <w:sz w:val="24"/>
          <w:szCs w:val="24"/>
        </w:rPr>
        <w:t>;</w:t>
      </w:r>
      <w:r>
        <w:rPr>
          <w:sz w:val="24"/>
          <w:szCs w:val="24"/>
        </w:rPr>
        <w:t xml:space="preserve"> </w:t>
      </w:r>
    </w:p>
    <w:p w14:paraId="0227E5B8" w14:textId="39DCF824" w:rsidR="00903E93" w:rsidRDefault="00372CEC">
      <w:pPr>
        <w:numPr>
          <w:ilvl w:val="0"/>
          <w:numId w:val="3"/>
        </w:numPr>
        <w:contextualSpacing/>
        <w:rPr>
          <w:sz w:val="24"/>
          <w:szCs w:val="24"/>
        </w:rPr>
      </w:pPr>
      <w:r>
        <w:rPr>
          <w:sz w:val="24"/>
          <w:szCs w:val="24"/>
        </w:rPr>
        <w:t>Simple Call-Off Contract Terms: ​Buyers can select the CCS schedules they wish to use to reflect their requirements.  There is a simple bid pack to use to help communicate the requirement</w:t>
      </w:r>
      <w:r w:rsidR="008821C8">
        <w:rPr>
          <w:sz w:val="24"/>
          <w:szCs w:val="24"/>
        </w:rPr>
        <w:t>;</w:t>
      </w:r>
    </w:p>
    <w:p w14:paraId="4FA482DC" w14:textId="3BB8B3CA" w:rsidR="00903E93" w:rsidRDefault="00372CEC">
      <w:pPr>
        <w:numPr>
          <w:ilvl w:val="0"/>
          <w:numId w:val="3"/>
        </w:numPr>
        <w:contextualSpacing/>
        <w:rPr>
          <w:sz w:val="24"/>
          <w:szCs w:val="24"/>
        </w:rPr>
      </w:pPr>
      <w:r>
        <w:rPr>
          <w:sz w:val="24"/>
          <w:szCs w:val="24"/>
        </w:rPr>
        <w:t xml:space="preserve">Flexibility:​ The </w:t>
      </w:r>
      <w:r w:rsidR="008821C8">
        <w:rPr>
          <w:sz w:val="24"/>
          <w:szCs w:val="24"/>
        </w:rPr>
        <w:t>f</w:t>
      </w:r>
      <w:r>
        <w:rPr>
          <w:sz w:val="24"/>
          <w:szCs w:val="24"/>
        </w:rPr>
        <w:t>ramework has been designed to cater for a wide range of buyers. The lot structures and ability to tailor further competitions will ensure this supports buyers own delivery considerations such as SME’s and buyers own social value priorities</w:t>
      </w:r>
      <w:r w:rsidR="008821C8">
        <w:rPr>
          <w:sz w:val="24"/>
          <w:szCs w:val="24"/>
        </w:rPr>
        <w:t>;</w:t>
      </w:r>
    </w:p>
    <w:p w14:paraId="753D028B" w14:textId="5EB8BBE1" w:rsidR="00903E93" w:rsidRDefault="00372CEC">
      <w:pPr>
        <w:numPr>
          <w:ilvl w:val="0"/>
          <w:numId w:val="3"/>
        </w:numPr>
        <w:contextualSpacing/>
        <w:rPr>
          <w:sz w:val="24"/>
          <w:szCs w:val="24"/>
        </w:rPr>
      </w:pPr>
      <w:r>
        <w:rPr>
          <w:sz w:val="24"/>
          <w:szCs w:val="24"/>
        </w:rPr>
        <w:t>Social value: Buyers can request suppliers tailor their offer to match the buyer</w:t>
      </w:r>
      <w:r w:rsidR="008821C8">
        <w:rPr>
          <w:sz w:val="24"/>
          <w:szCs w:val="24"/>
        </w:rPr>
        <w:t>’</w:t>
      </w:r>
      <w:r>
        <w:rPr>
          <w:sz w:val="24"/>
          <w:szCs w:val="24"/>
        </w:rPr>
        <w:t>s social value priorities to deliver measurable benefits in the buyer</w:t>
      </w:r>
      <w:r w:rsidR="008821C8">
        <w:rPr>
          <w:sz w:val="24"/>
          <w:szCs w:val="24"/>
        </w:rPr>
        <w:t>’</w:t>
      </w:r>
      <w:r>
        <w:rPr>
          <w:sz w:val="24"/>
          <w:szCs w:val="24"/>
        </w:rPr>
        <w:t>s area</w:t>
      </w:r>
      <w:r w:rsidR="008821C8">
        <w:rPr>
          <w:sz w:val="24"/>
          <w:szCs w:val="24"/>
        </w:rPr>
        <w:t xml:space="preserve"> helping to achieve </w:t>
      </w:r>
      <w:r>
        <w:rPr>
          <w:sz w:val="24"/>
          <w:szCs w:val="24"/>
        </w:rPr>
        <w:t xml:space="preserve"> an efficient and sustainable public estate, a public estate supporting diversity and inclusion</w:t>
      </w:r>
      <w:r w:rsidR="008821C8">
        <w:rPr>
          <w:sz w:val="24"/>
          <w:szCs w:val="24"/>
        </w:rPr>
        <w:t xml:space="preserve"> and</w:t>
      </w:r>
      <w:r>
        <w:rPr>
          <w:sz w:val="24"/>
          <w:szCs w:val="24"/>
        </w:rPr>
        <w:t xml:space="preserve"> improved competency and capacity in the FM sector</w:t>
      </w:r>
      <w:r w:rsidR="008821C8">
        <w:rPr>
          <w:sz w:val="24"/>
          <w:szCs w:val="24"/>
        </w:rPr>
        <w:t>;</w:t>
      </w:r>
    </w:p>
    <w:p w14:paraId="4097906C" w14:textId="700C92EF" w:rsidR="00903E93" w:rsidRDefault="00372CEC">
      <w:pPr>
        <w:numPr>
          <w:ilvl w:val="0"/>
          <w:numId w:val="3"/>
        </w:numPr>
        <w:contextualSpacing/>
        <w:rPr>
          <w:sz w:val="24"/>
          <w:szCs w:val="24"/>
        </w:rPr>
      </w:pPr>
      <w:r>
        <w:rPr>
          <w:sz w:val="24"/>
          <w:szCs w:val="24"/>
        </w:rPr>
        <w:t>Compliant: Compliance with the Public Contracts Regulations 2015</w:t>
      </w:r>
      <w:r w:rsidR="008821C8">
        <w:rPr>
          <w:sz w:val="24"/>
          <w:szCs w:val="24"/>
        </w:rPr>
        <w:t>; and</w:t>
      </w:r>
    </w:p>
    <w:p w14:paraId="118C57E1" w14:textId="77777777" w:rsidR="00903E93" w:rsidRDefault="00372CEC">
      <w:pPr>
        <w:numPr>
          <w:ilvl w:val="0"/>
          <w:numId w:val="3"/>
        </w:numPr>
        <w:contextualSpacing/>
        <w:rPr>
          <w:sz w:val="24"/>
          <w:szCs w:val="24"/>
        </w:rPr>
      </w:pPr>
      <w:r>
        <w:rPr>
          <w:sz w:val="24"/>
          <w:szCs w:val="24"/>
        </w:rPr>
        <w:lastRenderedPageBreak/>
        <w:t>Competitive: benchmarked prices that provides value for money and commercial benefits.</w:t>
      </w:r>
    </w:p>
    <w:p w14:paraId="501401A5" w14:textId="77777777" w:rsidR="00903E93" w:rsidRDefault="00903E93">
      <w:pPr>
        <w:ind w:left="720"/>
        <w:rPr>
          <w:sz w:val="24"/>
          <w:szCs w:val="24"/>
        </w:rPr>
      </w:pPr>
    </w:p>
    <w:p w14:paraId="2A8FE58B" w14:textId="77777777" w:rsidR="00903E93" w:rsidRDefault="00903E93">
      <w:pPr>
        <w:ind w:left="720"/>
        <w:rPr>
          <w:sz w:val="24"/>
          <w:szCs w:val="24"/>
        </w:rPr>
      </w:pPr>
    </w:p>
    <w:p w14:paraId="6D65CDB9" w14:textId="77777777" w:rsidR="00903E93" w:rsidRDefault="00903E93">
      <w:pPr>
        <w:ind w:left="720"/>
        <w:rPr>
          <w:sz w:val="24"/>
          <w:szCs w:val="24"/>
        </w:rPr>
      </w:pPr>
    </w:p>
    <w:p w14:paraId="7592364D" w14:textId="77777777" w:rsidR="00903E93" w:rsidRDefault="00903E93">
      <w:pPr>
        <w:ind w:left="720"/>
        <w:rPr>
          <w:sz w:val="24"/>
          <w:szCs w:val="24"/>
        </w:rPr>
      </w:pPr>
    </w:p>
    <w:p w14:paraId="053A312C" w14:textId="77777777" w:rsidR="00903E93" w:rsidRDefault="00903E93">
      <w:pPr>
        <w:ind w:left="720"/>
        <w:rPr>
          <w:sz w:val="24"/>
          <w:szCs w:val="24"/>
        </w:rPr>
      </w:pPr>
    </w:p>
    <w:p w14:paraId="247D0894" w14:textId="77777777" w:rsidR="00903E93" w:rsidRDefault="00372CEC">
      <w:pPr>
        <w:spacing w:after="200"/>
        <w:rPr>
          <w:b/>
          <w:sz w:val="24"/>
          <w:szCs w:val="24"/>
          <w:highlight w:val="white"/>
        </w:rPr>
      </w:pPr>
      <w:r>
        <w:rPr>
          <w:b/>
          <w:sz w:val="24"/>
          <w:szCs w:val="24"/>
          <w:highlight w:val="white"/>
        </w:rPr>
        <w:t xml:space="preserve">3. What services are </w:t>
      </w:r>
      <w:proofErr w:type="gramStart"/>
      <w:r>
        <w:rPr>
          <w:b/>
          <w:sz w:val="24"/>
          <w:szCs w:val="24"/>
          <w:highlight w:val="white"/>
        </w:rPr>
        <w:t>available</w:t>
      </w:r>
      <w:proofErr w:type="gramEnd"/>
    </w:p>
    <w:p w14:paraId="6BBED3F4" w14:textId="77777777" w:rsidR="00903E93" w:rsidRDefault="00372CEC">
      <w:pPr>
        <w:rPr>
          <w:sz w:val="24"/>
          <w:szCs w:val="24"/>
        </w:rPr>
      </w:pPr>
      <w:r>
        <w:rPr>
          <w:sz w:val="24"/>
          <w:szCs w:val="24"/>
        </w:rPr>
        <w:t xml:space="preserve">There are 15 service areas covered, which are referred to as ‘work packages’. </w:t>
      </w:r>
    </w:p>
    <w:p w14:paraId="12D62EB4" w14:textId="77777777" w:rsidR="00903E93" w:rsidRDefault="00372CEC">
      <w:pPr>
        <w:rPr>
          <w:sz w:val="24"/>
          <w:szCs w:val="24"/>
        </w:rPr>
      </w:pPr>
      <w:r>
        <w:rPr>
          <w:sz w:val="24"/>
          <w:szCs w:val="24"/>
        </w:rPr>
        <w:t xml:space="preserve">Each supplier on the </w:t>
      </w:r>
      <w:r w:rsidR="008821C8">
        <w:rPr>
          <w:sz w:val="24"/>
          <w:szCs w:val="24"/>
        </w:rPr>
        <w:t xml:space="preserve">framework </w:t>
      </w:r>
      <w:r>
        <w:rPr>
          <w:sz w:val="24"/>
          <w:szCs w:val="24"/>
        </w:rPr>
        <w:t>agreement can provide the mandatory core services within each work package.</w:t>
      </w:r>
    </w:p>
    <w:p w14:paraId="3DCA7AFE" w14:textId="77777777" w:rsidR="00903E93" w:rsidRDefault="00372CEC">
      <w:pPr>
        <w:rPr>
          <w:sz w:val="24"/>
          <w:szCs w:val="24"/>
        </w:rPr>
      </w:pPr>
      <w:r>
        <w:rPr>
          <w:sz w:val="24"/>
          <w:szCs w:val="24"/>
        </w:rPr>
        <w:t xml:space="preserve">  </w:t>
      </w:r>
    </w:p>
    <w:p w14:paraId="1BDD46AE" w14:textId="77777777" w:rsidR="00903E93" w:rsidRDefault="00372CEC">
      <w:pPr>
        <w:rPr>
          <w:sz w:val="24"/>
          <w:szCs w:val="24"/>
        </w:rPr>
      </w:pPr>
      <w:r>
        <w:rPr>
          <w:sz w:val="24"/>
          <w:szCs w:val="24"/>
        </w:rPr>
        <w:t>See details below for list of work packages:</w:t>
      </w:r>
    </w:p>
    <w:p w14:paraId="12ED43FA" w14:textId="77777777" w:rsidR="00F073E9" w:rsidRDefault="00F073E9">
      <w:pPr>
        <w:rPr>
          <w:sz w:val="24"/>
          <w:szCs w:val="24"/>
        </w:rPr>
      </w:pPr>
    </w:p>
    <w:p w14:paraId="33557B3A" w14:textId="77777777" w:rsidR="00F073E9" w:rsidRPr="008E0351" w:rsidRDefault="000030FC">
      <w:pPr>
        <w:rPr>
          <w:sz w:val="24"/>
          <w:szCs w:val="24"/>
        </w:rPr>
      </w:pPr>
      <w:r w:rsidRPr="008E0351">
        <w:rPr>
          <w:sz w:val="24"/>
          <w:szCs w:val="24"/>
        </w:rPr>
        <w:t xml:space="preserve">Lot 1a: </w:t>
      </w:r>
      <w:r w:rsidR="00F073E9" w:rsidRPr="008E0351">
        <w:rPr>
          <w:sz w:val="24"/>
          <w:szCs w:val="24"/>
        </w:rPr>
        <w:t xml:space="preserve">Security Services </w:t>
      </w:r>
    </w:p>
    <w:p w14:paraId="71653CC1" w14:textId="77777777" w:rsidR="00903E93" w:rsidRPr="008E0351" w:rsidRDefault="00903E93">
      <w:pPr>
        <w:rPr>
          <w:sz w:val="24"/>
          <w:szCs w:val="24"/>
        </w:rPr>
      </w:pPr>
    </w:p>
    <w:p w14:paraId="53D8AC67" w14:textId="77777777" w:rsidR="00F073E9" w:rsidRPr="008E0351" w:rsidRDefault="00F073E9" w:rsidP="00F073E9">
      <w:pPr>
        <w:pStyle w:val="GPSL2Numbered"/>
        <w:numPr>
          <w:ilvl w:val="3"/>
          <w:numId w:val="11"/>
        </w:numPr>
        <w:spacing w:before="0" w:after="0"/>
        <w:rPr>
          <w:rFonts w:ascii="Arial" w:hAnsi="Arial"/>
          <w:sz w:val="24"/>
          <w:szCs w:val="24"/>
        </w:rPr>
      </w:pPr>
      <w:r w:rsidRPr="008E0351">
        <w:rPr>
          <w:rFonts w:ascii="Arial" w:hAnsi="Arial"/>
          <w:sz w:val="24"/>
          <w:szCs w:val="24"/>
        </w:rPr>
        <w:t>Work Package A – Contract Management</w:t>
      </w:r>
    </w:p>
    <w:p w14:paraId="3A5AC1A9" w14:textId="77777777" w:rsidR="00F073E9" w:rsidRPr="008E0351" w:rsidRDefault="00F073E9" w:rsidP="00F073E9">
      <w:pPr>
        <w:pStyle w:val="GPSL2Numbered"/>
        <w:numPr>
          <w:ilvl w:val="3"/>
          <w:numId w:val="11"/>
        </w:numPr>
        <w:spacing w:before="0" w:after="0"/>
        <w:rPr>
          <w:rFonts w:ascii="Arial" w:hAnsi="Arial"/>
          <w:sz w:val="24"/>
          <w:szCs w:val="24"/>
        </w:rPr>
      </w:pPr>
      <w:r w:rsidRPr="008E0351">
        <w:rPr>
          <w:rFonts w:ascii="Arial" w:hAnsi="Arial"/>
          <w:sz w:val="24"/>
          <w:szCs w:val="24"/>
        </w:rPr>
        <w:t>Work Package B – Contract Mobilisation</w:t>
      </w:r>
    </w:p>
    <w:p w14:paraId="46C44CDB" w14:textId="77777777" w:rsidR="00F073E9" w:rsidRPr="008E0351" w:rsidRDefault="00F073E9" w:rsidP="00F073E9">
      <w:pPr>
        <w:pStyle w:val="GPSL2Numbered"/>
        <w:numPr>
          <w:ilvl w:val="3"/>
          <w:numId w:val="11"/>
        </w:numPr>
        <w:spacing w:before="0" w:after="0"/>
        <w:rPr>
          <w:rFonts w:ascii="Arial" w:hAnsi="Arial"/>
          <w:sz w:val="24"/>
          <w:szCs w:val="24"/>
        </w:rPr>
      </w:pPr>
      <w:r w:rsidRPr="008E0351">
        <w:rPr>
          <w:rFonts w:ascii="Arial" w:hAnsi="Arial"/>
          <w:sz w:val="24"/>
          <w:szCs w:val="24"/>
        </w:rPr>
        <w:t>Work Package C – Security Services</w:t>
      </w:r>
    </w:p>
    <w:p w14:paraId="73C54CF1" w14:textId="77777777" w:rsidR="00F073E9" w:rsidRPr="008E0351" w:rsidRDefault="00F073E9" w:rsidP="00F073E9">
      <w:pPr>
        <w:pStyle w:val="GPSL2Numbered"/>
        <w:numPr>
          <w:ilvl w:val="3"/>
          <w:numId w:val="11"/>
        </w:numPr>
        <w:spacing w:before="0" w:after="0"/>
        <w:rPr>
          <w:rFonts w:ascii="Arial" w:hAnsi="Arial"/>
          <w:sz w:val="24"/>
          <w:szCs w:val="24"/>
        </w:rPr>
      </w:pPr>
      <w:r w:rsidRPr="008E0351">
        <w:rPr>
          <w:rFonts w:ascii="Arial" w:hAnsi="Arial"/>
          <w:sz w:val="24"/>
          <w:szCs w:val="24"/>
        </w:rPr>
        <w:t>Work Package D – Technical Security</w:t>
      </w:r>
    </w:p>
    <w:p w14:paraId="73259C27" w14:textId="77777777" w:rsidR="00F073E9" w:rsidRPr="008E0351" w:rsidRDefault="00F073E9" w:rsidP="00F073E9">
      <w:pPr>
        <w:pStyle w:val="ListParagraph"/>
        <w:numPr>
          <w:ilvl w:val="3"/>
          <w:numId w:val="11"/>
        </w:numPr>
        <w:spacing w:after="0"/>
        <w:rPr>
          <w:rFonts w:ascii="Arial" w:hAnsi="Arial"/>
          <w:sz w:val="24"/>
          <w:szCs w:val="24"/>
          <w:lang w:eastAsia="zh-CN"/>
        </w:rPr>
      </w:pPr>
      <w:r w:rsidRPr="008E0351">
        <w:rPr>
          <w:rFonts w:ascii="Arial" w:hAnsi="Arial"/>
          <w:sz w:val="24"/>
          <w:szCs w:val="24"/>
          <w:lang w:eastAsia="zh-CN"/>
        </w:rPr>
        <w:t xml:space="preserve">Work Package E </w:t>
      </w:r>
      <w:r w:rsidRPr="008E0351">
        <w:rPr>
          <w:rFonts w:ascii="Arial" w:hAnsi="Arial"/>
          <w:sz w:val="24"/>
          <w:szCs w:val="24"/>
        </w:rPr>
        <w:t xml:space="preserve">– </w:t>
      </w:r>
      <w:r w:rsidRPr="008E0351">
        <w:rPr>
          <w:rFonts w:ascii="Arial" w:hAnsi="Arial"/>
          <w:sz w:val="24"/>
          <w:szCs w:val="24"/>
          <w:lang w:eastAsia="zh-CN"/>
        </w:rPr>
        <w:t>Alarmed Response Centre</w:t>
      </w:r>
    </w:p>
    <w:p w14:paraId="04E485DF" w14:textId="77777777" w:rsidR="00F073E9" w:rsidRPr="008E0351" w:rsidRDefault="00F073E9" w:rsidP="00F073E9">
      <w:pPr>
        <w:pStyle w:val="GPSL2Numbered"/>
        <w:numPr>
          <w:ilvl w:val="3"/>
          <w:numId w:val="11"/>
        </w:numPr>
        <w:spacing w:before="0" w:after="0"/>
        <w:rPr>
          <w:rFonts w:ascii="Arial" w:hAnsi="Arial"/>
          <w:sz w:val="24"/>
          <w:szCs w:val="24"/>
        </w:rPr>
      </w:pPr>
      <w:r w:rsidRPr="008E0351">
        <w:rPr>
          <w:rFonts w:ascii="Arial" w:hAnsi="Arial"/>
          <w:sz w:val="24"/>
          <w:szCs w:val="24"/>
        </w:rPr>
        <w:t>Work Package F – Helpdesk Services</w:t>
      </w:r>
    </w:p>
    <w:p w14:paraId="4DF07FAC" w14:textId="77777777" w:rsidR="00F073E9" w:rsidRPr="008E0351" w:rsidRDefault="00F073E9" w:rsidP="00F073E9">
      <w:pPr>
        <w:pStyle w:val="GPSL2Numbered"/>
        <w:numPr>
          <w:ilvl w:val="3"/>
          <w:numId w:val="11"/>
        </w:numPr>
        <w:spacing w:before="0" w:after="0"/>
        <w:rPr>
          <w:rFonts w:ascii="Arial" w:hAnsi="Arial"/>
          <w:sz w:val="24"/>
          <w:szCs w:val="24"/>
        </w:rPr>
      </w:pPr>
      <w:r w:rsidRPr="008E0351">
        <w:rPr>
          <w:rFonts w:ascii="Arial" w:hAnsi="Arial"/>
          <w:sz w:val="24"/>
          <w:szCs w:val="24"/>
        </w:rPr>
        <w:t>Work Package G – Management of Billable Works</w:t>
      </w:r>
    </w:p>
    <w:p w14:paraId="1E5EC426" w14:textId="77777777" w:rsidR="00F073E9" w:rsidRPr="008E0351" w:rsidRDefault="00F073E9" w:rsidP="00F073E9">
      <w:pPr>
        <w:pStyle w:val="GPSL2Numbered"/>
        <w:numPr>
          <w:ilvl w:val="3"/>
          <w:numId w:val="11"/>
        </w:numPr>
        <w:spacing w:before="0" w:after="0"/>
        <w:rPr>
          <w:rFonts w:ascii="Arial" w:hAnsi="Arial"/>
          <w:sz w:val="24"/>
          <w:szCs w:val="24"/>
        </w:rPr>
      </w:pPr>
      <w:r w:rsidRPr="008E0351">
        <w:rPr>
          <w:rFonts w:ascii="Arial" w:hAnsi="Arial"/>
          <w:sz w:val="24"/>
          <w:szCs w:val="24"/>
        </w:rPr>
        <w:t xml:space="preserve">Work Package H – Building information Modelling ("BIM") and Government </w:t>
      </w:r>
    </w:p>
    <w:p w14:paraId="3497B767" w14:textId="77777777" w:rsidR="00F073E9" w:rsidRPr="008E0351" w:rsidRDefault="00F073E9" w:rsidP="00F073E9">
      <w:pPr>
        <w:pStyle w:val="GPSL2Numbered"/>
        <w:numPr>
          <w:ilvl w:val="0"/>
          <w:numId w:val="0"/>
        </w:numPr>
        <w:spacing w:before="0" w:after="0"/>
        <w:ind w:left="1728"/>
        <w:rPr>
          <w:rFonts w:ascii="Arial" w:hAnsi="Arial"/>
          <w:sz w:val="24"/>
          <w:szCs w:val="24"/>
        </w:rPr>
      </w:pPr>
      <w:r w:rsidRPr="008E0351">
        <w:rPr>
          <w:rFonts w:ascii="Arial" w:hAnsi="Arial"/>
          <w:sz w:val="24"/>
          <w:szCs w:val="24"/>
        </w:rPr>
        <w:t xml:space="preserve">        Soft Landings ("GSL")</w:t>
      </w:r>
    </w:p>
    <w:p w14:paraId="3B63BCD7" w14:textId="77777777" w:rsidR="00F073E9" w:rsidRPr="008E0351" w:rsidRDefault="00F073E9" w:rsidP="00F073E9">
      <w:pPr>
        <w:pStyle w:val="GPSL2Numbered"/>
        <w:numPr>
          <w:ilvl w:val="0"/>
          <w:numId w:val="0"/>
        </w:numPr>
        <w:spacing w:before="0" w:after="0"/>
        <w:ind w:left="1728"/>
        <w:rPr>
          <w:rFonts w:ascii="Arial" w:hAnsi="Arial"/>
          <w:sz w:val="24"/>
          <w:szCs w:val="24"/>
        </w:rPr>
      </w:pPr>
    </w:p>
    <w:p w14:paraId="7C505673" w14:textId="77777777" w:rsidR="00F073E9" w:rsidRPr="008E0351" w:rsidRDefault="000030FC" w:rsidP="00F073E9">
      <w:pPr>
        <w:pStyle w:val="GPSL2Numbered"/>
        <w:numPr>
          <w:ilvl w:val="0"/>
          <w:numId w:val="0"/>
        </w:numPr>
        <w:spacing w:before="0" w:after="0"/>
        <w:rPr>
          <w:rFonts w:ascii="Arial" w:hAnsi="Arial"/>
          <w:sz w:val="24"/>
          <w:szCs w:val="24"/>
        </w:rPr>
      </w:pPr>
      <w:r w:rsidRPr="008E0351">
        <w:rPr>
          <w:rFonts w:ascii="Arial" w:hAnsi="Arial"/>
          <w:sz w:val="24"/>
          <w:szCs w:val="24"/>
        </w:rPr>
        <w:t xml:space="preserve">Lot 1b: </w:t>
      </w:r>
      <w:r w:rsidR="00F073E9" w:rsidRPr="008E0351">
        <w:rPr>
          <w:rFonts w:ascii="Arial" w:hAnsi="Arial"/>
          <w:sz w:val="24"/>
          <w:szCs w:val="24"/>
        </w:rPr>
        <w:t>Technical Security</w:t>
      </w:r>
    </w:p>
    <w:p w14:paraId="31116B85" w14:textId="77777777" w:rsidR="00F073E9" w:rsidRPr="008E0351" w:rsidRDefault="00F073E9" w:rsidP="00F073E9">
      <w:pPr>
        <w:pStyle w:val="GPSL2Numbered"/>
        <w:numPr>
          <w:ilvl w:val="0"/>
          <w:numId w:val="0"/>
        </w:numPr>
        <w:spacing w:before="0" w:after="0"/>
        <w:rPr>
          <w:rFonts w:ascii="Arial" w:hAnsi="Arial"/>
          <w:sz w:val="24"/>
          <w:szCs w:val="24"/>
        </w:rPr>
      </w:pPr>
    </w:p>
    <w:p w14:paraId="04569CF8"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Work Package A – Contract Management;</w:t>
      </w:r>
    </w:p>
    <w:p w14:paraId="09D08CCC"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Work Package B – Contract Mobilisation;</w:t>
      </w:r>
    </w:p>
    <w:p w14:paraId="20B61227"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Work Package C – Risk Assessment</w:t>
      </w:r>
    </w:p>
    <w:p w14:paraId="03E323CF"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Work Package D – Electronic Security Systems</w:t>
      </w:r>
    </w:p>
    <w:p w14:paraId="3BE1742C"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Work Package E – Physical Security Systems</w:t>
      </w:r>
    </w:p>
    <w:p w14:paraId="533289C2"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Work Package F – Maintenance of Security Systems</w:t>
      </w:r>
    </w:p>
    <w:p w14:paraId="54DBC625"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 xml:space="preserve">Work Package G – Alarm Response Centre </w:t>
      </w:r>
    </w:p>
    <w:p w14:paraId="0E4D5E26" w14:textId="77777777" w:rsidR="00F073E9" w:rsidRPr="008E0351" w:rsidRDefault="00F073E9" w:rsidP="00F073E9">
      <w:pPr>
        <w:pStyle w:val="GPSL2Numbered"/>
        <w:numPr>
          <w:ilvl w:val="3"/>
          <w:numId w:val="12"/>
        </w:numPr>
        <w:spacing w:before="0" w:after="0"/>
        <w:ind w:left="1723" w:hanging="646"/>
        <w:rPr>
          <w:rFonts w:ascii="Arial" w:hAnsi="Arial"/>
          <w:sz w:val="24"/>
          <w:szCs w:val="24"/>
        </w:rPr>
      </w:pPr>
      <w:r w:rsidRPr="008E0351">
        <w:rPr>
          <w:rFonts w:ascii="Arial" w:hAnsi="Arial"/>
          <w:sz w:val="24"/>
          <w:szCs w:val="24"/>
        </w:rPr>
        <w:t>Work Package H – Management of Billable Works.</w:t>
      </w:r>
    </w:p>
    <w:p w14:paraId="49219013" w14:textId="77777777" w:rsidR="00F073E9" w:rsidRPr="008E0351" w:rsidRDefault="00F073E9" w:rsidP="00F073E9">
      <w:pPr>
        <w:pStyle w:val="GPSL2Numbered"/>
        <w:numPr>
          <w:ilvl w:val="3"/>
          <w:numId w:val="12"/>
        </w:numPr>
        <w:spacing w:before="0" w:after="0"/>
        <w:rPr>
          <w:rFonts w:ascii="Arial" w:hAnsi="Arial"/>
          <w:sz w:val="24"/>
          <w:szCs w:val="24"/>
        </w:rPr>
      </w:pPr>
      <w:r w:rsidRPr="008E0351">
        <w:rPr>
          <w:rFonts w:ascii="Arial" w:hAnsi="Arial"/>
          <w:sz w:val="24"/>
          <w:szCs w:val="24"/>
        </w:rPr>
        <w:t xml:space="preserve">Work Package I </w:t>
      </w:r>
      <w:r w:rsidRPr="008E0351">
        <w:rPr>
          <w:b/>
          <w:sz w:val="24"/>
          <w:szCs w:val="24"/>
        </w:rPr>
        <w:t xml:space="preserve"> </w:t>
      </w:r>
      <w:r w:rsidRPr="008E0351">
        <w:rPr>
          <w:rFonts w:ascii="Arial" w:hAnsi="Arial"/>
          <w:sz w:val="24"/>
          <w:szCs w:val="24"/>
        </w:rPr>
        <w:t>Business Information Modelling (BIM) and Government Soft Landings (GSL)</w:t>
      </w:r>
      <w:r w:rsidRPr="008E0351">
        <w:rPr>
          <w:rFonts w:ascii="Arial" w:hAnsi="Arial"/>
          <w:b/>
          <w:sz w:val="24"/>
          <w:szCs w:val="24"/>
        </w:rPr>
        <w:t xml:space="preserve">  </w:t>
      </w:r>
    </w:p>
    <w:p w14:paraId="27A1128E" w14:textId="77777777" w:rsidR="000030FC" w:rsidRPr="008E0351" w:rsidRDefault="000030FC" w:rsidP="000030FC">
      <w:pPr>
        <w:rPr>
          <w:b/>
          <w:caps/>
          <w:sz w:val="24"/>
          <w:szCs w:val="24"/>
        </w:rPr>
      </w:pPr>
    </w:p>
    <w:p w14:paraId="69518968" w14:textId="77777777" w:rsidR="000030FC" w:rsidRPr="008E0351" w:rsidRDefault="000030FC" w:rsidP="000030FC">
      <w:pPr>
        <w:rPr>
          <w:sz w:val="24"/>
          <w:szCs w:val="24"/>
        </w:rPr>
      </w:pPr>
      <w:r w:rsidRPr="008E0351">
        <w:rPr>
          <w:sz w:val="24"/>
          <w:szCs w:val="24"/>
        </w:rPr>
        <w:t>Lot 2a: Defence Housing Management Services (National)</w:t>
      </w:r>
    </w:p>
    <w:p w14:paraId="781140FB" w14:textId="77777777" w:rsidR="000030FC" w:rsidRPr="008E0351" w:rsidRDefault="000030FC" w:rsidP="000030FC">
      <w:pPr>
        <w:rPr>
          <w:sz w:val="24"/>
          <w:szCs w:val="24"/>
        </w:rPr>
      </w:pPr>
    </w:p>
    <w:p w14:paraId="48F6D418" w14:textId="77777777" w:rsidR="000030FC" w:rsidRPr="008E0351" w:rsidRDefault="000030FC" w:rsidP="000030FC">
      <w:pPr>
        <w:pStyle w:val="GPSL2Numbered"/>
        <w:numPr>
          <w:ilvl w:val="0"/>
          <w:numId w:val="13"/>
        </w:numPr>
        <w:spacing w:before="0" w:after="0"/>
        <w:rPr>
          <w:rFonts w:ascii="Arial" w:hAnsi="Arial"/>
          <w:sz w:val="24"/>
          <w:szCs w:val="24"/>
        </w:rPr>
      </w:pPr>
      <w:r w:rsidRPr="008E0351">
        <w:rPr>
          <w:rFonts w:ascii="Arial" w:hAnsi="Arial"/>
          <w:sz w:val="24"/>
          <w:szCs w:val="24"/>
        </w:rPr>
        <w:t>Work Package A – Contract Management</w:t>
      </w:r>
    </w:p>
    <w:p w14:paraId="403380C0" w14:textId="77777777" w:rsidR="000030FC" w:rsidRPr="008E0351" w:rsidRDefault="000030FC" w:rsidP="000030FC">
      <w:pPr>
        <w:pStyle w:val="GPSL2Numbered"/>
        <w:numPr>
          <w:ilvl w:val="0"/>
          <w:numId w:val="13"/>
        </w:numPr>
        <w:spacing w:before="0" w:after="0"/>
        <w:rPr>
          <w:rFonts w:ascii="Arial" w:hAnsi="Arial"/>
          <w:sz w:val="24"/>
          <w:szCs w:val="24"/>
        </w:rPr>
      </w:pPr>
      <w:r w:rsidRPr="008E0351">
        <w:rPr>
          <w:rFonts w:ascii="Arial" w:hAnsi="Arial"/>
          <w:sz w:val="24"/>
          <w:szCs w:val="24"/>
        </w:rPr>
        <w:t>Work Package B – Contract Mobilisation</w:t>
      </w:r>
    </w:p>
    <w:p w14:paraId="12DF0C09" w14:textId="77777777" w:rsidR="000030FC" w:rsidRPr="008E0351" w:rsidRDefault="000030FC" w:rsidP="000030FC">
      <w:pPr>
        <w:pStyle w:val="GPSL2Numbered"/>
        <w:numPr>
          <w:ilvl w:val="0"/>
          <w:numId w:val="13"/>
        </w:numPr>
        <w:spacing w:before="0" w:after="0"/>
        <w:rPr>
          <w:rFonts w:ascii="Arial" w:hAnsi="Arial"/>
          <w:sz w:val="24"/>
          <w:szCs w:val="24"/>
        </w:rPr>
      </w:pPr>
      <w:r w:rsidRPr="008E0351">
        <w:rPr>
          <w:rFonts w:ascii="Arial" w:hAnsi="Arial"/>
          <w:sz w:val="24"/>
          <w:szCs w:val="24"/>
        </w:rPr>
        <w:t>Work Package C – Statutory Obligations</w:t>
      </w:r>
    </w:p>
    <w:p w14:paraId="11DD7749" w14:textId="77777777" w:rsidR="000030FC" w:rsidRPr="008E0351" w:rsidRDefault="000030FC" w:rsidP="000030FC">
      <w:pPr>
        <w:pStyle w:val="GPSL2Numbered"/>
        <w:numPr>
          <w:ilvl w:val="0"/>
          <w:numId w:val="13"/>
        </w:numPr>
        <w:spacing w:before="0" w:after="0"/>
        <w:rPr>
          <w:rFonts w:ascii="Arial" w:hAnsi="Arial"/>
          <w:sz w:val="24"/>
          <w:szCs w:val="24"/>
        </w:rPr>
      </w:pPr>
      <w:r w:rsidRPr="008E0351">
        <w:rPr>
          <w:rFonts w:ascii="Arial" w:hAnsi="Arial"/>
          <w:sz w:val="24"/>
          <w:szCs w:val="24"/>
        </w:rPr>
        <w:lastRenderedPageBreak/>
        <w:t>Work Package D – Management Information System (MIS)</w:t>
      </w:r>
    </w:p>
    <w:p w14:paraId="7835DFF7" w14:textId="77777777" w:rsidR="000030FC" w:rsidRPr="008E0351" w:rsidRDefault="000030FC" w:rsidP="000030FC">
      <w:pPr>
        <w:pStyle w:val="GPSL2Numbered"/>
        <w:numPr>
          <w:ilvl w:val="0"/>
          <w:numId w:val="13"/>
        </w:numPr>
        <w:spacing w:before="0" w:after="0"/>
        <w:rPr>
          <w:rFonts w:ascii="Arial" w:hAnsi="Arial"/>
          <w:sz w:val="24"/>
          <w:szCs w:val="24"/>
        </w:rPr>
      </w:pPr>
      <w:r w:rsidRPr="008E0351">
        <w:rPr>
          <w:rFonts w:ascii="Arial" w:hAnsi="Arial"/>
          <w:sz w:val="24"/>
          <w:szCs w:val="24"/>
        </w:rPr>
        <w:t>Work Package E – Management of Billable Works and Additional Services</w:t>
      </w:r>
    </w:p>
    <w:p w14:paraId="45DE0CA1" w14:textId="77777777" w:rsidR="000030FC" w:rsidRPr="008E0351" w:rsidRDefault="000030FC" w:rsidP="000030FC">
      <w:pPr>
        <w:pStyle w:val="GPSL2Numbered"/>
        <w:numPr>
          <w:ilvl w:val="0"/>
          <w:numId w:val="13"/>
        </w:numPr>
        <w:spacing w:before="0" w:after="0"/>
        <w:rPr>
          <w:rFonts w:ascii="Arial" w:hAnsi="Arial"/>
          <w:sz w:val="24"/>
          <w:szCs w:val="24"/>
        </w:rPr>
      </w:pPr>
      <w:r w:rsidRPr="008E0351">
        <w:rPr>
          <w:rFonts w:ascii="Arial" w:hAnsi="Arial"/>
          <w:sz w:val="24"/>
          <w:szCs w:val="24"/>
        </w:rPr>
        <w:t>Work Package F – Accommodation Occupation and Property Management</w:t>
      </w:r>
    </w:p>
    <w:p w14:paraId="729746BD" w14:textId="77777777" w:rsidR="000030FC" w:rsidRPr="008E0351" w:rsidRDefault="000030FC" w:rsidP="000030FC">
      <w:pPr>
        <w:pStyle w:val="GPSL2Numbered"/>
        <w:numPr>
          <w:ilvl w:val="0"/>
          <w:numId w:val="0"/>
        </w:numPr>
        <w:spacing w:before="0" w:after="0"/>
        <w:ind w:left="644" w:hanging="360"/>
        <w:rPr>
          <w:rFonts w:ascii="Arial" w:hAnsi="Arial"/>
          <w:sz w:val="24"/>
          <w:szCs w:val="24"/>
        </w:rPr>
      </w:pPr>
    </w:p>
    <w:p w14:paraId="3081C117" w14:textId="77777777" w:rsidR="000030FC" w:rsidRPr="008E0351" w:rsidRDefault="000030FC" w:rsidP="000030FC">
      <w:pPr>
        <w:rPr>
          <w:sz w:val="24"/>
          <w:szCs w:val="24"/>
        </w:rPr>
      </w:pPr>
      <w:r w:rsidRPr="008E0351">
        <w:rPr>
          <w:sz w:val="24"/>
          <w:szCs w:val="24"/>
        </w:rPr>
        <w:t xml:space="preserve">Lot 2b: Defence Housing Maintenance Services Regional </w:t>
      </w:r>
    </w:p>
    <w:p w14:paraId="7CD94FB7" w14:textId="77777777" w:rsidR="00CB3C9E" w:rsidRPr="008E0351" w:rsidRDefault="00CB3C9E" w:rsidP="000030FC">
      <w:pPr>
        <w:rPr>
          <w:sz w:val="24"/>
          <w:szCs w:val="24"/>
        </w:rPr>
      </w:pPr>
    </w:p>
    <w:p w14:paraId="37D420CF"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A – Contract Management</w:t>
      </w:r>
    </w:p>
    <w:p w14:paraId="5FFB6C74"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B – Contract Mobilisation</w:t>
      </w:r>
    </w:p>
    <w:p w14:paraId="4B7C9461"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C – Maintenance Services</w:t>
      </w:r>
    </w:p>
    <w:p w14:paraId="055518D8"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D – Horticultural Services</w:t>
      </w:r>
    </w:p>
    <w:p w14:paraId="2CA6D483"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 xml:space="preserve">Work Package E </w:t>
      </w:r>
      <w:r w:rsidR="008E0351" w:rsidRPr="008E0351">
        <w:rPr>
          <w:rFonts w:ascii="Arial" w:hAnsi="Arial"/>
          <w:sz w:val="24"/>
          <w:szCs w:val="24"/>
        </w:rPr>
        <w:t xml:space="preserve">– </w:t>
      </w:r>
      <w:r w:rsidRPr="008E0351">
        <w:rPr>
          <w:rFonts w:ascii="Arial" w:hAnsi="Arial"/>
          <w:sz w:val="24"/>
          <w:szCs w:val="24"/>
        </w:rPr>
        <w:t>Statutory Obligations</w:t>
      </w:r>
    </w:p>
    <w:p w14:paraId="1733685B"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F – Computer Aided Facility Management (CAFM)</w:t>
      </w:r>
    </w:p>
    <w:p w14:paraId="2A371878"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G – Property Maintenance Support Desk Services</w:t>
      </w:r>
    </w:p>
    <w:p w14:paraId="1EB269EB"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H – Management of Billable Works and Additional Services</w:t>
      </w:r>
    </w:p>
    <w:p w14:paraId="3D962A4C"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I – Property Management</w:t>
      </w:r>
    </w:p>
    <w:p w14:paraId="44E17BDA" w14:textId="77777777" w:rsidR="00CB3C9E" w:rsidRPr="008E0351" w:rsidRDefault="00CB3C9E" w:rsidP="00CB3C9E">
      <w:pPr>
        <w:pStyle w:val="GPSL2Numbered"/>
        <w:numPr>
          <w:ilvl w:val="0"/>
          <w:numId w:val="14"/>
        </w:numPr>
        <w:spacing w:before="0" w:after="0"/>
        <w:rPr>
          <w:rFonts w:ascii="Arial" w:hAnsi="Arial"/>
          <w:sz w:val="24"/>
          <w:szCs w:val="24"/>
        </w:rPr>
      </w:pPr>
      <w:r w:rsidRPr="008E0351">
        <w:rPr>
          <w:rFonts w:ascii="Arial" w:hAnsi="Arial"/>
          <w:sz w:val="24"/>
          <w:szCs w:val="24"/>
        </w:rPr>
        <w:t>Work Package J – Accommodation Management</w:t>
      </w:r>
    </w:p>
    <w:p w14:paraId="195936A9" w14:textId="77777777" w:rsidR="00CB3C9E" w:rsidRPr="008E0351" w:rsidRDefault="00CB3C9E" w:rsidP="000030FC">
      <w:pPr>
        <w:rPr>
          <w:caps/>
          <w:sz w:val="24"/>
          <w:szCs w:val="24"/>
        </w:rPr>
      </w:pPr>
    </w:p>
    <w:p w14:paraId="0E92AA6B" w14:textId="77777777" w:rsidR="000030FC" w:rsidRPr="008E0351" w:rsidRDefault="00CB3C9E" w:rsidP="000030FC">
      <w:pPr>
        <w:pStyle w:val="GPSL2Numbered"/>
        <w:numPr>
          <w:ilvl w:val="0"/>
          <w:numId w:val="0"/>
        </w:numPr>
        <w:spacing w:before="0" w:after="0"/>
        <w:ind w:left="644" w:hanging="360"/>
        <w:rPr>
          <w:rFonts w:ascii="Arial" w:hAnsi="Arial"/>
          <w:sz w:val="24"/>
          <w:szCs w:val="24"/>
        </w:rPr>
      </w:pPr>
      <w:r w:rsidRPr="008E0351">
        <w:rPr>
          <w:rFonts w:ascii="Arial" w:hAnsi="Arial"/>
          <w:sz w:val="24"/>
          <w:szCs w:val="24"/>
        </w:rPr>
        <w:t xml:space="preserve">Lot 2c: </w:t>
      </w:r>
    </w:p>
    <w:p w14:paraId="2BA0871D" w14:textId="77777777" w:rsidR="000030FC" w:rsidRPr="008E0351" w:rsidRDefault="000030FC" w:rsidP="000030FC">
      <w:pPr>
        <w:rPr>
          <w:caps/>
          <w:sz w:val="24"/>
          <w:szCs w:val="24"/>
        </w:rPr>
      </w:pPr>
    </w:p>
    <w:p w14:paraId="486C3EDF"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A – Contract Management</w:t>
      </w:r>
    </w:p>
    <w:p w14:paraId="7BB4DAF5"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B – Contract Mobilisation</w:t>
      </w:r>
    </w:p>
    <w:p w14:paraId="6440E30F"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C – Maintenance Services</w:t>
      </w:r>
    </w:p>
    <w:p w14:paraId="2853B29B"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D – Statutory Services </w:t>
      </w:r>
    </w:p>
    <w:p w14:paraId="2DF7BD53"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E – Miscellaneous Services  </w:t>
      </w:r>
    </w:p>
    <w:p w14:paraId="1426EAE7"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F – Vacant / Void Property Maintenance Service </w:t>
      </w:r>
    </w:p>
    <w:p w14:paraId="340E59EA"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 xml:space="preserve">Work Package G – Management of Billable Works and Projects  </w:t>
      </w:r>
    </w:p>
    <w:p w14:paraId="259C301D"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H – CAFM System</w:t>
      </w:r>
    </w:p>
    <w:p w14:paraId="73EE94A9" w14:textId="77777777" w:rsidR="008E0351" w:rsidRPr="008E0351" w:rsidRDefault="008E0351" w:rsidP="008E0351">
      <w:pPr>
        <w:pStyle w:val="GPSL2Numbered"/>
        <w:numPr>
          <w:ilvl w:val="0"/>
          <w:numId w:val="16"/>
        </w:numPr>
        <w:spacing w:before="0" w:after="0"/>
        <w:rPr>
          <w:rFonts w:ascii="Arial" w:hAnsi="Arial"/>
          <w:sz w:val="24"/>
          <w:szCs w:val="24"/>
        </w:rPr>
      </w:pPr>
      <w:r w:rsidRPr="008E0351">
        <w:rPr>
          <w:rFonts w:ascii="Arial" w:hAnsi="Arial"/>
          <w:sz w:val="24"/>
          <w:szCs w:val="24"/>
        </w:rPr>
        <w:t>Work Package I – Helpdesk Services</w:t>
      </w:r>
    </w:p>
    <w:p w14:paraId="22CA0637" w14:textId="77777777" w:rsidR="008E0351" w:rsidRPr="008E0351" w:rsidRDefault="008E0351" w:rsidP="000030FC">
      <w:pPr>
        <w:rPr>
          <w:caps/>
          <w:sz w:val="24"/>
          <w:szCs w:val="24"/>
        </w:rPr>
      </w:pPr>
    </w:p>
    <w:p w14:paraId="3B5D3855" w14:textId="77777777" w:rsidR="000030FC" w:rsidRPr="008E0351" w:rsidRDefault="008E0351" w:rsidP="000030FC">
      <w:pPr>
        <w:pStyle w:val="GPSL2Numbered"/>
        <w:numPr>
          <w:ilvl w:val="0"/>
          <w:numId w:val="0"/>
        </w:numPr>
        <w:spacing w:before="0" w:after="0"/>
        <w:ind w:left="644" w:hanging="360"/>
        <w:rPr>
          <w:rFonts w:ascii="Arial" w:hAnsi="Arial"/>
          <w:sz w:val="24"/>
          <w:szCs w:val="24"/>
        </w:rPr>
      </w:pPr>
      <w:r w:rsidRPr="008E0351">
        <w:rPr>
          <w:rFonts w:ascii="Arial" w:hAnsi="Arial"/>
          <w:sz w:val="24"/>
          <w:szCs w:val="24"/>
        </w:rPr>
        <w:t>Lot 3</w:t>
      </w:r>
    </w:p>
    <w:p w14:paraId="0246F23E" w14:textId="77777777" w:rsidR="008E0351" w:rsidRPr="008E0351" w:rsidRDefault="008E0351" w:rsidP="000030FC">
      <w:pPr>
        <w:pStyle w:val="GPSL2Numbered"/>
        <w:numPr>
          <w:ilvl w:val="0"/>
          <w:numId w:val="0"/>
        </w:numPr>
        <w:spacing w:before="0" w:after="0"/>
        <w:ind w:left="644" w:hanging="360"/>
        <w:rPr>
          <w:rFonts w:ascii="Arial" w:hAnsi="Arial"/>
          <w:sz w:val="24"/>
          <w:szCs w:val="24"/>
        </w:rPr>
      </w:pPr>
    </w:p>
    <w:p w14:paraId="76C7F46F"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A – Contract Management;</w:t>
      </w:r>
    </w:p>
    <w:p w14:paraId="6FF94434"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B – Contract Mobilisation;</w:t>
      </w:r>
    </w:p>
    <w:p w14:paraId="48BA75CD"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C – Maintenance Services;</w:t>
      </w:r>
    </w:p>
    <w:p w14:paraId="34461D81"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 xml:space="preserve">Work Package D – Horticultural Services; </w:t>
      </w:r>
    </w:p>
    <w:p w14:paraId="00E6A426"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E –  Statutory Obligations;</w:t>
      </w:r>
    </w:p>
    <w:p w14:paraId="2B3407D1"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 xml:space="preserve">Work Package F – Catering Services; </w:t>
      </w:r>
    </w:p>
    <w:p w14:paraId="061CB7BE"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G – Cleaning Services;</w:t>
      </w:r>
    </w:p>
    <w:p w14:paraId="16C1B8B3"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 xml:space="preserve">Work Package H – Workplace FM Services;  </w:t>
      </w:r>
    </w:p>
    <w:p w14:paraId="20D75D7E"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 xml:space="preserve">Work Package I – Reception Services; </w:t>
      </w:r>
    </w:p>
    <w:p w14:paraId="012A7E49"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 xml:space="preserve">Work Package J – Security Services; </w:t>
      </w:r>
    </w:p>
    <w:p w14:paraId="563B67A2"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K – Waste Services;</w:t>
      </w:r>
    </w:p>
    <w:p w14:paraId="4003A162"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 xml:space="preserve">Work Package L – Miscellaneous FM Services;  </w:t>
      </w:r>
    </w:p>
    <w:p w14:paraId="66530D08"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M – CAFM;</w:t>
      </w:r>
    </w:p>
    <w:p w14:paraId="1B27E358"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t>Work Package N – Helpdesk Services;</w:t>
      </w:r>
    </w:p>
    <w:p w14:paraId="64496EF9" w14:textId="77777777" w:rsidR="008E0351" w:rsidRPr="008E0351" w:rsidRDefault="008E0351" w:rsidP="008E0351">
      <w:pPr>
        <w:pStyle w:val="GPSL2Numbered"/>
        <w:numPr>
          <w:ilvl w:val="0"/>
          <w:numId w:val="17"/>
        </w:numPr>
        <w:spacing w:before="0" w:after="0"/>
        <w:rPr>
          <w:rFonts w:ascii="Arial" w:hAnsi="Arial"/>
          <w:sz w:val="24"/>
          <w:szCs w:val="24"/>
        </w:rPr>
      </w:pPr>
      <w:r w:rsidRPr="008E0351">
        <w:rPr>
          <w:rFonts w:ascii="Arial" w:hAnsi="Arial"/>
          <w:sz w:val="24"/>
          <w:szCs w:val="24"/>
        </w:rPr>
        <w:lastRenderedPageBreak/>
        <w:t>Work Package O – Management of Billable Works.</w:t>
      </w:r>
    </w:p>
    <w:p w14:paraId="703335A6" w14:textId="77777777" w:rsidR="008E0351" w:rsidRPr="008E0351" w:rsidRDefault="008E0351" w:rsidP="008E0351">
      <w:pPr>
        <w:pStyle w:val="GPSL2Numbered"/>
        <w:numPr>
          <w:ilvl w:val="0"/>
          <w:numId w:val="0"/>
        </w:numPr>
        <w:spacing w:before="0" w:after="0"/>
        <w:ind w:left="1843" w:hanging="567"/>
        <w:rPr>
          <w:rFonts w:ascii="Arial" w:hAnsi="Arial"/>
          <w:sz w:val="24"/>
          <w:szCs w:val="24"/>
        </w:rPr>
      </w:pPr>
    </w:p>
    <w:p w14:paraId="779E106C" w14:textId="77777777" w:rsidR="00F073E9" w:rsidRPr="000030FC" w:rsidRDefault="00F073E9" w:rsidP="00F073E9">
      <w:pPr>
        <w:pStyle w:val="GPSL2Numbered"/>
        <w:numPr>
          <w:ilvl w:val="0"/>
          <w:numId w:val="0"/>
        </w:numPr>
        <w:spacing w:before="0" w:after="0"/>
        <w:rPr>
          <w:rFonts w:ascii="Arial" w:hAnsi="Arial"/>
        </w:rPr>
      </w:pPr>
    </w:p>
    <w:p w14:paraId="05E8E777" w14:textId="77777777" w:rsidR="00903E93" w:rsidRDefault="00903E93">
      <w:pPr>
        <w:rPr>
          <w:sz w:val="24"/>
          <w:szCs w:val="24"/>
        </w:rPr>
      </w:pPr>
    </w:p>
    <w:p w14:paraId="530466D1" w14:textId="77777777" w:rsidR="00903E93" w:rsidRDefault="00372CEC">
      <w:pPr>
        <w:rPr>
          <w:sz w:val="24"/>
          <w:szCs w:val="24"/>
        </w:rPr>
      </w:pPr>
      <w:r>
        <w:rPr>
          <w:sz w:val="24"/>
          <w:szCs w:val="24"/>
        </w:rPr>
        <w:t>There are also a number of non-mandatory services within the work packages</w:t>
      </w:r>
      <w:r w:rsidR="008E0351">
        <w:rPr>
          <w:sz w:val="24"/>
          <w:szCs w:val="24"/>
        </w:rPr>
        <w:t xml:space="preserve"> 1a, 1b and 2c.  </w:t>
      </w:r>
      <w:r>
        <w:rPr>
          <w:sz w:val="24"/>
          <w:szCs w:val="24"/>
        </w:rPr>
        <w:t>Suppliers have identified which of these they can provide.</w:t>
      </w:r>
    </w:p>
    <w:p w14:paraId="6AE94EAB" w14:textId="77777777" w:rsidR="000030FC" w:rsidRDefault="000030FC">
      <w:pPr>
        <w:rPr>
          <w:sz w:val="24"/>
          <w:szCs w:val="24"/>
        </w:rPr>
      </w:pPr>
    </w:p>
    <w:p w14:paraId="137BE1CC" w14:textId="77777777" w:rsidR="00903E93" w:rsidRDefault="00372CEC">
      <w:pPr>
        <w:rPr>
          <w:sz w:val="24"/>
          <w:szCs w:val="24"/>
        </w:rPr>
      </w:pPr>
      <w:r>
        <w:rPr>
          <w:sz w:val="24"/>
          <w:szCs w:val="24"/>
        </w:rPr>
        <w:t>Framework Schedule</w:t>
      </w:r>
      <w:r w:rsidR="008E0351">
        <w:rPr>
          <w:sz w:val="24"/>
          <w:szCs w:val="24"/>
        </w:rPr>
        <w:t>s 1a – 1f (</w:t>
      </w:r>
      <w:r>
        <w:rPr>
          <w:sz w:val="24"/>
          <w:szCs w:val="24"/>
        </w:rPr>
        <w:t>Specification</w:t>
      </w:r>
      <w:r w:rsidR="008E0351">
        <w:rPr>
          <w:sz w:val="24"/>
          <w:szCs w:val="24"/>
        </w:rPr>
        <w:t>)</w:t>
      </w:r>
      <w:r>
        <w:rPr>
          <w:sz w:val="24"/>
          <w:szCs w:val="24"/>
        </w:rPr>
        <w:t xml:space="preserve"> provides detail on the full scope of services available under this agreement. </w:t>
      </w:r>
    </w:p>
    <w:p w14:paraId="12920356" w14:textId="77777777" w:rsidR="00903E93" w:rsidRDefault="00372CEC">
      <w:pPr>
        <w:rPr>
          <w:sz w:val="24"/>
          <w:szCs w:val="24"/>
        </w:rPr>
      </w:pPr>
      <w:r>
        <w:rPr>
          <w:sz w:val="24"/>
          <w:szCs w:val="24"/>
        </w:rPr>
        <w:t xml:space="preserve"> </w:t>
      </w:r>
    </w:p>
    <w:p w14:paraId="0696C4E0" w14:textId="77777777" w:rsidR="00903E93" w:rsidRDefault="00903E93">
      <w:pPr>
        <w:rPr>
          <w:b/>
          <w:sz w:val="24"/>
          <w:szCs w:val="24"/>
        </w:rPr>
      </w:pPr>
    </w:p>
    <w:p w14:paraId="610B758D" w14:textId="77777777" w:rsidR="00903E93" w:rsidRDefault="00372CEC">
      <w:pPr>
        <w:rPr>
          <w:b/>
          <w:sz w:val="24"/>
          <w:szCs w:val="24"/>
        </w:rPr>
      </w:pPr>
      <w:r>
        <w:rPr>
          <w:b/>
          <w:sz w:val="24"/>
          <w:szCs w:val="24"/>
        </w:rPr>
        <w:t>4. Framework Prices</w:t>
      </w:r>
    </w:p>
    <w:p w14:paraId="0FA99A90" w14:textId="77777777" w:rsidR="00903E93" w:rsidRDefault="00903E93">
      <w:pPr>
        <w:rPr>
          <w:b/>
          <w:sz w:val="24"/>
          <w:szCs w:val="24"/>
        </w:rPr>
      </w:pPr>
    </w:p>
    <w:p w14:paraId="789B2ED8" w14:textId="77777777" w:rsidR="00903E93" w:rsidRDefault="00372CEC">
      <w:pPr>
        <w:rPr>
          <w:sz w:val="24"/>
          <w:szCs w:val="24"/>
          <w:highlight w:val="white"/>
        </w:rPr>
      </w:pPr>
      <w:r>
        <w:rPr>
          <w:sz w:val="24"/>
          <w:szCs w:val="24"/>
        </w:rPr>
        <w:t xml:space="preserve">Framework prices established at framework tender stage will be used as the basis for charges of mandatory services.  </w:t>
      </w:r>
      <w:r>
        <w:rPr>
          <w:sz w:val="24"/>
          <w:szCs w:val="24"/>
          <w:highlight w:val="white"/>
        </w:rPr>
        <w:t>These are the maximum prices a supplier can charge for mandatory services, however these prices could be improved on at further competition</w:t>
      </w:r>
      <w:r w:rsidR="008E0351">
        <w:rPr>
          <w:sz w:val="24"/>
          <w:szCs w:val="24"/>
          <w:highlight w:val="white"/>
        </w:rPr>
        <w:t xml:space="preserve">.  </w:t>
      </w:r>
      <w:r>
        <w:rPr>
          <w:sz w:val="24"/>
          <w:szCs w:val="24"/>
          <w:highlight w:val="white"/>
        </w:rPr>
        <w:t>Non Mandatory Services will only be priced at Further Competition stage.</w:t>
      </w:r>
    </w:p>
    <w:p w14:paraId="74611EEF" w14:textId="77777777" w:rsidR="00903E93" w:rsidRDefault="00903E93">
      <w:pPr>
        <w:rPr>
          <w:sz w:val="24"/>
          <w:szCs w:val="24"/>
          <w:highlight w:val="white"/>
        </w:rPr>
      </w:pPr>
    </w:p>
    <w:p w14:paraId="4CECAA70" w14:textId="77777777" w:rsidR="00903E93" w:rsidRDefault="00372CEC">
      <w:pPr>
        <w:rPr>
          <w:sz w:val="24"/>
          <w:szCs w:val="24"/>
          <w:highlight w:val="white"/>
        </w:rPr>
      </w:pPr>
      <w:r>
        <w:rPr>
          <w:sz w:val="24"/>
          <w:szCs w:val="24"/>
          <w:highlight w:val="white"/>
        </w:rPr>
        <w:t xml:space="preserve">Framework Prices are accessible by specific request from </w:t>
      </w:r>
      <w:hyperlink r:id="rId9">
        <w:r>
          <w:rPr>
            <w:color w:val="1155CC"/>
            <w:sz w:val="24"/>
            <w:szCs w:val="24"/>
            <w:highlight w:val="white"/>
            <w:u w:val="single"/>
          </w:rPr>
          <w:t>info@crowncommercial.gov.uk</w:t>
        </w:r>
      </w:hyperlink>
      <w:r>
        <w:rPr>
          <w:color w:val="222222"/>
          <w:sz w:val="24"/>
          <w:szCs w:val="24"/>
          <w:highlight w:val="white"/>
        </w:rPr>
        <w:t xml:space="preserve">.  </w:t>
      </w:r>
    </w:p>
    <w:p w14:paraId="2E536F05" w14:textId="77777777" w:rsidR="00903E93" w:rsidRDefault="00903E93">
      <w:pPr>
        <w:rPr>
          <w:sz w:val="24"/>
          <w:szCs w:val="24"/>
        </w:rPr>
      </w:pPr>
    </w:p>
    <w:p w14:paraId="51D6CE9C" w14:textId="77777777" w:rsidR="00903E93" w:rsidRDefault="00903E93">
      <w:pPr>
        <w:rPr>
          <w:sz w:val="24"/>
          <w:szCs w:val="24"/>
        </w:rPr>
      </w:pPr>
    </w:p>
    <w:p w14:paraId="38C10E90" w14:textId="77777777" w:rsidR="00903E93" w:rsidRDefault="008E0351">
      <w:pPr>
        <w:rPr>
          <w:b/>
          <w:sz w:val="24"/>
          <w:szCs w:val="24"/>
        </w:rPr>
      </w:pPr>
      <w:r>
        <w:rPr>
          <w:b/>
          <w:color w:val="222222"/>
          <w:sz w:val="24"/>
          <w:szCs w:val="24"/>
          <w:highlight w:val="white"/>
        </w:rPr>
        <w:t>5</w:t>
      </w:r>
      <w:r w:rsidR="00372CEC">
        <w:rPr>
          <w:b/>
          <w:color w:val="222222"/>
          <w:sz w:val="24"/>
          <w:szCs w:val="24"/>
          <w:highlight w:val="white"/>
        </w:rPr>
        <w:t xml:space="preserve">. </w:t>
      </w:r>
      <w:r w:rsidR="00372CEC">
        <w:rPr>
          <w:b/>
          <w:sz w:val="24"/>
          <w:szCs w:val="24"/>
        </w:rPr>
        <w:t>Suppliers</w:t>
      </w:r>
    </w:p>
    <w:p w14:paraId="6158869F" w14:textId="77777777" w:rsidR="00903E93" w:rsidRDefault="00903E93">
      <w:pPr>
        <w:rPr>
          <w:b/>
          <w:sz w:val="24"/>
          <w:szCs w:val="24"/>
        </w:rPr>
      </w:pPr>
    </w:p>
    <w:p w14:paraId="1C317993" w14:textId="77777777" w:rsidR="008E0351" w:rsidRDefault="008E0351">
      <w:pPr>
        <w:rPr>
          <w:sz w:val="24"/>
          <w:szCs w:val="24"/>
          <w:highlight w:val="white"/>
        </w:rPr>
      </w:pPr>
      <w:r>
        <w:rPr>
          <w:sz w:val="24"/>
          <w:szCs w:val="24"/>
          <w:highlight w:val="white"/>
        </w:rPr>
        <w:t xml:space="preserve">For Lot 1a, 1b and 2c, </w:t>
      </w:r>
      <w:r w:rsidR="00372CEC">
        <w:rPr>
          <w:sz w:val="24"/>
          <w:szCs w:val="24"/>
          <w:highlight w:val="white"/>
        </w:rPr>
        <w:t>Suppliers geographical coverage is classified by NUTS 2 re</w:t>
      </w:r>
      <w:r>
        <w:rPr>
          <w:sz w:val="24"/>
          <w:szCs w:val="24"/>
          <w:highlight w:val="white"/>
        </w:rPr>
        <w:t xml:space="preserve">gions </w:t>
      </w:r>
      <w:r w:rsidR="00372CEC">
        <w:rPr>
          <w:sz w:val="24"/>
          <w:szCs w:val="24"/>
          <w:highlight w:val="white"/>
        </w:rPr>
        <w:t xml:space="preserve">that will provide buyers with competition and national coverage. </w:t>
      </w:r>
    </w:p>
    <w:p w14:paraId="3111C0E3" w14:textId="77777777" w:rsidR="008E0351" w:rsidRDefault="008E0351">
      <w:pPr>
        <w:rPr>
          <w:sz w:val="24"/>
          <w:szCs w:val="24"/>
          <w:highlight w:val="white"/>
        </w:rPr>
      </w:pPr>
    </w:p>
    <w:p w14:paraId="11219F0E" w14:textId="77777777" w:rsidR="008E0351" w:rsidRDefault="008E0351">
      <w:pPr>
        <w:rPr>
          <w:sz w:val="24"/>
          <w:szCs w:val="24"/>
          <w:highlight w:val="white"/>
        </w:rPr>
      </w:pPr>
      <w:r>
        <w:rPr>
          <w:sz w:val="24"/>
          <w:szCs w:val="24"/>
          <w:highlight w:val="white"/>
        </w:rPr>
        <w:t>For Lot 2a, 2b and Lot 3 Suppliers are able to provide regional and national coverage.</w:t>
      </w:r>
      <w:r w:rsidR="00372CEC">
        <w:rPr>
          <w:sz w:val="24"/>
          <w:szCs w:val="24"/>
          <w:highlight w:val="white"/>
        </w:rPr>
        <w:t xml:space="preserve"> </w:t>
      </w:r>
    </w:p>
    <w:p w14:paraId="51DFA6B7" w14:textId="77777777" w:rsidR="008E0351" w:rsidRDefault="008E0351">
      <w:pPr>
        <w:rPr>
          <w:sz w:val="24"/>
          <w:szCs w:val="24"/>
          <w:highlight w:val="white"/>
        </w:rPr>
      </w:pPr>
    </w:p>
    <w:p w14:paraId="0C0B9107" w14:textId="77777777" w:rsidR="00903E93" w:rsidRDefault="00372CEC">
      <w:pPr>
        <w:rPr>
          <w:sz w:val="24"/>
          <w:szCs w:val="24"/>
          <w:highlight w:val="white"/>
        </w:rPr>
      </w:pPr>
      <w:r>
        <w:rPr>
          <w:sz w:val="24"/>
          <w:szCs w:val="24"/>
          <w:highlight w:val="white"/>
        </w:rPr>
        <w:t>There may also be limited opportunities for suppliers to provide international coverage for buyers procuring UK services</w:t>
      </w:r>
      <w:r w:rsidR="008821C8">
        <w:rPr>
          <w:sz w:val="24"/>
          <w:szCs w:val="24"/>
          <w:highlight w:val="white"/>
        </w:rPr>
        <w:t xml:space="preserve"> abroad</w:t>
      </w:r>
      <w:r>
        <w:rPr>
          <w:sz w:val="24"/>
          <w:szCs w:val="24"/>
          <w:highlight w:val="white"/>
        </w:rPr>
        <w:t>.</w:t>
      </w:r>
    </w:p>
    <w:p w14:paraId="32C76527" w14:textId="77777777" w:rsidR="008E0351" w:rsidRDefault="008E0351">
      <w:pPr>
        <w:rPr>
          <w:sz w:val="24"/>
          <w:szCs w:val="24"/>
          <w:highlight w:val="white"/>
        </w:rPr>
      </w:pPr>
    </w:p>
    <w:p w14:paraId="26805812" w14:textId="77777777" w:rsidR="00903E93" w:rsidRDefault="008E0351">
      <w:pPr>
        <w:rPr>
          <w:sz w:val="24"/>
          <w:szCs w:val="24"/>
          <w:highlight w:val="white"/>
        </w:rPr>
      </w:pPr>
      <w:r>
        <w:rPr>
          <w:sz w:val="24"/>
          <w:szCs w:val="24"/>
          <w:highlight w:val="white"/>
        </w:rPr>
        <w:t>Over 30</w:t>
      </w:r>
      <w:r w:rsidR="00372CEC">
        <w:rPr>
          <w:sz w:val="24"/>
          <w:szCs w:val="24"/>
          <w:highlight w:val="white"/>
        </w:rPr>
        <w:t xml:space="preserve">% of the suppliers on </w:t>
      </w:r>
      <w:r w:rsidR="009A6F70">
        <w:rPr>
          <w:sz w:val="24"/>
          <w:szCs w:val="24"/>
          <w:highlight w:val="white"/>
        </w:rPr>
        <w:t>RM6089</w:t>
      </w:r>
      <w:r w:rsidR="00372CEC">
        <w:rPr>
          <w:sz w:val="24"/>
          <w:szCs w:val="24"/>
          <w:highlight w:val="white"/>
        </w:rPr>
        <w:t xml:space="preserve"> are SME’s.</w:t>
      </w:r>
    </w:p>
    <w:p w14:paraId="24BF6848" w14:textId="77777777" w:rsidR="008E0351" w:rsidRDefault="008E0351">
      <w:pPr>
        <w:rPr>
          <w:sz w:val="24"/>
          <w:szCs w:val="24"/>
          <w:highlight w:val="white"/>
        </w:rPr>
      </w:pPr>
    </w:p>
    <w:p w14:paraId="5E105F68" w14:textId="77777777" w:rsidR="008E0351" w:rsidRDefault="008E0351">
      <w:pPr>
        <w:rPr>
          <w:sz w:val="24"/>
          <w:szCs w:val="24"/>
          <w:highlight w:val="white"/>
        </w:rPr>
      </w:pPr>
    </w:p>
    <w:p w14:paraId="3528FD09" w14:textId="77777777" w:rsidR="008E0351" w:rsidRDefault="008E0351">
      <w:pPr>
        <w:rPr>
          <w:sz w:val="24"/>
          <w:szCs w:val="24"/>
          <w:highlight w:val="white"/>
        </w:rPr>
      </w:pPr>
    </w:p>
    <w:p w14:paraId="00801D76" w14:textId="77777777" w:rsidR="008E0351" w:rsidRDefault="008E0351">
      <w:pPr>
        <w:rPr>
          <w:sz w:val="24"/>
          <w:szCs w:val="24"/>
          <w:highlight w:val="white"/>
        </w:rPr>
      </w:pPr>
    </w:p>
    <w:p w14:paraId="4DF6ED84" w14:textId="77777777" w:rsidR="008E0351" w:rsidRDefault="008E0351">
      <w:pPr>
        <w:rPr>
          <w:sz w:val="24"/>
          <w:szCs w:val="24"/>
          <w:highlight w:val="white"/>
        </w:rPr>
      </w:pPr>
    </w:p>
    <w:p w14:paraId="1502BCE5" w14:textId="77777777" w:rsidR="008E0351" w:rsidRDefault="008E0351">
      <w:pPr>
        <w:rPr>
          <w:sz w:val="24"/>
          <w:szCs w:val="24"/>
          <w:highlight w:val="white"/>
        </w:rPr>
      </w:pPr>
    </w:p>
    <w:p w14:paraId="25155743" w14:textId="77777777" w:rsidR="008E0351" w:rsidRDefault="008E0351">
      <w:pPr>
        <w:rPr>
          <w:sz w:val="24"/>
          <w:szCs w:val="24"/>
          <w:highlight w:val="white"/>
        </w:rPr>
      </w:pPr>
    </w:p>
    <w:p w14:paraId="3EC1766A" w14:textId="77777777" w:rsidR="008E0351" w:rsidRDefault="008E0351">
      <w:pPr>
        <w:rPr>
          <w:sz w:val="24"/>
          <w:szCs w:val="24"/>
          <w:highlight w:val="white"/>
        </w:rPr>
      </w:pPr>
    </w:p>
    <w:p w14:paraId="1EE88884" w14:textId="77777777" w:rsidR="008E0351" w:rsidRDefault="008E0351">
      <w:pPr>
        <w:rPr>
          <w:sz w:val="24"/>
          <w:szCs w:val="24"/>
          <w:highlight w:val="white"/>
        </w:rPr>
      </w:pPr>
    </w:p>
    <w:p w14:paraId="59C9F8C8" w14:textId="77777777" w:rsidR="008E0351" w:rsidRDefault="008E0351">
      <w:pPr>
        <w:rPr>
          <w:sz w:val="24"/>
          <w:szCs w:val="24"/>
          <w:highlight w:val="white"/>
        </w:rPr>
      </w:pPr>
    </w:p>
    <w:p w14:paraId="3459FFC7" w14:textId="77777777" w:rsidR="008E0351" w:rsidRDefault="008E0351">
      <w:pPr>
        <w:rPr>
          <w:sz w:val="24"/>
          <w:szCs w:val="24"/>
          <w:highlight w:val="white"/>
        </w:rPr>
      </w:pPr>
    </w:p>
    <w:p w14:paraId="7BB63714" w14:textId="77777777" w:rsidR="008E0351" w:rsidRDefault="008821C8">
      <w:pPr>
        <w:rPr>
          <w:sz w:val="24"/>
          <w:szCs w:val="24"/>
          <w:highlight w:val="white"/>
        </w:rPr>
      </w:pPr>
      <w:r>
        <w:rPr>
          <w:sz w:val="24"/>
          <w:szCs w:val="24"/>
          <w:highlight w:val="white"/>
        </w:rPr>
        <w:lastRenderedPageBreak/>
        <w:t>Please see below for a list of suppliers and their respective lots:</w:t>
      </w:r>
    </w:p>
    <w:p w14:paraId="186BE68A" w14:textId="77777777" w:rsidR="00903E93" w:rsidRDefault="00903E93">
      <w:pPr>
        <w:rPr>
          <w:b/>
          <w:color w:val="222222"/>
          <w:sz w:val="24"/>
          <w:szCs w:val="24"/>
          <w:shd w:val="clear" w:color="auto" w:fill="FF9900"/>
        </w:rPr>
      </w:pPr>
    </w:p>
    <w:tbl>
      <w:tblPr>
        <w:tblW w:w="8280" w:type="dxa"/>
        <w:tblLook w:val="04A0" w:firstRow="1" w:lastRow="0" w:firstColumn="1" w:lastColumn="0" w:noHBand="0" w:noVBand="1"/>
      </w:tblPr>
      <w:tblGrid>
        <w:gridCol w:w="3600"/>
        <w:gridCol w:w="780"/>
        <w:gridCol w:w="780"/>
        <w:gridCol w:w="780"/>
        <w:gridCol w:w="780"/>
        <w:gridCol w:w="780"/>
        <w:gridCol w:w="780"/>
      </w:tblGrid>
      <w:tr w:rsidR="008E0351" w:rsidRPr="008E0351" w14:paraId="69CFDA7B" w14:textId="77777777" w:rsidTr="00F25AA0">
        <w:trPr>
          <w:trHeight w:val="620"/>
          <w:tblHeader/>
        </w:trPr>
        <w:tc>
          <w:tcPr>
            <w:tcW w:w="360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bottom"/>
            <w:hideMark/>
          </w:tcPr>
          <w:p w14:paraId="7E7801BD" w14:textId="77777777" w:rsidR="008E0351" w:rsidRPr="008E0351" w:rsidRDefault="008E0351" w:rsidP="008E0351">
            <w:pPr>
              <w:spacing w:line="240" w:lineRule="auto"/>
              <w:rPr>
                <w:rFonts w:eastAsia="Times New Roman"/>
                <w:b/>
                <w:bCs/>
                <w:color w:val="000000"/>
                <w:sz w:val="24"/>
                <w:szCs w:val="24"/>
              </w:rPr>
            </w:pPr>
            <w:r w:rsidRPr="008E0351">
              <w:rPr>
                <w:rFonts w:eastAsia="Times New Roman"/>
                <w:b/>
                <w:bCs/>
                <w:color w:val="000000"/>
                <w:sz w:val="24"/>
                <w:szCs w:val="24"/>
              </w:rPr>
              <w:lastRenderedPageBreak/>
              <w:t>Supplier</w:t>
            </w:r>
          </w:p>
        </w:tc>
        <w:tc>
          <w:tcPr>
            <w:tcW w:w="780" w:type="dxa"/>
            <w:tcBorders>
              <w:top w:val="single" w:sz="8" w:space="0" w:color="000000"/>
              <w:left w:val="single" w:sz="8" w:space="0" w:color="CCCCCC"/>
              <w:bottom w:val="single" w:sz="8" w:space="0" w:color="000000"/>
              <w:right w:val="single" w:sz="8" w:space="0" w:color="000000"/>
            </w:tcBorders>
            <w:shd w:val="clear" w:color="auto" w:fill="B8CCE4" w:themeFill="accent1" w:themeFillTint="66"/>
            <w:vAlign w:val="bottom"/>
            <w:hideMark/>
          </w:tcPr>
          <w:p w14:paraId="5CE7A60C"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1a</w:t>
            </w:r>
          </w:p>
        </w:tc>
        <w:tc>
          <w:tcPr>
            <w:tcW w:w="780" w:type="dxa"/>
            <w:tcBorders>
              <w:top w:val="single" w:sz="8" w:space="0" w:color="000000"/>
              <w:left w:val="single" w:sz="8" w:space="0" w:color="CCCCCC"/>
              <w:bottom w:val="single" w:sz="8" w:space="0" w:color="000000"/>
              <w:right w:val="single" w:sz="8" w:space="0" w:color="000000"/>
            </w:tcBorders>
            <w:shd w:val="clear" w:color="auto" w:fill="B8CCE4" w:themeFill="accent1" w:themeFillTint="66"/>
            <w:vAlign w:val="bottom"/>
            <w:hideMark/>
          </w:tcPr>
          <w:p w14:paraId="3DD9F3E6"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1b</w:t>
            </w:r>
          </w:p>
        </w:tc>
        <w:tc>
          <w:tcPr>
            <w:tcW w:w="780" w:type="dxa"/>
            <w:tcBorders>
              <w:top w:val="single" w:sz="8" w:space="0" w:color="000000"/>
              <w:left w:val="single" w:sz="8" w:space="0" w:color="CCCCCC"/>
              <w:bottom w:val="single" w:sz="8" w:space="0" w:color="000000"/>
              <w:right w:val="single" w:sz="8" w:space="0" w:color="000000"/>
            </w:tcBorders>
            <w:shd w:val="clear" w:color="auto" w:fill="B8CCE4" w:themeFill="accent1" w:themeFillTint="66"/>
            <w:vAlign w:val="bottom"/>
            <w:hideMark/>
          </w:tcPr>
          <w:p w14:paraId="6D6E9AB7"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2a</w:t>
            </w:r>
          </w:p>
        </w:tc>
        <w:tc>
          <w:tcPr>
            <w:tcW w:w="780" w:type="dxa"/>
            <w:tcBorders>
              <w:top w:val="single" w:sz="8" w:space="0" w:color="000000"/>
              <w:left w:val="single" w:sz="8" w:space="0" w:color="CCCCCC"/>
              <w:bottom w:val="single" w:sz="8" w:space="0" w:color="000000"/>
              <w:right w:val="single" w:sz="8" w:space="0" w:color="000000"/>
            </w:tcBorders>
            <w:shd w:val="clear" w:color="auto" w:fill="B8CCE4" w:themeFill="accent1" w:themeFillTint="66"/>
            <w:vAlign w:val="bottom"/>
            <w:hideMark/>
          </w:tcPr>
          <w:p w14:paraId="4732485B"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2b</w:t>
            </w:r>
          </w:p>
        </w:tc>
        <w:tc>
          <w:tcPr>
            <w:tcW w:w="780" w:type="dxa"/>
            <w:tcBorders>
              <w:top w:val="single" w:sz="8" w:space="0" w:color="000000"/>
              <w:left w:val="single" w:sz="8" w:space="0" w:color="CCCCCC"/>
              <w:bottom w:val="single" w:sz="8" w:space="0" w:color="000000"/>
              <w:right w:val="single" w:sz="8" w:space="0" w:color="000000"/>
            </w:tcBorders>
            <w:shd w:val="clear" w:color="auto" w:fill="B8CCE4" w:themeFill="accent1" w:themeFillTint="66"/>
            <w:vAlign w:val="bottom"/>
            <w:hideMark/>
          </w:tcPr>
          <w:p w14:paraId="6F0E97DC"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2c</w:t>
            </w:r>
          </w:p>
        </w:tc>
        <w:tc>
          <w:tcPr>
            <w:tcW w:w="780" w:type="dxa"/>
            <w:tcBorders>
              <w:top w:val="single" w:sz="8" w:space="0" w:color="000000"/>
              <w:left w:val="single" w:sz="8" w:space="0" w:color="CCCCCC"/>
              <w:bottom w:val="single" w:sz="8" w:space="0" w:color="000000"/>
              <w:right w:val="single" w:sz="8" w:space="0" w:color="000000"/>
            </w:tcBorders>
            <w:shd w:val="clear" w:color="auto" w:fill="B8CCE4" w:themeFill="accent1" w:themeFillTint="66"/>
            <w:vAlign w:val="bottom"/>
            <w:hideMark/>
          </w:tcPr>
          <w:p w14:paraId="1DE4B3BB"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3</w:t>
            </w:r>
          </w:p>
        </w:tc>
      </w:tr>
      <w:tr w:rsidR="008E0351" w:rsidRPr="008E0351" w14:paraId="7DD4C01A"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5FDA0CF"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Amey</w:t>
            </w:r>
            <w:proofErr w:type="spellEnd"/>
          </w:p>
        </w:tc>
        <w:tc>
          <w:tcPr>
            <w:tcW w:w="78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E0F164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D60C3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F67D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5F25A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4584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A6E4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r>
      <w:tr w:rsidR="008E0351" w:rsidRPr="008E0351" w14:paraId="6CDDEA04"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5DA9563"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APCOA Parking</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1DF3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C27A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AFFA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D668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D42FB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37B9C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7A349991"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867918B"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Atec</w:t>
            </w:r>
            <w:proofErr w:type="spellEnd"/>
            <w:r w:rsidRPr="008E0351">
              <w:rPr>
                <w:rFonts w:eastAsia="Times New Roman"/>
                <w:color w:val="000000"/>
                <w:sz w:val="24"/>
                <w:szCs w:val="24"/>
              </w:rPr>
              <w:t xml:space="preserve"> Security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73F2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EF48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083A8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680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D9272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C066C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0B912CCE"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EF43A60"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Bell Decorating Group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0418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8EAAE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FA8C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B997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C222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3738F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3D87D67B"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2676815" w14:textId="77777777" w:rsidR="008E0351" w:rsidRPr="008E0351" w:rsidRDefault="008E0351" w:rsidP="008E0351">
            <w:pPr>
              <w:spacing w:line="240" w:lineRule="auto"/>
              <w:rPr>
                <w:rFonts w:eastAsia="Times New Roman"/>
                <w:color w:val="000000"/>
                <w:sz w:val="24"/>
                <w:szCs w:val="24"/>
              </w:rPr>
            </w:pPr>
            <w:bookmarkStart w:id="0" w:name="_GoBack"/>
            <w:bookmarkEnd w:id="0"/>
            <w:r w:rsidRPr="008E0351">
              <w:rPr>
                <w:rFonts w:eastAsia="Times New Roman"/>
                <w:color w:val="000000"/>
                <w:sz w:val="24"/>
                <w:szCs w:val="24"/>
              </w:rPr>
              <w:t>Carlisle Support Services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0B1E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53D8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95A19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4A68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6256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E57A0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00B443AF"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F3C0866"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CIS Security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AF11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0F15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7E14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A946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CF9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7B91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731AE2FF"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E953704"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ClearView</w:t>
            </w:r>
            <w:proofErr w:type="spellEnd"/>
            <w:r w:rsidRPr="008E0351">
              <w:rPr>
                <w:rFonts w:eastAsia="Times New Roman"/>
                <w:color w:val="000000"/>
                <w:sz w:val="24"/>
                <w:szCs w:val="24"/>
              </w:rPr>
              <w:t xml:space="preserve"> Communications</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C4EE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BA69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D370C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99A44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3F536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F04E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205B8CA7"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9833C15"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Corps Security (UK)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4DDC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DBECB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4D36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F666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08F9B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60384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2C992D05"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732FB77C"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Diamond Facilities Support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F019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0BD25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C6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8F0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1BEE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57DD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0D09B8E2"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B60EE17"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Ecolog</w:t>
            </w:r>
            <w:proofErr w:type="spellEnd"/>
            <w:r w:rsidRPr="008E0351">
              <w:rPr>
                <w:rFonts w:eastAsia="Times New Roman"/>
                <w:color w:val="000000"/>
                <w:sz w:val="24"/>
                <w:szCs w:val="24"/>
              </w:rPr>
              <w:t xml:space="preserve"> International FZE</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A909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A9DF7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E1C8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C8B05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22093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9713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p>
        </w:tc>
      </w:tr>
      <w:tr w:rsidR="008E0351" w:rsidRPr="008E0351" w14:paraId="1FEBDD02"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9065E6A"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EFT Systems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0D7B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40145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5A3D4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EDB28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E771F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0BC0B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5C95E3FE"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68A4AA0"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ENGIE Regeneration</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5DBF1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946A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73D7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DFA2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12E18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270F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08643403"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7D585CC3"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Esotec</w:t>
            </w:r>
            <w:proofErr w:type="spellEnd"/>
            <w:r w:rsidRPr="008E0351">
              <w:rPr>
                <w:rFonts w:eastAsia="Times New Roman"/>
                <w:color w:val="000000"/>
                <w:sz w:val="24"/>
                <w:szCs w:val="24"/>
              </w:rPr>
              <w:t xml:space="preserve">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BAEB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A37F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29D6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3D76F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0A005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C6B1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1DA31199"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72BF97C"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Fortem</w:t>
            </w:r>
            <w:proofErr w:type="spellEnd"/>
            <w:r w:rsidRPr="008E0351">
              <w:rPr>
                <w:rFonts w:eastAsia="Times New Roman"/>
                <w:color w:val="000000"/>
                <w:sz w:val="24"/>
                <w:szCs w:val="24"/>
              </w:rPr>
              <w:t xml:space="preserve"> Solutions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0ECBD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AE96A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64A3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975F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EA2A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29D2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539E1C32"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3E6D1CF"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G4S Secure Solutions (UK)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BA0A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F182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FA40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4A28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8C8DF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2EB33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160CD34F"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6429CE3"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Graham Asset Management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9739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24AB3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C8654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0F1A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A4B19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D2DA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r>
      <w:tr w:rsidR="008E0351" w:rsidRPr="008E0351" w14:paraId="621B3AF1"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513324E"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ICTS UK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D7B1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7969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80C8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52DF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1734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FA7F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6D66E1B1"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9B120B1"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Interserve (Facilities Management)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00AC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EA646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19F99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9D91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A5E7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E7A30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p>
        </w:tc>
      </w:tr>
      <w:tr w:rsidR="008E0351" w:rsidRPr="008E0351" w14:paraId="460C258C"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auto" w:fill="B8CCE4" w:themeFill="accent1" w:themeFillTint="66"/>
            <w:vAlign w:val="bottom"/>
          </w:tcPr>
          <w:p w14:paraId="1EED3771" w14:textId="77777777" w:rsidR="008E0351" w:rsidRPr="008E0351" w:rsidRDefault="008E0351" w:rsidP="008E0351">
            <w:pPr>
              <w:spacing w:line="240" w:lineRule="auto"/>
              <w:rPr>
                <w:rFonts w:eastAsia="Times New Roman"/>
                <w:b/>
                <w:bCs/>
                <w:color w:val="000000"/>
                <w:sz w:val="24"/>
                <w:szCs w:val="24"/>
              </w:rPr>
            </w:pPr>
            <w:r w:rsidRPr="008E0351">
              <w:rPr>
                <w:rFonts w:eastAsia="Times New Roman"/>
                <w:b/>
                <w:bCs/>
                <w:color w:val="000000"/>
                <w:sz w:val="24"/>
                <w:szCs w:val="24"/>
              </w:rPr>
              <w:t>Supplier</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0D74B283"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1a</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50F0F181"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1b</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466DB841"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2a</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7A428002"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2b</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6435CA3B"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2c</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7E9C1CDC"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3</w:t>
            </w:r>
          </w:p>
        </w:tc>
      </w:tr>
      <w:tr w:rsidR="008E0351" w:rsidRPr="008E0351" w14:paraId="0E4CE48F"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5B094EFD"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ISS Facility Services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2825A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9B7D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F493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98C9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53581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859E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529C6AF6"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6E8F0EE"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lastRenderedPageBreak/>
              <w:t>Kellogg Brown &amp; Root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FB00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0E70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B629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B10D8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61888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BF869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r>
      <w:tr w:rsidR="008E0351" w:rsidRPr="008E0351" w14:paraId="3EDED5BA"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55C03A1B"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Keys4U</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81F66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58F2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2841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F16E6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4FA0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8902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5438353D"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5BA04D5"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Kier Services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8251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92ADC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28D4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1D32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r>
              <w:rPr>
                <w:rFonts w:eastAsia="Times New Roman"/>
                <w:color w:val="000000"/>
                <w:sz w:val="24"/>
                <w:szCs w:val="24"/>
              </w:rPr>
              <w:t>*</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5E3F2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9C00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342CA57D"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B5F528F"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Kingdom Services Group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EEF2E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9F95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F3B8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B510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F7E9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8178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62C1E62F"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2FD56C66"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Mears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C638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7380D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2C4E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E86AA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50138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0A2F3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02E4A3B0"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43A8826C"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Mi</w:t>
            </w:r>
            <w:proofErr w:type="spellEnd"/>
            <w:r w:rsidRPr="008E0351">
              <w:rPr>
                <w:rFonts w:eastAsia="Times New Roman"/>
                <w:color w:val="000000"/>
                <w:sz w:val="24"/>
                <w:szCs w:val="24"/>
              </w:rPr>
              <w:t>-space (UK)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A051E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7327F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1242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46B1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E494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DC11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4ABAB117"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86849BE"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Mitie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1B75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39A1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B263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5FF3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CEF4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04018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r>
      <w:tr w:rsidR="008E0351" w:rsidRPr="008E0351" w14:paraId="3485451D"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7728A987"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Morgan Sindall Property Services</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FC88A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12EB4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995D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6C4D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9E3C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34900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52537DF4"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77B93FB3"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North Midland Construction PLC</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CDB1E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E0EA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6126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D20E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356A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30AC6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2141A079"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813E7DC"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Pinnacle Group</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2C42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CE9B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EAC2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477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6288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CA92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7736C692"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DB605FD"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Profile Security Services Limited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10B86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7F9DF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DADB8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248DA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A2D5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89F98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3CC496E8"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B6CD7A3"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Quadrant Security Group</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940C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73E2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9386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F5FBD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CB764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5F99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6D01FCF1"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5CDE0A96"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Reliance High-Tech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9013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FB9C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47B0C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54E0A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B999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0532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621BA53E"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0518F3C"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Security Services Group</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F090A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9C4F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6E4D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6F30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5965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F4DEF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56630F49"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599F15BC"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Serco Limited ( ENGIE -Serco)</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11C1C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50D5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DDF6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115F7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856A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06F1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r>
      <w:tr w:rsidR="008E0351" w:rsidRPr="008E0351" w14:paraId="3DA3F46C"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14E515E"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Servest Group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94419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416E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FF48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50A5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A1B3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C22F7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7B308A16"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55E4A74E"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SES (Engineering Service)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F32D8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269E3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90555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2778D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4E3A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EFD1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p>
        </w:tc>
      </w:tr>
      <w:tr w:rsidR="008E0351" w:rsidRPr="008E0351" w14:paraId="3A9BE333"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102E6CB3"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Systematic Security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CC87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4963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B2986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8DE05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44E8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A5AAF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65E94E3D"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967FAD7"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Tensor PLC</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EBF6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D0CBB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3556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8F9C1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50CF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FCA1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3CD9E208"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auto" w:fill="B8CCE4" w:themeFill="accent1" w:themeFillTint="66"/>
            <w:vAlign w:val="bottom"/>
          </w:tcPr>
          <w:p w14:paraId="426B7199" w14:textId="77777777" w:rsidR="008E0351" w:rsidRPr="008E0351" w:rsidRDefault="008E0351" w:rsidP="008E0351">
            <w:pPr>
              <w:spacing w:line="240" w:lineRule="auto"/>
              <w:rPr>
                <w:rFonts w:eastAsia="Times New Roman"/>
                <w:b/>
                <w:bCs/>
                <w:color w:val="000000"/>
                <w:sz w:val="24"/>
                <w:szCs w:val="24"/>
              </w:rPr>
            </w:pPr>
            <w:r w:rsidRPr="008E0351">
              <w:rPr>
                <w:rFonts w:eastAsia="Times New Roman"/>
                <w:b/>
                <w:bCs/>
                <w:color w:val="000000"/>
                <w:sz w:val="24"/>
                <w:szCs w:val="24"/>
              </w:rPr>
              <w:t>Supplier</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2EF1C297"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1a</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0BC2E3B0"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1b</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4EA59FB1"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2a</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42EC3174"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2b</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7A31F50C"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2c</w:t>
            </w:r>
          </w:p>
        </w:tc>
        <w:tc>
          <w:tcPr>
            <w:tcW w:w="780" w:type="dxa"/>
            <w:tcBorders>
              <w:top w:val="single" w:sz="8" w:space="0" w:color="CCCCCC"/>
              <w:left w:val="single" w:sz="8" w:space="0" w:color="CCCCCC"/>
              <w:bottom w:val="single" w:sz="8" w:space="0" w:color="000000"/>
              <w:right w:val="single" w:sz="8" w:space="0" w:color="000000"/>
            </w:tcBorders>
            <w:shd w:val="clear" w:color="auto" w:fill="B8CCE4" w:themeFill="accent1" w:themeFillTint="66"/>
            <w:vAlign w:val="bottom"/>
          </w:tcPr>
          <w:p w14:paraId="6992B941" w14:textId="77777777" w:rsidR="008E0351" w:rsidRPr="008E0351" w:rsidRDefault="008E0351" w:rsidP="008E0351">
            <w:pPr>
              <w:spacing w:line="240" w:lineRule="auto"/>
              <w:jc w:val="center"/>
              <w:rPr>
                <w:rFonts w:eastAsia="Times New Roman"/>
                <w:b/>
                <w:bCs/>
                <w:color w:val="000000"/>
                <w:sz w:val="24"/>
                <w:szCs w:val="24"/>
              </w:rPr>
            </w:pPr>
            <w:r w:rsidRPr="008E0351">
              <w:rPr>
                <w:rFonts w:eastAsia="Times New Roman"/>
                <w:b/>
                <w:bCs/>
                <w:color w:val="000000"/>
                <w:sz w:val="24"/>
                <w:szCs w:val="24"/>
              </w:rPr>
              <w:t>3</w:t>
            </w:r>
          </w:p>
        </w:tc>
      </w:tr>
      <w:tr w:rsidR="008E0351" w:rsidRPr="008E0351" w14:paraId="005CD629"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DC12A92"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Tremorfa</w:t>
            </w:r>
            <w:proofErr w:type="spellEnd"/>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8AD87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F1443"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D92FA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6B174"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26C0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8848C7"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0D0F59F0"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04908A89"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lastRenderedPageBreak/>
              <w:t>Universal Security Systems Ltd</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F609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CA741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540A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DD80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F649F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010C0"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r w:rsidR="008E0351" w:rsidRPr="008E0351" w14:paraId="451F8F39"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CCCCCC"/>
            </w:tcBorders>
            <w:shd w:val="clear" w:color="000000" w:fill="FFFFFF"/>
            <w:vAlign w:val="center"/>
            <w:hideMark/>
          </w:tcPr>
          <w:p w14:paraId="20FA0AE8"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VINCI Construction UK Limited trading as VINCI Facilities</w:t>
            </w:r>
          </w:p>
        </w:tc>
        <w:tc>
          <w:tcPr>
            <w:tcW w:w="780" w:type="dxa"/>
            <w:tcBorders>
              <w:top w:val="single" w:sz="8" w:space="0" w:color="CCCCCC"/>
              <w:left w:val="nil"/>
              <w:bottom w:val="single" w:sz="8" w:space="0" w:color="000000"/>
              <w:right w:val="single" w:sz="8" w:space="0" w:color="000000"/>
            </w:tcBorders>
            <w:shd w:val="clear" w:color="auto" w:fill="auto"/>
            <w:vAlign w:val="center"/>
            <w:hideMark/>
          </w:tcPr>
          <w:p w14:paraId="33811B0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F6D6F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1085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99FF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B7118"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E8AC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r>
      <w:tr w:rsidR="008E0351" w:rsidRPr="008E0351" w14:paraId="6B4E54CF"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66C652C0" w14:textId="77777777" w:rsidR="008E0351" w:rsidRPr="008E0351" w:rsidRDefault="008E0351" w:rsidP="008E0351">
            <w:pPr>
              <w:spacing w:line="240" w:lineRule="auto"/>
              <w:rPr>
                <w:rFonts w:eastAsia="Times New Roman"/>
                <w:color w:val="000000"/>
                <w:sz w:val="24"/>
                <w:szCs w:val="24"/>
              </w:rPr>
            </w:pPr>
            <w:proofErr w:type="spellStart"/>
            <w:r w:rsidRPr="008E0351">
              <w:rPr>
                <w:rFonts w:eastAsia="Times New Roman"/>
                <w:color w:val="000000"/>
                <w:sz w:val="24"/>
                <w:szCs w:val="24"/>
              </w:rPr>
              <w:t>Volkerstevin</w:t>
            </w:r>
            <w:proofErr w:type="spellEnd"/>
            <w:r w:rsidRPr="008E0351">
              <w:rPr>
                <w:rFonts w:eastAsia="Times New Roman"/>
                <w:color w:val="000000"/>
                <w:sz w:val="24"/>
                <w:szCs w:val="24"/>
              </w:rPr>
              <w:t xml:space="preserve"> Ltd (Volker Turner)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16FCE"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0B2CCA"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C2445C"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C54462"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DD179B"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DF4B09"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R</w:t>
            </w:r>
          </w:p>
        </w:tc>
      </w:tr>
      <w:tr w:rsidR="008E0351" w:rsidRPr="008E0351" w14:paraId="6F98CD1B" w14:textId="77777777" w:rsidTr="00F25AA0">
        <w:trPr>
          <w:trHeight w:val="620"/>
          <w:tblHeader/>
        </w:trPr>
        <w:tc>
          <w:tcPr>
            <w:tcW w:w="3600"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14:paraId="37188069" w14:textId="77777777" w:rsidR="008E0351" w:rsidRPr="008E0351" w:rsidRDefault="008E0351" w:rsidP="008E0351">
            <w:pPr>
              <w:spacing w:line="240" w:lineRule="auto"/>
              <w:rPr>
                <w:rFonts w:eastAsia="Times New Roman"/>
                <w:color w:val="000000"/>
                <w:sz w:val="24"/>
                <w:szCs w:val="24"/>
              </w:rPr>
            </w:pPr>
            <w:r w:rsidRPr="008E0351">
              <w:rPr>
                <w:rFonts w:eastAsia="Times New Roman"/>
                <w:color w:val="000000"/>
                <w:sz w:val="24"/>
                <w:szCs w:val="24"/>
              </w:rPr>
              <w:t>Wates Construction Limited T/A Wates Living Space</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315AF"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63B6B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66342D"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EC48B5"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E47F6"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X</w:t>
            </w:r>
          </w:p>
        </w:tc>
        <w:tc>
          <w:tcPr>
            <w:tcW w:w="7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B53C1" w14:textId="77777777" w:rsidR="008E0351" w:rsidRPr="008E0351" w:rsidRDefault="008E0351" w:rsidP="008E0351">
            <w:pPr>
              <w:spacing w:line="240" w:lineRule="auto"/>
              <w:jc w:val="center"/>
              <w:rPr>
                <w:rFonts w:eastAsia="Times New Roman"/>
                <w:color w:val="000000"/>
                <w:sz w:val="24"/>
                <w:szCs w:val="24"/>
              </w:rPr>
            </w:pPr>
            <w:r w:rsidRPr="008E0351">
              <w:rPr>
                <w:rFonts w:eastAsia="Times New Roman"/>
                <w:color w:val="000000"/>
                <w:sz w:val="24"/>
                <w:szCs w:val="24"/>
              </w:rPr>
              <w:t> </w:t>
            </w:r>
          </w:p>
        </w:tc>
      </w:tr>
    </w:tbl>
    <w:p w14:paraId="54017546" w14:textId="77777777" w:rsidR="008E0351" w:rsidRDefault="008E0351">
      <w:pPr>
        <w:rPr>
          <w:sz w:val="24"/>
          <w:szCs w:val="24"/>
        </w:rPr>
      </w:pPr>
    </w:p>
    <w:p w14:paraId="56FCF0FE" w14:textId="77777777" w:rsidR="008E0351" w:rsidRDefault="008E0351">
      <w:pPr>
        <w:rPr>
          <w:sz w:val="24"/>
          <w:szCs w:val="24"/>
        </w:rPr>
      </w:pPr>
      <w:r>
        <w:rPr>
          <w:sz w:val="24"/>
          <w:szCs w:val="24"/>
        </w:rPr>
        <w:t>*R – denotes Reserve List Supplier</w:t>
      </w:r>
    </w:p>
    <w:p w14:paraId="40B63610" w14:textId="77777777" w:rsidR="008E0351" w:rsidRPr="008E0351" w:rsidRDefault="008E0351">
      <w:pPr>
        <w:rPr>
          <w:sz w:val="24"/>
          <w:szCs w:val="24"/>
        </w:rPr>
      </w:pPr>
    </w:p>
    <w:p w14:paraId="2944CBF8" w14:textId="77777777" w:rsidR="00903E93" w:rsidRDefault="008E0351">
      <w:pPr>
        <w:rPr>
          <w:b/>
          <w:sz w:val="24"/>
          <w:szCs w:val="24"/>
        </w:rPr>
      </w:pPr>
      <w:r>
        <w:rPr>
          <w:b/>
          <w:sz w:val="24"/>
          <w:szCs w:val="24"/>
        </w:rPr>
        <w:t>6</w:t>
      </w:r>
      <w:r w:rsidR="00372CEC">
        <w:rPr>
          <w:b/>
          <w:sz w:val="24"/>
          <w:szCs w:val="24"/>
        </w:rPr>
        <w:t xml:space="preserve">. How to Access the Agreement </w:t>
      </w:r>
      <w:r>
        <w:rPr>
          <w:b/>
          <w:sz w:val="24"/>
          <w:szCs w:val="24"/>
        </w:rPr>
        <w:t>–</w:t>
      </w:r>
      <w:r w:rsidR="00372CEC">
        <w:rPr>
          <w:b/>
          <w:sz w:val="24"/>
          <w:szCs w:val="24"/>
        </w:rPr>
        <w:t xml:space="preserve"> </w:t>
      </w:r>
      <w:r>
        <w:rPr>
          <w:b/>
          <w:sz w:val="24"/>
          <w:szCs w:val="24"/>
        </w:rPr>
        <w:t xml:space="preserve">Lot 1a, 1b and 2c - </w:t>
      </w:r>
      <w:r w:rsidR="00372CEC">
        <w:rPr>
          <w:b/>
          <w:sz w:val="24"/>
          <w:szCs w:val="24"/>
        </w:rPr>
        <w:t>Next Steps</w:t>
      </w:r>
    </w:p>
    <w:p w14:paraId="4F51BFDC" w14:textId="77777777" w:rsidR="00903E93" w:rsidRDefault="00903E93">
      <w:pPr>
        <w:rPr>
          <w:sz w:val="24"/>
          <w:szCs w:val="24"/>
        </w:rPr>
      </w:pPr>
    </w:p>
    <w:p w14:paraId="0E3A41CD" w14:textId="77777777" w:rsidR="008E0351" w:rsidRPr="008E0351" w:rsidRDefault="00372CEC" w:rsidP="008E0351">
      <w:pPr>
        <w:widowControl w:val="0"/>
        <w:numPr>
          <w:ilvl w:val="0"/>
          <w:numId w:val="5"/>
        </w:numPr>
        <w:contextualSpacing/>
        <w:rPr>
          <w:color w:val="000000"/>
          <w:sz w:val="24"/>
          <w:szCs w:val="24"/>
        </w:rPr>
      </w:pPr>
      <w:r>
        <w:rPr>
          <w:sz w:val="24"/>
          <w:szCs w:val="24"/>
        </w:rPr>
        <w:t xml:space="preserve">Buyers who wish to access the </w:t>
      </w:r>
      <w:r w:rsidR="008E0351">
        <w:rPr>
          <w:sz w:val="24"/>
          <w:szCs w:val="24"/>
        </w:rPr>
        <w:t xml:space="preserve">Lot 1a, 1b and 2c </w:t>
      </w:r>
      <w:r>
        <w:rPr>
          <w:sz w:val="24"/>
          <w:szCs w:val="24"/>
        </w:rPr>
        <w:t>agreement will do so using either the online platform (once available) or the current interim offline process.</w:t>
      </w:r>
    </w:p>
    <w:p w14:paraId="6BFB1802" w14:textId="77777777" w:rsidR="00903E93" w:rsidRDefault="00903E93">
      <w:pPr>
        <w:widowControl w:val="0"/>
        <w:ind w:left="720"/>
        <w:rPr>
          <w:sz w:val="24"/>
          <w:szCs w:val="24"/>
        </w:rPr>
      </w:pPr>
    </w:p>
    <w:p w14:paraId="1AD4E9F5" w14:textId="77777777" w:rsidR="00903E93" w:rsidRPr="008E0351" w:rsidRDefault="008E0351">
      <w:pPr>
        <w:widowControl w:val="0"/>
        <w:numPr>
          <w:ilvl w:val="0"/>
          <w:numId w:val="7"/>
        </w:numPr>
        <w:contextualSpacing/>
        <w:rPr>
          <w:color w:val="000000"/>
          <w:sz w:val="24"/>
          <w:szCs w:val="24"/>
        </w:rPr>
      </w:pPr>
      <w:r>
        <w:rPr>
          <w:sz w:val="24"/>
          <w:szCs w:val="24"/>
        </w:rPr>
        <w:t>B</w:t>
      </w:r>
      <w:r w:rsidR="00372CEC">
        <w:rPr>
          <w:sz w:val="24"/>
          <w:szCs w:val="24"/>
        </w:rPr>
        <w:t xml:space="preserve">oth the online and offline process will follow the same principles from </w:t>
      </w:r>
      <w:r w:rsidR="00372CEC">
        <w:rPr>
          <w:b/>
          <w:sz w:val="24"/>
          <w:szCs w:val="24"/>
        </w:rPr>
        <w:t>Framework Schedule 7</w:t>
      </w:r>
      <w:r>
        <w:rPr>
          <w:b/>
          <w:sz w:val="24"/>
          <w:szCs w:val="24"/>
        </w:rPr>
        <w:t xml:space="preserve"> (Lot 1a, 1b, 2c)</w:t>
      </w:r>
      <w:r w:rsidR="00372CEC">
        <w:rPr>
          <w:b/>
          <w:sz w:val="24"/>
          <w:szCs w:val="24"/>
        </w:rPr>
        <w:t xml:space="preserve"> - Call off Procedure and Award Criteria </w:t>
      </w:r>
    </w:p>
    <w:p w14:paraId="75201EC3" w14:textId="77777777" w:rsidR="00903E93" w:rsidRDefault="00903E93">
      <w:pPr>
        <w:widowControl w:val="0"/>
        <w:ind w:left="720"/>
        <w:rPr>
          <w:b/>
          <w:sz w:val="24"/>
          <w:szCs w:val="24"/>
        </w:rPr>
      </w:pPr>
    </w:p>
    <w:p w14:paraId="6C4918F8" w14:textId="77777777" w:rsidR="00903E93" w:rsidRDefault="00372CEC">
      <w:pPr>
        <w:widowControl w:val="0"/>
        <w:numPr>
          <w:ilvl w:val="0"/>
          <w:numId w:val="7"/>
        </w:numPr>
        <w:contextualSpacing/>
        <w:rPr>
          <w:sz w:val="24"/>
          <w:szCs w:val="24"/>
        </w:rPr>
      </w:pPr>
      <w:r>
        <w:rPr>
          <w:sz w:val="24"/>
          <w:szCs w:val="24"/>
        </w:rPr>
        <w:t xml:space="preserve">A schedule of rates can be obtained on request via </w:t>
      </w:r>
      <w:hyperlink r:id="rId10">
        <w:r>
          <w:rPr>
            <w:color w:val="1155CC"/>
            <w:sz w:val="24"/>
            <w:szCs w:val="24"/>
            <w:u w:val="single"/>
          </w:rPr>
          <w:t>info@crowncommercial.gov.uk</w:t>
        </w:r>
      </w:hyperlink>
      <w:r>
        <w:rPr>
          <w:sz w:val="24"/>
          <w:szCs w:val="24"/>
        </w:rPr>
        <w:t xml:space="preserve">.   </w:t>
      </w:r>
    </w:p>
    <w:p w14:paraId="4B4FE54B" w14:textId="77777777" w:rsidR="00903E93" w:rsidRDefault="00903E93">
      <w:pPr>
        <w:widowControl w:val="0"/>
        <w:rPr>
          <w:sz w:val="24"/>
          <w:szCs w:val="24"/>
        </w:rPr>
      </w:pPr>
    </w:p>
    <w:p w14:paraId="531C4A2F" w14:textId="29F154AC" w:rsidR="00903E93" w:rsidRDefault="00372CEC">
      <w:pPr>
        <w:widowControl w:val="0"/>
        <w:numPr>
          <w:ilvl w:val="0"/>
          <w:numId w:val="2"/>
        </w:numPr>
        <w:contextualSpacing/>
        <w:rPr>
          <w:color w:val="000000"/>
          <w:sz w:val="24"/>
          <w:szCs w:val="24"/>
        </w:rPr>
      </w:pPr>
      <w:r>
        <w:rPr>
          <w:sz w:val="24"/>
          <w:szCs w:val="24"/>
        </w:rPr>
        <w:t>The first step is for a Buyer to complete and return a</w:t>
      </w:r>
      <w:r>
        <w:rPr>
          <w:b/>
          <w:sz w:val="24"/>
          <w:szCs w:val="24"/>
        </w:rPr>
        <w:t xml:space="preserve"> </w:t>
      </w:r>
      <w:hyperlink r:id="rId11" w:history="1">
        <w:r w:rsidRPr="00F25AA0">
          <w:rPr>
            <w:rStyle w:val="Hyperlink"/>
            <w:b/>
            <w:sz w:val="24"/>
            <w:szCs w:val="24"/>
          </w:rPr>
          <w:t>Customer User Agreement (CUA)</w:t>
        </w:r>
      </w:hyperlink>
      <w:r>
        <w:rPr>
          <w:sz w:val="24"/>
          <w:szCs w:val="24"/>
        </w:rPr>
        <w:t xml:space="preserve"> to </w:t>
      </w:r>
      <w:hyperlink r:id="rId12">
        <w:r>
          <w:rPr>
            <w:color w:val="1155CC"/>
            <w:sz w:val="24"/>
            <w:szCs w:val="24"/>
            <w:u w:val="single"/>
          </w:rPr>
          <w:t>info@crowncommercial.gov.uk</w:t>
        </w:r>
      </w:hyperlink>
      <w:r>
        <w:rPr>
          <w:sz w:val="24"/>
          <w:szCs w:val="24"/>
        </w:rPr>
        <w:t xml:space="preserve"> </w:t>
      </w:r>
    </w:p>
    <w:p w14:paraId="7F56C20A" w14:textId="77777777" w:rsidR="00903E93" w:rsidRDefault="00903E93">
      <w:pPr>
        <w:widowControl w:val="0"/>
        <w:spacing w:line="360" w:lineRule="auto"/>
        <w:ind w:left="720"/>
        <w:rPr>
          <w:sz w:val="24"/>
          <w:szCs w:val="24"/>
        </w:rPr>
      </w:pPr>
    </w:p>
    <w:p w14:paraId="3E5EF916" w14:textId="77777777" w:rsidR="00903E93" w:rsidRDefault="00372CEC">
      <w:pPr>
        <w:widowControl w:val="0"/>
        <w:numPr>
          <w:ilvl w:val="0"/>
          <w:numId w:val="2"/>
        </w:numPr>
        <w:contextualSpacing/>
        <w:rPr>
          <w:sz w:val="24"/>
          <w:szCs w:val="24"/>
        </w:rPr>
      </w:pPr>
      <w:r>
        <w:rPr>
          <w:sz w:val="24"/>
          <w:szCs w:val="24"/>
        </w:rPr>
        <w:t>Once this is completed and returned Buyers will be provided with a unique reference number that must be used on all subsequent documentation with CCS and suppliers.</w:t>
      </w:r>
    </w:p>
    <w:p w14:paraId="5C8699C8" w14:textId="77777777" w:rsidR="00903E93" w:rsidRDefault="00903E93">
      <w:pPr>
        <w:widowControl w:val="0"/>
        <w:ind w:left="720"/>
        <w:rPr>
          <w:sz w:val="24"/>
          <w:szCs w:val="24"/>
        </w:rPr>
      </w:pPr>
    </w:p>
    <w:p w14:paraId="32C670DD" w14:textId="2D6DBFC1" w:rsidR="00903E93" w:rsidRDefault="00372CEC">
      <w:pPr>
        <w:widowControl w:val="0"/>
        <w:numPr>
          <w:ilvl w:val="0"/>
          <w:numId w:val="2"/>
        </w:numPr>
        <w:contextualSpacing/>
        <w:rPr>
          <w:sz w:val="24"/>
          <w:szCs w:val="24"/>
        </w:rPr>
      </w:pPr>
      <w:r>
        <w:rPr>
          <w:sz w:val="24"/>
          <w:szCs w:val="24"/>
        </w:rPr>
        <w:t xml:space="preserve">The </w:t>
      </w:r>
      <w:r w:rsidR="008F2E94">
        <w:rPr>
          <w:sz w:val="24"/>
          <w:szCs w:val="24"/>
        </w:rPr>
        <w:t>b</w:t>
      </w:r>
      <w:r>
        <w:rPr>
          <w:sz w:val="24"/>
          <w:szCs w:val="24"/>
        </w:rPr>
        <w:t>uyer will provide detail of “</w:t>
      </w:r>
      <w:r>
        <w:rPr>
          <w:b/>
          <w:sz w:val="24"/>
          <w:szCs w:val="24"/>
        </w:rPr>
        <w:t>Buyer Inputs</w:t>
      </w:r>
      <w:r>
        <w:rPr>
          <w:sz w:val="24"/>
          <w:szCs w:val="24"/>
        </w:rPr>
        <w:t xml:space="preserve">” in the CUA. These inputs will be run through an offline supplier selector tool, which will identify a shortlisted group of suppliers that are able to meet all Buyer requirements in the correct geographical locations.  </w:t>
      </w:r>
    </w:p>
    <w:p w14:paraId="01E494A6" w14:textId="77777777" w:rsidR="00903E93" w:rsidRDefault="00903E93">
      <w:pPr>
        <w:widowControl w:val="0"/>
        <w:ind w:left="720"/>
        <w:rPr>
          <w:sz w:val="24"/>
          <w:szCs w:val="24"/>
        </w:rPr>
      </w:pPr>
    </w:p>
    <w:p w14:paraId="392746EC" w14:textId="77777777" w:rsidR="00903E93" w:rsidRDefault="00372CEC">
      <w:pPr>
        <w:widowControl w:val="0"/>
        <w:numPr>
          <w:ilvl w:val="0"/>
          <w:numId w:val="2"/>
        </w:numPr>
        <w:contextualSpacing/>
        <w:rPr>
          <w:sz w:val="24"/>
          <w:szCs w:val="24"/>
        </w:rPr>
      </w:pPr>
      <w:r>
        <w:rPr>
          <w:sz w:val="24"/>
          <w:szCs w:val="24"/>
        </w:rPr>
        <w:t>Buyer inputs provided in the CUA will help to create a “</w:t>
      </w:r>
      <w:r>
        <w:rPr>
          <w:b/>
          <w:sz w:val="24"/>
          <w:szCs w:val="24"/>
        </w:rPr>
        <w:t xml:space="preserve">Supplier Brief".  </w:t>
      </w:r>
      <w:r>
        <w:rPr>
          <w:sz w:val="24"/>
          <w:szCs w:val="24"/>
        </w:rPr>
        <w:t xml:space="preserve">This provides Suppliers with an overview of the upcoming opportunity. This is used to communicate to the suppliers details of the </w:t>
      </w:r>
      <w:proofErr w:type="spellStart"/>
      <w:r>
        <w:rPr>
          <w:sz w:val="24"/>
          <w:szCs w:val="24"/>
        </w:rPr>
        <w:t>Buyers</w:t>
      </w:r>
      <w:proofErr w:type="spellEnd"/>
      <w:r>
        <w:rPr>
          <w:sz w:val="24"/>
          <w:szCs w:val="24"/>
        </w:rPr>
        <w:t xml:space="preserve"> needs, and allows shortlisted suppliers to make an initial decision on whether they wish to proceed to the next stage.</w:t>
      </w:r>
    </w:p>
    <w:p w14:paraId="32D8A26E" w14:textId="77777777" w:rsidR="00903E93" w:rsidRDefault="00903E93" w:rsidP="008E0351">
      <w:pPr>
        <w:widowControl w:val="0"/>
        <w:rPr>
          <w:sz w:val="24"/>
          <w:szCs w:val="24"/>
        </w:rPr>
      </w:pPr>
    </w:p>
    <w:p w14:paraId="3BDC2682" w14:textId="77777777" w:rsidR="00903E93" w:rsidRDefault="00372CEC">
      <w:pPr>
        <w:widowControl w:val="0"/>
        <w:numPr>
          <w:ilvl w:val="0"/>
          <w:numId w:val="2"/>
        </w:numPr>
        <w:contextualSpacing/>
        <w:rPr>
          <w:sz w:val="24"/>
          <w:szCs w:val="24"/>
        </w:rPr>
      </w:pPr>
      <w:r>
        <w:rPr>
          <w:sz w:val="24"/>
          <w:szCs w:val="24"/>
        </w:rPr>
        <w:lastRenderedPageBreak/>
        <w:t>Once you reach this point there are additional documents (Bid Pack, and Order Form) that will help you to conduct your Further Competition</w:t>
      </w:r>
      <w:r w:rsidR="008E0351">
        <w:rPr>
          <w:sz w:val="24"/>
          <w:szCs w:val="24"/>
        </w:rPr>
        <w:t xml:space="preserve"> </w:t>
      </w:r>
      <w:r>
        <w:rPr>
          <w:sz w:val="24"/>
          <w:szCs w:val="24"/>
        </w:rPr>
        <w:t>along with step by step guidance.</w:t>
      </w:r>
    </w:p>
    <w:p w14:paraId="07BE2D2F" w14:textId="77777777" w:rsidR="00903E93" w:rsidRDefault="00903E93">
      <w:pPr>
        <w:widowControl w:val="0"/>
        <w:ind w:left="720"/>
        <w:rPr>
          <w:sz w:val="24"/>
          <w:szCs w:val="24"/>
        </w:rPr>
      </w:pPr>
    </w:p>
    <w:p w14:paraId="25D82364" w14:textId="77777777" w:rsidR="00903E93" w:rsidRPr="008E0351" w:rsidRDefault="00372CEC" w:rsidP="008E0351">
      <w:pPr>
        <w:widowControl w:val="0"/>
        <w:numPr>
          <w:ilvl w:val="0"/>
          <w:numId w:val="2"/>
        </w:numPr>
        <w:contextualSpacing/>
        <w:rPr>
          <w:sz w:val="24"/>
          <w:szCs w:val="24"/>
        </w:rPr>
      </w:pPr>
      <w:r>
        <w:rPr>
          <w:sz w:val="24"/>
          <w:szCs w:val="24"/>
        </w:rPr>
        <w:t>You</w:t>
      </w:r>
      <w:r w:rsidR="008F2E94">
        <w:rPr>
          <w:sz w:val="24"/>
          <w:szCs w:val="24"/>
        </w:rPr>
        <w:t xml:space="preserve"> then</w:t>
      </w:r>
      <w:r>
        <w:rPr>
          <w:sz w:val="24"/>
          <w:szCs w:val="24"/>
        </w:rPr>
        <w:t xml:space="preserve"> must provide CCS with a written confirmation of award details once the contract is in place.  A template is available in the documents section of the website.  This must be returned to </w:t>
      </w:r>
      <w:hyperlink r:id="rId13">
        <w:r>
          <w:rPr>
            <w:color w:val="1155CC"/>
            <w:sz w:val="24"/>
            <w:szCs w:val="24"/>
            <w:u w:val="single"/>
          </w:rPr>
          <w:t>info@crowncommercial.gov.uk</w:t>
        </w:r>
      </w:hyperlink>
      <w:r>
        <w:rPr>
          <w:sz w:val="24"/>
          <w:szCs w:val="24"/>
        </w:rPr>
        <w:t xml:space="preserve">. </w:t>
      </w:r>
    </w:p>
    <w:p w14:paraId="6FD27975" w14:textId="77777777" w:rsidR="00903E93" w:rsidRDefault="00903E93">
      <w:pPr>
        <w:rPr>
          <w:b/>
          <w:sz w:val="24"/>
          <w:szCs w:val="24"/>
        </w:rPr>
      </w:pPr>
    </w:p>
    <w:p w14:paraId="229AC96A" w14:textId="77777777" w:rsidR="00903E93" w:rsidRDefault="00372CEC">
      <w:pPr>
        <w:numPr>
          <w:ilvl w:val="0"/>
          <w:numId w:val="4"/>
        </w:numPr>
        <w:contextualSpacing/>
        <w:rPr>
          <w:sz w:val="24"/>
          <w:szCs w:val="24"/>
        </w:rPr>
      </w:pPr>
      <w:r>
        <w:rPr>
          <w:sz w:val="24"/>
          <w:szCs w:val="24"/>
        </w:rPr>
        <w:t xml:space="preserve">If you would like more information on the further competition process please contact one of the team to discuss </w:t>
      </w:r>
    </w:p>
    <w:p w14:paraId="1E3D4917" w14:textId="137E5024" w:rsidR="00903E93" w:rsidRDefault="00903E93">
      <w:pPr>
        <w:rPr>
          <w:b/>
          <w:sz w:val="24"/>
          <w:szCs w:val="24"/>
        </w:rPr>
      </w:pPr>
    </w:p>
    <w:p w14:paraId="3029A942" w14:textId="77777777" w:rsidR="00903E93" w:rsidRDefault="00903E93">
      <w:pPr>
        <w:rPr>
          <w:b/>
          <w:sz w:val="24"/>
          <w:szCs w:val="24"/>
        </w:rPr>
      </w:pPr>
    </w:p>
    <w:p w14:paraId="494F21C4" w14:textId="77777777" w:rsidR="00903E93" w:rsidRDefault="008E0351">
      <w:pPr>
        <w:rPr>
          <w:b/>
          <w:sz w:val="24"/>
          <w:szCs w:val="24"/>
        </w:rPr>
      </w:pPr>
      <w:r>
        <w:rPr>
          <w:b/>
          <w:sz w:val="24"/>
          <w:szCs w:val="24"/>
        </w:rPr>
        <w:t>7</w:t>
      </w:r>
      <w:r w:rsidR="00372CEC">
        <w:rPr>
          <w:b/>
          <w:sz w:val="24"/>
          <w:szCs w:val="24"/>
        </w:rPr>
        <w:t>. Customer User Agreement - How to complete</w:t>
      </w:r>
      <w:r>
        <w:rPr>
          <w:b/>
          <w:sz w:val="24"/>
          <w:szCs w:val="24"/>
        </w:rPr>
        <w:t xml:space="preserve"> (Lot 1a, 1b and 2c)</w:t>
      </w:r>
    </w:p>
    <w:p w14:paraId="7BCF3F68" w14:textId="77777777" w:rsidR="00903E93" w:rsidRDefault="00903E93">
      <w:pPr>
        <w:rPr>
          <w:sz w:val="24"/>
          <w:szCs w:val="24"/>
        </w:rPr>
      </w:pPr>
    </w:p>
    <w:p w14:paraId="58C06580" w14:textId="53E493E9" w:rsidR="00903E93" w:rsidRDefault="00372CEC">
      <w:pPr>
        <w:rPr>
          <w:sz w:val="24"/>
          <w:szCs w:val="24"/>
        </w:rPr>
      </w:pPr>
      <w:r>
        <w:rPr>
          <w:sz w:val="24"/>
          <w:szCs w:val="24"/>
        </w:rPr>
        <w:t xml:space="preserve">To fully complete a Customer User Agreement you will need to provide a number of Buyer </w:t>
      </w:r>
      <w:r w:rsidR="00E97C0B">
        <w:rPr>
          <w:sz w:val="24"/>
          <w:szCs w:val="24"/>
        </w:rPr>
        <w:t>i</w:t>
      </w:r>
      <w:r>
        <w:rPr>
          <w:sz w:val="24"/>
          <w:szCs w:val="24"/>
        </w:rPr>
        <w:t>nputs that will allow us to run your details through the supplier selector tool.</w:t>
      </w:r>
    </w:p>
    <w:p w14:paraId="6802CEEB" w14:textId="77777777" w:rsidR="00903E93" w:rsidRDefault="00372CEC">
      <w:pPr>
        <w:widowControl w:val="0"/>
        <w:numPr>
          <w:ilvl w:val="0"/>
          <w:numId w:val="2"/>
        </w:numPr>
        <w:contextualSpacing/>
        <w:rPr>
          <w:b/>
          <w:sz w:val="24"/>
          <w:szCs w:val="24"/>
        </w:rPr>
      </w:pPr>
      <w:r>
        <w:rPr>
          <w:b/>
          <w:sz w:val="24"/>
          <w:szCs w:val="24"/>
        </w:rPr>
        <w:t>Buyers inputs include:</w:t>
      </w:r>
    </w:p>
    <w:p w14:paraId="4EC8EB08" w14:textId="030B269E" w:rsidR="00903E93" w:rsidRPr="008E0351" w:rsidRDefault="00372CEC" w:rsidP="00175401">
      <w:pPr>
        <w:widowControl w:val="0"/>
        <w:numPr>
          <w:ilvl w:val="1"/>
          <w:numId w:val="2"/>
        </w:numPr>
        <w:contextualSpacing/>
        <w:rPr>
          <w:sz w:val="24"/>
          <w:szCs w:val="24"/>
        </w:rPr>
      </w:pPr>
      <w:r w:rsidRPr="008E0351">
        <w:rPr>
          <w:sz w:val="24"/>
          <w:szCs w:val="24"/>
        </w:rPr>
        <w:t>Services required</w:t>
      </w:r>
      <w:r w:rsidR="00E97C0B">
        <w:rPr>
          <w:sz w:val="24"/>
          <w:szCs w:val="24"/>
        </w:rPr>
        <w:t>;</w:t>
      </w:r>
      <w:r w:rsidRPr="008E0351">
        <w:rPr>
          <w:sz w:val="24"/>
          <w:szCs w:val="24"/>
        </w:rPr>
        <w:t xml:space="preserve"> </w:t>
      </w:r>
    </w:p>
    <w:p w14:paraId="0CED6DB2" w14:textId="77777777" w:rsidR="00903E93" w:rsidRDefault="00372CEC">
      <w:pPr>
        <w:numPr>
          <w:ilvl w:val="2"/>
          <w:numId w:val="2"/>
        </w:numPr>
        <w:contextualSpacing/>
        <w:rPr>
          <w:color w:val="000000"/>
          <w:sz w:val="24"/>
          <w:szCs w:val="24"/>
        </w:rPr>
      </w:pPr>
      <w:r>
        <w:rPr>
          <w:sz w:val="24"/>
          <w:szCs w:val="24"/>
        </w:rPr>
        <w:t>If the requirement is a standard service with no adjustments</w:t>
      </w:r>
      <w:r w:rsidR="00E97C0B">
        <w:rPr>
          <w:sz w:val="24"/>
          <w:szCs w:val="24"/>
        </w:rPr>
        <w:t>; and/or</w:t>
      </w:r>
    </w:p>
    <w:p w14:paraId="0B960CB3" w14:textId="77777777" w:rsidR="00903E93" w:rsidRDefault="00372CEC">
      <w:pPr>
        <w:numPr>
          <w:ilvl w:val="2"/>
          <w:numId w:val="2"/>
        </w:numPr>
        <w:contextualSpacing/>
        <w:rPr>
          <w:color w:val="000000"/>
          <w:sz w:val="24"/>
          <w:szCs w:val="24"/>
        </w:rPr>
      </w:pPr>
      <w:r>
        <w:rPr>
          <w:sz w:val="24"/>
          <w:szCs w:val="24"/>
        </w:rPr>
        <w:t>If the requirement is a tailored service specific to individual needs</w:t>
      </w:r>
    </w:p>
    <w:p w14:paraId="1671EA00" w14:textId="77777777" w:rsidR="00903E93" w:rsidRDefault="00372CEC">
      <w:pPr>
        <w:widowControl w:val="0"/>
        <w:numPr>
          <w:ilvl w:val="1"/>
          <w:numId w:val="2"/>
        </w:numPr>
        <w:contextualSpacing/>
        <w:rPr>
          <w:sz w:val="24"/>
          <w:szCs w:val="24"/>
        </w:rPr>
      </w:pPr>
      <w:r>
        <w:rPr>
          <w:sz w:val="24"/>
          <w:szCs w:val="24"/>
        </w:rPr>
        <w:t>Geographical location of where services are required</w:t>
      </w:r>
      <w:r w:rsidR="00E97C0B">
        <w:rPr>
          <w:sz w:val="24"/>
          <w:szCs w:val="24"/>
        </w:rPr>
        <w:t>;</w:t>
      </w:r>
    </w:p>
    <w:p w14:paraId="2B2AB39B" w14:textId="77777777" w:rsidR="00903E93" w:rsidRDefault="00372CEC">
      <w:pPr>
        <w:widowControl w:val="0"/>
        <w:numPr>
          <w:ilvl w:val="1"/>
          <w:numId w:val="2"/>
        </w:numPr>
        <w:spacing w:before="180"/>
        <w:contextualSpacing/>
        <w:rPr>
          <w:color w:val="000000"/>
          <w:sz w:val="24"/>
          <w:szCs w:val="24"/>
        </w:rPr>
      </w:pPr>
      <w:r>
        <w:rPr>
          <w:sz w:val="24"/>
          <w:szCs w:val="24"/>
        </w:rPr>
        <w:t>Buyer Information (organisation, Building Types, Special Requirements)</w:t>
      </w:r>
      <w:r w:rsidR="00E97C0B">
        <w:rPr>
          <w:sz w:val="24"/>
          <w:szCs w:val="24"/>
        </w:rPr>
        <w:t>;</w:t>
      </w:r>
    </w:p>
    <w:p w14:paraId="2038FE3A" w14:textId="77777777" w:rsidR="00903E93" w:rsidRDefault="00372CEC">
      <w:pPr>
        <w:widowControl w:val="0"/>
        <w:numPr>
          <w:ilvl w:val="1"/>
          <w:numId w:val="2"/>
        </w:numPr>
        <w:spacing w:before="180"/>
        <w:contextualSpacing/>
        <w:rPr>
          <w:color w:val="000000"/>
          <w:sz w:val="24"/>
          <w:szCs w:val="24"/>
        </w:rPr>
      </w:pPr>
      <w:r>
        <w:rPr>
          <w:sz w:val="24"/>
          <w:szCs w:val="24"/>
        </w:rPr>
        <w:t>Optional Schedules selected</w:t>
      </w:r>
      <w:r w:rsidR="00E97C0B">
        <w:rPr>
          <w:sz w:val="24"/>
          <w:szCs w:val="24"/>
        </w:rPr>
        <w:t>;</w:t>
      </w:r>
    </w:p>
    <w:p w14:paraId="457DC465" w14:textId="77777777" w:rsidR="00903E93" w:rsidRDefault="00372CEC">
      <w:pPr>
        <w:widowControl w:val="0"/>
        <w:numPr>
          <w:ilvl w:val="1"/>
          <w:numId w:val="2"/>
        </w:numPr>
        <w:spacing w:before="180"/>
        <w:contextualSpacing/>
        <w:rPr>
          <w:color w:val="000000"/>
          <w:sz w:val="24"/>
          <w:szCs w:val="24"/>
        </w:rPr>
      </w:pPr>
      <w:r>
        <w:rPr>
          <w:sz w:val="24"/>
          <w:szCs w:val="24"/>
        </w:rPr>
        <w:t>Contract Period</w:t>
      </w:r>
      <w:r w:rsidR="00E97C0B">
        <w:rPr>
          <w:sz w:val="24"/>
          <w:szCs w:val="24"/>
        </w:rPr>
        <w:t>;</w:t>
      </w:r>
    </w:p>
    <w:p w14:paraId="04E441EB" w14:textId="77777777" w:rsidR="00903E93" w:rsidRDefault="00372CEC">
      <w:pPr>
        <w:widowControl w:val="0"/>
        <w:numPr>
          <w:ilvl w:val="1"/>
          <w:numId w:val="2"/>
        </w:numPr>
        <w:spacing w:before="180"/>
        <w:contextualSpacing/>
        <w:rPr>
          <w:color w:val="000000"/>
          <w:sz w:val="24"/>
          <w:szCs w:val="24"/>
        </w:rPr>
      </w:pPr>
      <w:r>
        <w:rPr>
          <w:sz w:val="24"/>
          <w:szCs w:val="24"/>
        </w:rPr>
        <w:t>Estimated Award Date</w:t>
      </w:r>
      <w:r w:rsidR="00E97C0B">
        <w:rPr>
          <w:sz w:val="24"/>
          <w:szCs w:val="24"/>
        </w:rPr>
        <w:t>;</w:t>
      </w:r>
    </w:p>
    <w:p w14:paraId="43C18513" w14:textId="77777777" w:rsidR="00903E93" w:rsidRDefault="00372CEC">
      <w:pPr>
        <w:widowControl w:val="0"/>
        <w:numPr>
          <w:ilvl w:val="1"/>
          <w:numId w:val="2"/>
        </w:numPr>
        <w:spacing w:before="180"/>
        <w:contextualSpacing/>
        <w:rPr>
          <w:color w:val="000000"/>
          <w:sz w:val="24"/>
          <w:szCs w:val="24"/>
        </w:rPr>
      </w:pPr>
      <w:r>
        <w:rPr>
          <w:sz w:val="24"/>
          <w:szCs w:val="24"/>
        </w:rPr>
        <w:t xml:space="preserve">Length of Mobilisation Period </w:t>
      </w:r>
      <w:r w:rsidR="00E97C0B">
        <w:rPr>
          <w:sz w:val="24"/>
          <w:szCs w:val="24"/>
        </w:rPr>
        <w:t>; and</w:t>
      </w:r>
    </w:p>
    <w:p w14:paraId="721B0649" w14:textId="77777777" w:rsidR="00903E93" w:rsidRDefault="00372CEC">
      <w:pPr>
        <w:widowControl w:val="0"/>
        <w:numPr>
          <w:ilvl w:val="1"/>
          <w:numId w:val="2"/>
        </w:numPr>
        <w:spacing w:before="180"/>
        <w:contextualSpacing/>
        <w:rPr>
          <w:color w:val="000000"/>
          <w:sz w:val="24"/>
          <w:szCs w:val="24"/>
        </w:rPr>
      </w:pPr>
      <w:r>
        <w:rPr>
          <w:sz w:val="24"/>
          <w:szCs w:val="24"/>
        </w:rPr>
        <w:t>If an Inclusive Repair Threshold value is applicable</w:t>
      </w:r>
    </w:p>
    <w:p w14:paraId="11CD1D4D" w14:textId="77777777" w:rsidR="00903E93" w:rsidRDefault="00903E93">
      <w:pPr>
        <w:widowControl w:val="0"/>
        <w:rPr>
          <w:sz w:val="24"/>
          <w:szCs w:val="24"/>
        </w:rPr>
      </w:pPr>
    </w:p>
    <w:p w14:paraId="04E9D357" w14:textId="77777777" w:rsidR="00903E93" w:rsidRDefault="008E0351">
      <w:pPr>
        <w:widowControl w:val="0"/>
        <w:rPr>
          <w:b/>
          <w:sz w:val="24"/>
          <w:szCs w:val="24"/>
        </w:rPr>
      </w:pPr>
      <w:r>
        <w:rPr>
          <w:b/>
          <w:sz w:val="24"/>
          <w:szCs w:val="24"/>
        </w:rPr>
        <w:t>8</w:t>
      </w:r>
      <w:r w:rsidRPr="008E0351">
        <w:rPr>
          <w:b/>
          <w:sz w:val="24"/>
          <w:szCs w:val="24"/>
        </w:rPr>
        <w:t>. How to access Lot 2a, 2b and Lot 3</w:t>
      </w:r>
    </w:p>
    <w:p w14:paraId="195D6535" w14:textId="77777777" w:rsidR="008E0351" w:rsidRDefault="008E0351">
      <w:pPr>
        <w:widowControl w:val="0"/>
        <w:rPr>
          <w:b/>
          <w:sz w:val="24"/>
          <w:szCs w:val="24"/>
        </w:rPr>
      </w:pPr>
    </w:p>
    <w:p w14:paraId="2F00695D" w14:textId="5DD52E20" w:rsidR="008E0351" w:rsidRDefault="008E0351" w:rsidP="008E0351">
      <w:pPr>
        <w:widowControl w:val="0"/>
        <w:contextualSpacing/>
        <w:rPr>
          <w:b/>
          <w:sz w:val="24"/>
          <w:szCs w:val="24"/>
        </w:rPr>
      </w:pPr>
      <w:r>
        <w:rPr>
          <w:sz w:val="24"/>
          <w:szCs w:val="24"/>
        </w:rPr>
        <w:t xml:space="preserve">Buyers can access via an offline process that will follow the same principles from </w:t>
      </w:r>
      <w:r>
        <w:rPr>
          <w:b/>
          <w:sz w:val="24"/>
          <w:szCs w:val="24"/>
        </w:rPr>
        <w:t>Framework Schedule 7 (Lot 2a, 2b and 2c) - Call off Procedure and Award Criteria.</w:t>
      </w:r>
    </w:p>
    <w:p w14:paraId="3DD6D6B9" w14:textId="77777777" w:rsidR="008E0351" w:rsidRPr="008E0351" w:rsidRDefault="008E0351" w:rsidP="008E0351">
      <w:pPr>
        <w:widowControl w:val="0"/>
        <w:contextualSpacing/>
        <w:rPr>
          <w:color w:val="000000"/>
          <w:sz w:val="24"/>
          <w:szCs w:val="24"/>
        </w:rPr>
      </w:pPr>
    </w:p>
    <w:p w14:paraId="590B9917" w14:textId="77777777" w:rsidR="00155871" w:rsidRDefault="00155871" w:rsidP="00155871">
      <w:pPr>
        <w:widowControl w:val="0"/>
        <w:numPr>
          <w:ilvl w:val="0"/>
          <w:numId w:val="2"/>
        </w:numPr>
        <w:contextualSpacing/>
        <w:rPr>
          <w:color w:val="000000"/>
          <w:sz w:val="24"/>
          <w:szCs w:val="24"/>
        </w:rPr>
      </w:pPr>
      <w:r>
        <w:rPr>
          <w:sz w:val="24"/>
          <w:szCs w:val="24"/>
        </w:rPr>
        <w:t>The first step is for a Buyer to complete and return a</w:t>
      </w:r>
      <w:r>
        <w:rPr>
          <w:b/>
          <w:sz w:val="24"/>
          <w:szCs w:val="24"/>
        </w:rPr>
        <w:t xml:space="preserve"> </w:t>
      </w:r>
      <w:hyperlink r:id="rId14" w:history="1">
        <w:r w:rsidRPr="00F25AA0">
          <w:rPr>
            <w:rStyle w:val="Hyperlink"/>
            <w:b/>
            <w:sz w:val="24"/>
            <w:szCs w:val="24"/>
          </w:rPr>
          <w:t>Customer User Agreement (CUA)</w:t>
        </w:r>
      </w:hyperlink>
      <w:r>
        <w:rPr>
          <w:sz w:val="24"/>
          <w:szCs w:val="24"/>
        </w:rPr>
        <w:t xml:space="preserve"> to </w:t>
      </w:r>
      <w:hyperlink r:id="rId15">
        <w:r>
          <w:rPr>
            <w:color w:val="1155CC"/>
            <w:sz w:val="24"/>
            <w:szCs w:val="24"/>
            <w:u w:val="single"/>
          </w:rPr>
          <w:t>info@crowncommercial.gov.uk</w:t>
        </w:r>
      </w:hyperlink>
      <w:r>
        <w:rPr>
          <w:sz w:val="24"/>
          <w:szCs w:val="24"/>
        </w:rPr>
        <w:t xml:space="preserve"> </w:t>
      </w:r>
    </w:p>
    <w:p w14:paraId="2CFCF7AD" w14:textId="77777777" w:rsidR="00155871" w:rsidRDefault="00155871" w:rsidP="00155871">
      <w:pPr>
        <w:widowControl w:val="0"/>
        <w:spacing w:line="360" w:lineRule="auto"/>
        <w:ind w:left="720"/>
        <w:rPr>
          <w:sz w:val="24"/>
          <w:szCs w:val="24"/>
        </w:rPr>
      </w:pPr>
    </w:p>
    <w:p w14:paraId="7FB66609" w14:textId="40F1FA1E" w:rsidR="00155871" w:rsidRDefault="00155871" w:rsidP="00155871">
      <w:pPr>
        <w:widowControl w:val="0"/>
        <w:numPr>
          <w:ilvl w:val="0"/>
          <w:numId w:val="2"/>
        </w:numPr>
        <w:contextualSpacing/>
        <w:rPr>
          <w:sz w:val="24"/>
          <w:szCs w:val="24"/>
        </w:rPr>
      </w:pPr>
      <w:r>
        <w:rPr>
          <w:sz w:val="24"/>
          <w:szCs w:val="24"/>
        </w:rPr>
        <w:t>Once this is completed and returned Buyers will be provided with a unique reference number that must be used on all subsequent documentation with CCS and suppliers.</w:t>
      </w:r>
    </w:p>
    <w:p w14:paraId="2C2C90CF" w14:textId="77777777" w:rsidR="00155871" w:rsidRPr="00155871" w:rsidRDefault="00155871" w:rsidP="00155871">
      <w:pPr>
        <w:ind w:left="360"/>
        <w:rPr>
          <w:sz w:val="24"/>
          <w:szCs w:val="24"/>
        </w:rPr>
      </w:pPr>
    </w:p>
    <w:p w14:paraId="0A3B568D" w14:textId="69D30109" w:rsidR="00155871" w:rsidRPr="00235854" w:rsidRDefault="00155871" w:rsidP="00235854">
      <w:pPr>
        <w:widowControl w:val="0"/>
        <w:numPr>
          <w:ilvl w:val="0"/>
          <w:numId w:val="2"/>
        </w:numPr>
        <w:contextualSpacing/>
        <w:rPr>
          <w:sz w:val="24"/>
          <w:szCs w:val="24"/>
        </w:rPr>
      </w:pPr>
      <w:r>
        <w:rPr>
          <w:sz w:val="24"/>
          <w:szCs w:val="24"/>
        </w:rPr>
        <w:t>There are additional documents (Bid Pack, and Order Form) that will help you to conduct your Further Competition along with step by step guidance.</w:t>
      </w:r>
    </w:p>
    <w:p w14:paraId="009C58DF" w14:textId="77777777" w:rsidR="00155871" w:rsidRDefault="00155871" w:rsidP="00155871">
      <w:pPr>
        <w:widowControl w:val="0"/>
        <w:ind w:left="720"/>
        <w:rPr>
          <w:sz w:val="24"/>
          <w:szCs w:val="24"/>
        </w:rPr>
      </w:pPr>
    </w:p>
    <w:p w14:paraId="090A191D" w14:textId="77777777" w:rsidR="00155871" w:rsidRPr="008E0351" w:rsidRDefault="00155871" w:rsidP="00155871">
      <w:pPr>
        <w:widowControl w:val="0"/>
        <w:numPr>
          <w:ilvl w:val="0"/>
          <w:numId w:val="2"/>
        </w:numPr>
        <w:contextualSpacing/>
        <w:rPr>
          <w:sz w:val="24"/>
          <w:szCs w:val="24"/>
        </w:rPr>
      </w:pPr>
      <w:r>
        <w:rPr>
          <w:sz w:val="24"/>
          <w:szCs w:val="24"/>
        </w:rPr>
        <w:t xml:space="preserve">You then must provide CCS with a written confirmation of award details once the contract is in place.  A template is available in the documents section of the website.  This must be returned to </w:t>
      </w:r>
      <w:hyperlink r:id="rId16">
        <w:r>
          <w:rPr>
            <w:color w:val="1155CC"/>
            <w:sz w:val="24"/>
            <w:szCs w:val="24"/>
            <w:u w:val="single"/>
          </w:rPr>
          <w:t>info@crowncommercial.gov.uk</w:t>
        </w:r>
      </w:hyperlink>
      <w:r>
        <w:rPr>
          <w:sz w:val="24"/>
          <w:szCs w:val="24"/>
        </w:rPr>
        <w:t xml:space="preserve">. </w:t>
      </w:r>
    </w:p>
    <w:p w14:paraId="1E1524AC" w14:textId="77777777" w:rsidR="00155871" w:rsidRDefault="00155871" w:rsidP="00155871">
      <w:pPr>
        <w:widowControl w:val="0"/>
        <w:ind w:left="720"/>
        <w:contextualSpacing/>
        <w:rPr>
          <w:sz w:val="24"/>
          <w:szCs w:val="24"/>
        </w:rPr>
      </w:pPr>
    </w:p>
    <w:p w14:paraId="5ED59E6D" w14:textId="5FCC5DE5" w:rsidR="00155871" w:rsidRDefault="00155871" w:rsidP="00155871">
      <w:pPr>
        <w:rPr>
          <w:b/>
          <w:sz w:val="24"/>
          <w:szCs w:val="24"/>
        </w:rPr>
      </w:pPr>
      <w:proofErr w:type="gramStart"/>
      <w:r>
        <w:rPr>
          <w:b/>
          <w:sz w:val="24"/>
          <w:szCs w:val="24"/>
        </w:rPr>
        <w:t>9.What</w:t>
      </w:r>
      <w:proofErr w:type="gramEnd"/>
      <w:r>
        <w:rPr>
          <w:b/>
          <w:sz w:val="24"/>
          <w:szCs w:val="24"/>
        </w:rPr>
        <w:t xml:space="preserve"> is a Further Competition?</w:t>
      </w:r>
    </w:p>
    <w:p w14:paraId="442B9D28" w14:textId="77777777" w:rsidR="00155871" w:rsidRDefault="00155871" w:rsidP="00155871">
      <w:pPr>
        <w:rPr>
          <w:sz w:val="24"/>
          <w:szCs w:val="24"/>
        </w:rPr>
      </w:pPr>
    </w:p>
    <w:p w14:paraId="5838CE0A" w14:textId="77777777" w:rsidR="00155871" w:rsidRDefault="00155871" w:rsidP="00155871">
      <w:pPr>
        <w:numPr>
          <w:ilvl w:val="0"/>
          <w:numId w:val="4"/>
        </w:numPr>
        <w:contextualSpacing/>
        <w:rPr>
          <w:sz w:val="24"/>
          <w:szCs w:val="24"/>
        </w:rPr>
      </w:pPr>
      <w:r>
        <w:rPr>
          <w:sz w:val="24"/>
          <w:szCs w:val="24"/>
        </w:rPr>
        <w:t>A further competition is when the identified shortlisted suppliers who can meet a Buyer’s requirements compete against each other for the Buyer’s requirements.</w:t>
      </w:r>
    </w:p>
    <w:p w14:paraId="16452C8D" w14:textId="138BFABB" w:rsidR="00155871" w:rsidRDefault="00155871" w:rsidP="00155871">
      <w:pPr>
        <w:widowControl w:val="0"/>
        <w:numPr>
          <w:ilvl w:val="0"/>
          <w:numId w:val="4"/>
        </w:numPr>
        <w:contextualSpacing/>
        <w:rPr>
          <w:color w:val="595959"/>
          <w:sz w:val="24"/>
          <w:szCs w:val="24"/>
        </w:rPr>
      </w:pPr>
      <w:r>
        <w:rPr>
          <w:sz w:val="24"/>
          <w:szCs w:val="24"/>
        </w:rPr>
        <w:t>Buyer inputs provided in the CUA will help to create a “</w:t>
      </w:r>
      <w:r>
        <w:rPr>
          <w:b/>
          <w:sz w:val="24"/>
          <w:szCs w:val="24"/>
        </w:rPr>
        <w:t>Supplier Brief"</w:t>
      </w:r>
      <w:r w:rsidR="002814E1">
        <w:rPr>
          <w:b/>
          <w:sz w:val="24"/>
          <w:szCs w:val="24"/>
        </w:rPr>
        <w:t xml:space="preserve"> </w:t>
      </w:r>
      <w:r w:rsidR="002814E1" w:rsidRPr="002814E1">
        <w:rPr>
          <w:sz w:val="24"/>
          <w:szCs w:val="24"/>
        </w:rPr>
        <w:t>(for Lots 1a, 1b and 2c only)</w:t>
      </w:r>
      <w:r>
        <w:rPr>
          <w:b/>
          <w:sz w:val="24"/>
          <w:szCs w:val="24"/>
        </w:rPr>
        <w:t xml:space="preserve">.  </w:t>
      </w:r>
      <w:r>
        <w:rPr>
          <w:sz w:val="24"/>
          <w:szCs w:val="24"/>
        </w:rPr>
        <w:t>This is used to communicate to the suppliers details of the Buyer’s needs, and allows shortlisted suppliers to make an initial decision on whether they wish to proceed to the next stage (</w:t>
      </w:r>
      <w:r w:rsidRPr="00DE3D8E">
        <w:rPr>
          <w:sz w:val="24"/>
          <w:szCs w:val="24"/>
        </w:rPr>
        <w:t xml:space="preserve">. </w:t>
      </w:r>
      <w:r w:rsidRPr="00DE3D8E">
        <w:rPr>
          <w:b/>
          <w:sz w:val="24"/>
          <w:szCs w:val="24"/>
          <w:u w:val="single"/>
        </w:rPr>
        <w:t>Important Note</w:t>
      </w:r>
      <w:r w:rsidRPr="00DE3D8E">
        <w:rPr>
          <w:sz w:val="24"/>
          <w:szCs w:val="24"/>
        </w:rPr>
        <w:t xml:space="preserve">: If your requirements change (whether the services required or the number of buildings increases or decreases) between receiving the list of capable Suppliers from CCS and releasing your tender, you must inform CCS as Supplier down-selection </w:t>
      </w:r>
      <w:r w:rsidRPr="00DE3D8E">
        <w:rPr>
          <w:b/>
          <w:sz w:val="24"/>
          <w:szCs w:val="24"/>
        </w:rPr>
        <w:t>must</w:t>
      </w:r>
      <w:r w:rsidRPr="00DE3D8E">
        <w:rPr>
          <w:sz w:val="24"/>
          <w:szCs w:val="24"/>
        </w:rPr>
        <w:t xml:space="preserve"> be carried out again to ensure all eligible Suppliers are invited to tender</w:t>
      </w:r>
      <w:r>
        <w:rPr>
          <w:sz w:val="24"/>
          <w:szCs w:val="24"/>
        </w:rPr>
        <w:t>)</w:t>
      </w:r>
    </w:p>
    <w:p w14:paraId="76CAEBAB" w14:textId="77777777" w:rsidR="00155871" w:rsidRPr="00F25AA0" w:rsidRDefault="00155871" w:rsidP="00155871">
      <w:pPr>
        <w:numPr>
          <w:ilvl w:val="0"/>
          <w:numId w:val="4"/>
        </w:numPr>
        <w:contextualSpacing/>
        <w:rPr>
          <w:sz w:val="24"/>
          <w:szCs w:val="24"/>
        </w:rPr>
      </w:pPr>
      <w:r>
        <w:rPr>
          <w:sz w:val="24"/>
          <w:szCs w:val="24"/>
        </w:rPr>
        <w:t>Suppliers who wish to progress to the next stage are then invited to the further competition</w:t>
      </w:r>
    </w:p>
    <w:p w14:paraId="61C00624" w14:textId="77777777" w:rsidR="00155871" w:rsidRDefault="00155871" w:rsidP="00155871">
      <w:pPr>
        <w:numPr>
          <w:ilvl w:val="0"/>
          <w:numId w:val="4"/>
        </w:numPr>
        <w:contextualSpacing/>
        <w:rPr>
          <w:sz w:val="24"/>
          <w:szCs w:val="24"/>
        </w:rPr>
      </w:pPr>
      <w:r>
        <w:rPr>
          <w:sz w:val="24"/>
          <w:szCs w:val="24"/>
        </w:rPr>
        <w:t>Both price and quality is tested in the further competition.</w:t>
      </w:r>
    </w:p>
    <w:p w14:paraId="1EB87935" w14:textId="77777777" w:rsidR="00155871" w:rsidRDefault="00155871" w:rsidP="00155871">
      <w:pPr>
        <w:numPr>
          <w:ilvl w:val="0"/>
          <w:numId w:val="4"/>
        </w:numPr>
        <w:contextualSpacing/>
        <w:rPr>
          <w:sz w:val="24"/>
          <w:szCs w:val="24"/>
        </w:rPr>
      </w:pPr>
      <w:r>
        <w:rPr>
          <w:sz w:val="24"/>
          <w:szCs w:val="24"/>
        </w:rPr>
        <w:t>Benefits of a further competition are:</w:t>
      </w:r>
    </w:p>
    <w:p w14:paraId="260EAFD6" w14:textId="77777777" w:rsidR="00155871" w:rsidRDefault="00155871" w:rsidP="00155871">
      <w:pPr>
        <w:numPr>
          <w:ilvl w:val="1"/>
          <w:numId w:val="4"/>
        </w:numPr>
        <w:rPr>
          <w:sz w:val="24"/>
          <w:szCs w:val="24"/>
        </w:rPr>
      </w:pPr>
      <w:r>
        <w:rPr>
          <w:sz w:val="24"/>
          <w:szCs w:val="24"/>
        </w:rPr>
        <w:t xml:space="preserve">it enables supplementary terms and conditions to be incorporated into the call-off (to the extent permitted by the Procurement Contract Regulations 2015 </w:t>
      </w:r>
      <w:hyperlink r:id="rId17">
        <w:r>
          <w:rPr>
            <w:color w:val="1155CC"/>
            <w:sz w:val="24"/>
            <w:szCs w:val="24"/>
            <w:u w:val="single"/>
          </w:rPr>
          <w:t>https://www.gov.uk/guidance/public-sector-procurement-policy</w:t>
        </w:r>
      </w:hyperlink>
      <w:r>
        <w:rPr>
          <w:sz w:val="24"/>
          <w:szCs w:val="24"/>
        </w:rPr>
        <w:t>);</w:t>
      </w:r>
    </w:p>
    <w:p w14:paraId="1C7C6675" w14:textId="77777777" w:rsidR="00155871" w:rsidRDefault="00155871" w:rsidP="00155871">
      <w:pPr>
        <w:numPr>
          <w:ilvl w:val="1"/>
          <w:numId w:val="4"/>
        </w:numPr>
        <w:rPr>
          <w:sz w:val="24"/>
          <w:szCs w:val="24"/>
        </w:rPr>
      </w:pPr>
      <w:r>
        <w:rPr>
          <w:sz w:val="24"/>
          <w:szCs w:val="24"/>
        </w:rPr>
        <w:t>it enables a competitive environment for pricing and reduction on supplier's maximum framework rate;</w:t>
      </w:r>
    </w:p>
    <w:p w14:paraId="6B735571" w14:textId="77777777" w:rsidR="00155871" w:rsidRDefault="00155871" w:rsidP="00155871">
      <w:pPr>
        <w:numPr>
          <w:ilvl w:val="1"/>
          <w:numId w:val="4"/>
        </w:numPr>
        <w:rPr>
          <w:sz w:val="24"/>
          <w:szCs w:val="24"/>
        </w:rPr>
      </w:pPr>
      <w:r>
        <w:rPr>
          <w:sz w:val="24"/>
          <w:szCs w:val="24"/>
        </w:rPr>
        <w:t>it allows Buyers to be specific on the terms and conditions they chose for their contract; and</w:t>
      </w:r>
    </w:p>
    <w:p w14:paraId="42A1C012" w14:textId="77777777" w:rsidR="00155871" w:rsidRPr="008E0351" w:rsidRDefault="00155871" w:rsidP="00155871">
      <w:pPr>
        <w:numPr>
          <w:ilvl w:val="1"/>
          <w:numId w:val="4"/>
        </w:numPr>
        <w:rPr>
          <w:sz w:val="24"/>
          <w:szCs w:val="24"/>
        </w:rPr>
      </w:pPr>
      <w:proofErr w:type="gramStart"/>
      <w:r>
        <w:rPr>
          <w:sz w:val="24"/>
          <w:szCs w:val="24"/>
        </w:rPr>
        <w:t>it</w:t>
      </w:r>
      <w:proofErr w:type="gramEnd"/>
      <w:r>
        <w:rPr>
          <w:sz w:val="24"/>
          <w:szCs w:val="24"/>
        </w:rPr>
        <w:t xml:space="preserve"> enables Buyers specific social value requirements to be addressed and incorporated as KPIs.</w:t>
      </w:r>
    </w:p>
    <w:p w14:paraId="52523B4B" w14:textId="77777777" w:rsidR="00155871" w:rsidRDefault="00155871" w:rsidP="00155871">
      <w:pPr>
        <w:numPr>
          <w:ilvl w:val="0"/>
          <w:numId w:val="4"/>
        </w:numPr>
        <w:rPr>
          <w:sz w:val="24"/>
          <w:szCs w:val="24"/>
        </w:rPr>
      </w:pPr>
      <w:r>
        <w:rPr>
          <w:sz w:val="24"/>
          <w:szCs w:val="24"/>
        </w:rPr>
        <w:t xml:space="preserve">Buyers can also chose to compete price through using an Electronic Reverse Auction.  Please contact the team on </w:t>
      </w:r>
      <w:hyperlink r:id="rId18">
        <w:r>
          <w:rPr>
            <w:color w:val="1155CC"/>
            <w:sz w:val="24"/>
            <w:szCs w:val="24"/>
            <w:u w:val="single"/>
          </w:rPr>
          <w:t>eauctions@crowncommercial.gov.uk</w:t>
        </w:r>
      </w:hyperlink>
      <w:r>
        <w:rPr>
          <w:sz w:val="24"/>
          <w:szCs w:val="24"/>
        </w:rPr>
        <w:t xml:space="preserve">  should you wish to find out more about this option.</w:t>
      </w:r>
    </w:p>
    <w:p w14:paraId="0989BBAA" w14:textId="0AC2C5D7" w:rsidR="002814E1" w:rsidRDefault="00155871" w:rsidP="002814E1">
      <w:pPr>
        <w:numPr>
          <w:ilvl w:val="0"/>
          <w:numId w:val="4"/>
        </w:numPr>
        <w:contextualSpacing/>
        <w:rPr>
          <w:sz w:val="24"/>
          <w:szCs w:val="24"/>
        </w:rPr>
      </w:pPr>
      <w:r>
        <w:rPr>
          <w:sz w:val="24"/>
          <w:szCs w:val="24"/>
        </w:rPr>
        <w:t>The full award criteria can be found in</w:t>
      </w:r>
      <w:r w:rsidR="002814E1">
        <w:rPr>
          <w:sz w:val="24"/>
          <w:szCs w:val="24"/>
        </w:rPr>
        <w:t xml:space="preserve"> the relevant Framework Schedule 7:</w:t>
      </w:r>
    </w:p>
    <w:p w14:paraId="37B99466" w14:textId="30952C87" w:rsidR="00155871" w:rsidRDefault="00155871" w:rsidP="002814E1">
      <w:pPr>
        <w:ind w:left="720"/>
        <w:contextualSpacing/>
        <w:rPr>
          <w:sz w:val="24"/>
          <w:szCs w:val="24"/>
        </w:rPr>
      </w:pPr>
      <w:r w:rsidRPr="002814E1">
        <w:rPr>
          <w:sz w:val="24"/>
          <w:szCs w:val="24"/>
        </w:rPr>
        <w:t>Framework Schedule 7 – Call Off Procedure and Award Criteria,</w:t>
      </w:r>
      <w:r w:rsidR="002814E1" w:rsidRPr="002814E1">
        <w:rPr>
          <w:sz w:val="24"/>
          <w:szCs w:val="24"/>
        </w:rPr>
        <w:t xml:space="preserve"> (1a, 1b and 2c</w:t>
      </w:r>
      <w:proofErr w:type="gramStart"/>
      <w:r w:rsidR="002814E1" w:rsidRPr="002814E1">
        <w:rPr>
          <w:sz w:val="24"/>
          <w:szCs w:val="24"/>
        </w:rPr>
        <w:t xml:space="preserve">) </w:t>
      </w:r>
      <w:r w:rsidRPr="002814E1">
        <w:rPr>
          <w:sz w:val="24"/>
          <w:szCs w:val="24"/>
        </w:rPr>
        <w:t xml:space="preserve"> Part</w:t>
      </w:r>
      <w:proofErr w:type="gramEnd"/>
      <w:r w:rsidRPr="002814E1">
        <w:rPr>
          <w:sz w:val="24"/>
          <w:szCs w:val="24"/>
        </w:rPr>
        <w:t xml:space="preserve"> 2; Annex B</w:t>
      </w:r>
      <w:r w:rsidR="0027520E">
        <w:rPr>
          <w:sz w:val="24"/>
          <w:szCs w:val="24"/>
        </w:rPr>
        <w:t>; or</w:t>
      </w:r>
    </w:p>
    <w:p w14:paraId="54CE034B" w14:textId="5C052654" w:rsidR="002814E1" w:rsidRPr="002814E1" w:rsidRDefault="002814E1" w:rsidP="002814E1">
      <w:pPr>
        <w:ind w:left="720"/>
        <w:contextualSpacing/>
        <w:rPr>
          <w:sz w:val="24"/>
          <w:szCs w:val="24"/>
        </w:rPr>
      </w:pPr>
      <w:r w:rsidRPr="002814E1">
        <w:rPr>
          <w:sz w:val="24"/>
          <w:szCs w:val="24"/>
        </w:rPr>
        <w:t>Framework Schedule 7 – Call Off Procedure and Award Criteria,</w:t>
      </w:r>
      <w:r>
        <w:rPr>
          <w:sz w:val="24"/>
          <w:szCs w:val="24"/>
        </w:rPr>
        <w:t xml:space="preserve"> (2a, 2b and 3</w:t>
      </w:r>
      <w:proofErr w:type="gramStart"/>
      <w:r w:rsidRPr="002814E1">
        <w:rPr>
          <w:sz w:val="24"/>
          <w:szCs w:val="24"/>
        </w:rPr>
        <w:t>)  Part</w:t>
      </w:r>
      <w:proofErr w:type="gramEnd"/>
      <w:r w:rsidRPr="002814E1">
        <w:rPr>
          <w:sz w:val="24"/>
          <w:szCs w:val="24"/>
        </w:rPr>
        <w:t xml:space="preserve"> 2; Annex B</w:t>
      </w:r>
    </w:p>
    <w:p w14:paraId="2976FCD3" w14:textId="77777777" w:rsidR="002814E1" w:rsidRPr="002814E1" w:rsidRDefault="002814E1" w:rsidP="002814E1">
      <w:pPr>
        <w:ind w:left="720"/>
        <w:contextualSpacing/>
        <w:rPr>
          <w:sz w:val="24"/>
          <w:szCs w:val="24"/>
        </w:rPr>
      </w:pPr>
    </w:p>
    <w:p w14:paraId="51641560" w14:textId="531086DE" w:rsidR="008E0351" w:rsidRPr="0032007E" w:rsidRDefault="00155871" w:rsidP="0032007E">
      <w:pPr>
        <w:numPr>
          <w:ilvl w:val="0"/>
          <w:numId w:val="4"/>
        </w:numPr>
        <w:contextualSpacing/>
        <w:rPr>
          <w:sz w:val="24"/>
          <w:szCs w:val="24"/>
        </w:rPr>
      </w:pPr>
      <w:r>
        <w:rPr>
          <w:sz w:val="24"/>
          <w:szCs w:val="24"/>
        </w:rPr>
        <w:t xml:space="preserve">If you would like more information on the further competition process please contact one of the team to discuss </w:t>
      </w:r>
    </w:p>
    <w:p w14:paraId="0794F432" w14:textId="77777777" w:rsidR="00903E93" w:rsidRDefault="00903E93">
      <w:pPr>
        <w:widowControl w:val="0"/>
        <w:rPr>
          <w:sz w:val="24"/>
          <w:szCs w:val="24"/>
        </w:rPr>
      </w:pPr>
    </w:p>
    <w:p w14:paraId="7868E05A" w14:textId="6861941B" w:rsidR="00903E93" w:rsidRDefault="00155871">
      <w:pPr>
        <w:widowControl w:val="0"/>
        <w:rPr>
          <w:b/>
          <w:sz w:val="24"/>
          <w:szCs w:val="24"/>
        </w:rPr>
      </w:pPr>
      <w:r>
        <w:rPr>
          <w:b/>
          <w:sz w:val="24"/>
          <w:szCs w:val="24"/>
        </w:rPr>
        <w:t>10</w:t>
      </w:r>
      <w:r w:rsidR="00372CEC">
        <w:rPr>
          <w:b/>
          <w:sz w:val="24"/>
          <w:szCs w:val="24"/>
        </w:rPr>
        <w:t>. Estates information</w:t>
      </w:r>
    </w:p>
    <w:p w14:paraId="6A73D3C1" w14:textId="77777777" w:rsidR="00903E93" w:rsidRDefault="00903E93">
      <w:pPr>
        <w:widowControl w:val="0"/>
        <w:rPr>
          <w:sz w:val="24"/>
          <w:szCs w:val="24"/>
        </w:rPr>
      </w:pPr>
    </w:p>
    <w:p w14:paraId="247E6D3F" w14:textId="543DEC30" w:rsidR="00903E93" w:rsidRPr="0032007E" w:rsidRDefault="00372CEC" w:rsidP="0032007E">
      <w:pPr>
        <w:widowControl w:val="0"/>
        <w:rPr>
          <w:sz w:val="24"/>
          <w:szCs w:val="24"/>
        </w:rPr>
      </w:pPr>
      <w:r>
        <w:rPr>
          <w:sz w:val="24"/>
          <w:szCs w:val="24"/>
        </w:rPr>
        <w:t xml:space="preserve">Buyers are required to provide their estate information to build their Supplier Brief and subsequent tender documentation, to enable a price to be established.  If you need help understanding your assets and estate, CCS have an </w:t>
      </w:r>
      <w:hyperlink r:id="rId19">
        <w:r>
          <w:rPr>
            <w:color w:val="1155CC"/>
            <w:sz w:val="24"/>
            <w:szCs w:val="24"/>
            <w:u w:val="single"/>
          </w:rPr>
          <w:t xml:space="preserve">Estates Professional Services </w:t>
        </w:r>
        <w:r w:rsidR="00E97C0B">
          <w:rPr>
            <w:color w:val="1155CC"/>
            <w:sz w:val="24"/>
            <w:szCs w:val="24"/>
            <w:u w:val="single"/>
          </w:rPr>
          <w:t xml:space="preserve">framework </w:t>
        </w:r>
        <w:r>
          <w:rPr>
            <w:color w:val="1155CC"/>
            <w:sz w:val="24"/>
            <w:szCs w:val="24"/>
            <w:u w:val="single"/>
          </w:rPr>
          <w:t>agreement (RM3816)</w:t>
        </w:r>
      </w:hyperlink>
      <w:r>
        <w:rPr>
          <w:sz w:val="24"/>
          <w:szCs w:val="24"/>
        </w:rPr>
        <w:t xml:space="preserve"> that </w:t>
      </w:r>
      <w:r w:rsidR="00E97C0B">
        <w:rPr>
          <w:sz w:val="24"/>
          <w:szCs w:val="24"/>
        </w:rPr>
        <w:t>provides</w:t>
      </w:r>
      <w:r>
        <w:rPr>
          <w:sz w:val="24"/>
          <w:szCs w:val="24"/>
        </w:rPr>
        <w:t xml:space="preserve"> services in Lot 4 that could assist</w:t>
      </w:r>
      <w:r w:rsidR="00E97C0B">
        <w:rPr>
          <w:sz w:val="24"/>
          <w:szCs w:val="24"/>
        </w:rPr>
        <w:t xml:space="preserve"> you in gaining this information</w:t>
      </w:r>
      <w:r>
        <w:rPr>
          <w:sz w:val="24"/>
          <w:szCs w:val="24"/>
        </w:rPr>
        <w:t xml:space="preserve">. </w:t>
      </w:r>
    </w:p>
    <w:p w14:paraId="2131DDA9" w14:textId="77777777" w:rsidR="00903E93" w:rsidRDefault="00903E93">
      <w:pPr>
        <w:rPr>
          <w:b/>
          <w:sz w:val="24"/>
          <w:szCs w:val="24"/>
        </w:rPr>
      </w:pPr>
    </w:p>
    <w:p w14:paraId="111152B9" w14:textId="656ABCAD" w:rsidR="00903E93" w:rsidRDefault="00155871">
      <w:pPr>
        <w:spacing w:after="200"/>
        <w:rPr>
          <w:b/>
          <w:sz w:val="24"/>
          <w:szCs w:val="24"/>
          <w:highlight w:val="white"/>
        </w:rPr>
      </w:pPr>
      <w:r>
        <w:rPr>
          <w:b/>
          <w:sz w:val="24"/>
          <w:szCs w:val="24"/>
          <w:highlight w:val="white"/>
        </w:rPr>
        <w:t>11</w:t>
      </w:r>
      <w:r w:rsidR="00372CEC">
        <w:rPr>
          <w:b/>
          <w:sz w:val="24"/>
          <w:szCs w:val="24"/>
          <w:highlight w:val="white"/>
        </w:rPr>
        <w:t>. Terms and conditions</w:t>
      </w:r>
    </w:p>
    <w:p w14:paraId="609F2AC4" w14:textId="26ED4B70" w:rsidR="00903E93" w:rsidRDefault="00372CEC">
      <w:pPr>
        <w:rPr>
          <w:b/>
          <w:sz w:val="24"/>
          <w:szCs w:val="24"/>
        </w:rPr>
      </w:pPr>
      <w:r>
        <w:rPr>
          <w:b/>
          <w:sz w:val="24"/>
          <w:szCs w:val="24"/>
        </w:rPr>
        <w:t xml:space="preserve">The </w:t>
      </w:r>
      <w:r w:rsidR="00E97C0B">
        <w:rPr>
          <w:b/>
          <w:sz w:val="24"/>
          <w:szCs w:val="24"/>
        </w:rPr>
        <w:t>C</w:t>
      </w:r>
      <w:r>
        <w:rPr>
          <w:b/>
          <w:sz w:val="24"/>
          <w:szCs w:val="24"/>
        </w:rPr>
        <w:t>all</w:t>
      </w:r>
      <w:r w:rsidR="00E97C0B">
        <w:rPr>
          <w:b/>
          <w:sz w:val="24"/>
          <w:szCs w:val="24"/>
        </w:rPr>
        <w:t xml:space="preserve"> </w:t>
      </w:r>
      <w:proofErr w:type="gramStart"/>
      <w:r w:rsidR="00E97C0B">
        <w:rPr>
          <w:b/>
          <w:sz w:val="24"/>
          <w:szCs w:val="24"/>
        </w:rPr>
        <w:t>O</w:t>
      </w:r>
      <w:r>
        <w:rPr>
          <w:b/>
          <w:sz w:val="24"/>
          <w:szCs w:val="24"/>
        </w:rPr>
        <w:t>ff</w:t>
      </w:r>
      <w:proofErr w:type="gramEnd"/>
      <w:r>
        <w:rPr>
          <w:b/>
          <w:sz w:val="24"/>
          <w:szCs w:val="24"/>
        </w:rPr>
        <w:t xml:space="preserve"> </w:t>
      </w:r>
      <w:r w:rsidR="00E97C0B">
        <w:rPr>
          <w:b/>
          <w:sz w:val="24"/>
          <w:szCs w:val="24"/>
        </w:rPr>
        <w:t>C</w:t>
      </w:r>
      <w:r>
        <w:rPr>
          <w:b/>
          <w:sz w:val="24"/>
          <w:szCs w:val="24"/>
        </w:rPr>
        <w:t xml:space="preserve">ontract </w:t>
      </w:r>
    </w:p>
    <w:p w14:paraId="55389DCF" w14:textId="4EB983AB" w:rsidR="00903E93" w:rsidRDefault="00372CEC">
      <w:pPr>
        <w:rPr>
          <w:sz w:val="24"/>
          <w:szCs w:val="24"/>
        </w:rPr>
      </w:pPr>
      <w:r>
        <w:rPr>
          <w:sz w:val="24"/>
          <w:szCs w:val="24"/>
        </w:rPr>
        <w:t xml:space="preserve">The </w:t>
      </w:r>
      <w:r w:rsidR="00E97C0B">
        <w:rPr>
          <w:sz w:val="24"/>
          <w:szCs w:val="24"/>
        </w:rPr>
        <w:t>C</w:t>
      </w:r>
      <w:r>
        <w:rPr>
          <w:sz w:val="24"/>
          <w:szCs w:val="24"/>
        </w:rPr>
        <w:t>all</w:t>
      </w:r>
      <w:r w:rsidR="00E97C0B">
        <w:rPr>
          <w:sz w:val="24"/>
          <w:szCs w:val="24"/>
        </w:rPr>
        <w:t xml:space="preserve"> </w:t>
      </w:r>
      <w:proofErr w:type="gramStart"/>
      <w:r w:rsidR="00E97C0B">
        <w:rPr>
          <w:sz w:val="24"/>
          <w:szCs w:val="24"/>
        </w:rPr>
        <w:t>O</w:t>
      </w:r>
      <w:r>
        <w:rPr>
          <w:sz w:val="24"/>
          <w:szCs w:val="24"/>
        </w:rPr>
        <w:t>ff</w:t>
      </w:r>
      <w:proofErr w:type="gramEnd"/>
      <w:r>
        <w:rPr>
          <w:sz w:val="24"/>
          <w:szCs w:val="24"/>
        </w:rPr>
        <w:t xml:space="preserve"> </w:t>
      </w:r>
      <w:r w:rsidR="00E97C0B">
        <w:rPr>
          <w:sz w:val="24"/>
          <w:szCs w:val="24"/>
        </w:rPr>
        <w:t>C</w:t>
      </w:r>
      <w:r>
        <w:rPr>
          <w:sz w:val="24"/>
          <w:szCs w:val="24"/>
        </w:rPr>
        <w:t>ontract is an agreement between the buyer and supplier and governs the purchase and delivery of the services. It is entered into once the order has been placed (i.e. at the end of a Further Competition</w:t>
      </w:r>
      <w:r w:rsidR="008E0351">
        <w:rPr>
          <w:sz w:val="24"/>
          <w:szCs w:val="24"/>
        </w:rPr>
        <w:t xml:space="preserve">). </w:t>
      </w:r>
      <w:r>
        <w:rPr>
          <w:sz w:val="24"/>
          <w:szCs w:val="24"/>
        </w:rPr>
        <w:t xml:space="preserve">The </w:t>
      </w:r>
      <w:r w:rsidR="00E97C0B">
        <w:rPr>
          <w:sz w:val="24"/>
          <w:szCs w:val="24"/>
        </w:rPr>
        <w:t>C</w:t>
      </w:r>
      <w:r>
        <w:rPr>
          <w:sz w:val="24"/>
          <w:szCs w:val="24"/>
        </w:rPr>
        <w:t xml:space="preserve">all </w:t>
      </w:r>
      <w:proofErr w:type="gramStart"/>
      <w:r w:rsidR="00E97C0B">
        <w:rPr>
          <w:sz w:val="24"/>
          <w:szCs w:val="24"/>
        </w:rPr>
        <w:t>O</w:t>
      </w:r>
      <w:r>
        <w:rPr>
          <w:sz w:val="24"/>
          <w:szCs w:val="24"/>
        </w:rPr>
        <w:t>ff</w:t>
      </w:r>
      <w:proofErr w:type="gramEnd"/>
      <w:r>
        <w:rPr>
          <w:sz w:val="24"/>
          <w:szCs w:val="24"/>
        </w:rPr>
        <w:t xml:space="preserve"> </w:t>
      </w:r>
      <w:r w:rsidR="00E97C0B">
        <w:rPr>
          <w:sz w:val="24"/>
          <w:szCs w:val="24"/>
        </w:rPr>
        <w:t>C</w:t>
      </w:r>
      <w:r>
        <w:rPr>
          <w:sz w:val="24"/>
          <w:szCs w:val="24"/>
        </w:rPr>
        <w:t>ontract will be created using CCS standard T</w:t>
      </w:r>
      <w:r w:rsidR="00E97C0B">
        <w:rPr>
          <w:sz w:val="24"/>
          <w:szCs w:val="24"/>
        </w:rPr>
        <w:t>erms and Conditions.</w:t>
      </w:r>
      <w:r>
        <w:rPr>
          <w:sz w:val="24"/>
          <w:szCs w:val="24"/>
        </w:rPr>
        <w:t xml:space="preserve"> </w:t>
      </w:r>
    </w:p>
    <w:p w14:paraId="08CA98FA" w14:textId="59A54E6E" w:rsidR="00903E93" w:rsidRDefault="00903E93">
      <w:pPr>
        <w:rPr>
          <w:color w:val="222222"/>
          <w:sz w:val="24"/>
          <w:szCs w:val="24"/>
        </w:rPr>
      </w:pPr>
    </w:p>
    <w:p w14:paraId="5F5B6AC3" w14:textId="7462610F" w:rsidR="00903E93" w:rsidRDefault="00155871">
      <w:pPr>
        <w:rPr>
          <w:b/>
          <w:sz w:val="24"/>
          <w:szCs w:val="24"/>
        </w:rPr>
      </w:pPr>
      <w:r>
        <w:rPr>
          <w:b/>
          <w:sz w:val="24"/>
          <w:szCs w:val="24"/>
        </w:rPr>
        <w:t>12</w:t>
      </w:r>
      <w:r w:rsidR="00372CEC">
        <w:rPr>
          <w:b/>
          <w:sz w:val="24"/>
          <w:szCs w:val="24"/>
        </w:rPr>
        <w:t xml:space="preserve"> Cabinet Office Controls</w:t>
      </w:r>
    </w:p>
    <w:p w14:paraId="511BA0AB" w14:textId="77777777" w:rsidR="00903E93" w:rsidRDefault="00903E93">
      <w:pPr>
        <w:rPr>
          <w:sz w:val="24"/>
          <w:szCs w:val="24"/>
        </w:rPr>
      </w:pPr>
    </w:p>
    <w:p w14:paraId="2BEF9431" w14:textId="3DFD2019" w:rsidR="00903E93" w:rsidRDefault="00E97C0B">
      <w:pPr>
        <w:rPr>
          <w:color w:val="222222"/>
          <w:sz w:val="24"/>
          <w:szCs w:val="24"/>
        </w:rPr>
      </w:pPr>
      <w:r>
        <w:rPr>
          <w:sz w:val="24"/>
          <w:szCs w:val="24"/>
        </w:rPr>
        <w:t xml:space="preserve">Central Government customers under </w:t>
      </w:r>
      <w:r w:rsidR="00372CEC">
        <w:rPr>
          <w:sz w:val="24"/>
          <w:szCs w:val="24"/>
        </w:rPr>
        <w:t xml:space="preserve">Cabinet Office Spending Controls (including </w:t>
      </w:r>
      <w:proofErr w:type="spellStart"/>
      <w:r w:rsidR="00372CEC">
        <w:rPr>
          <w:sz w:val="24"/>
          <w:szCs w:val="24"/>
        </w:rPr>
        <w:t>Arms Length</w:t>
      </w:r>
      <w:proofErr w:type="spellEnd"/>
      <w:r w:rsidR="00372CEC">
        <w:rPr>
          <w:sz w:val="24"/>
          <w:szCs w:val="24"/>
        </w:rPr>
        <w:t xml:space="preserve"> Bodies) are required to adhere to the Cabinet Office Spending Controls </w:t>
      </w:r>
      <w:r>
        <w:rPr>
          <w:sz w:val="24"/>
          <w:szCs w:val="24"/>
        </w:rPr>
        <w:t xml:space="preserve">processes </w:t>
      </w:r>
      <w:r w:rsidR="00372CEC">
        <w:rPr>
          <w:sz w:val="24"/>
          <w:szCs w:val="24"/>
        </w:rPr>
        <w:t xml:space="preserve">when buying common goods and services. One of the categories within controls scope is Consultancy and Facilities Management. Therefore, please refer to the guidance via the attached link to find out whether your procurement requires pre-approval via the controls process. </w:t>
      </w:r>
      <w:hyperlink r:id="rId20">
        <w:r w:rsidR="00372CEC">
          <w:rPr>
            <w:color w:val="1155CC"/>
            <w:sz w:val="24"/>
            <w:szCs w:val="24"/>
            <w:u w:val="single"/>
          </w:rPr>
          <w:t>https://www.gov.uk/government/publications/cabinet-office-controls</w:t>
        </w:r>
      </w:hyperlink>
    </w:p>
    <w:p w14:paraId="2114EE00" w14:textId="77777777" w:rsidR="00903E93" w:rsidRDefault="00903E93">
      <w:pPr>
        <w:rPr>
          <w:b/>
          <w:color w:val="222222"/>
          <w:sz w:val="24"/>
          <w:szCs w:val="24"/>
          <w:shd w:val="clear" w:color="auto" w:fill="FF9900"/>
        </w:rPr>
      </w:pPr>
    </w:p>
    <w:p w14:paraId="3AFB3371" w14:textId="74E8D370" w:rsidR="00903E93" w:rsidRDefault="00155871">
      <w:pPr>
        <w:rPr>
          <w:b/>
          <w:sz w:val="24"/>
          <w:szCs w:val="24"/>
          <w:highlight w:val="white"/>
        </w:rPr>
      </w:pPr>
      <w:r>
        <w:rPr>
          <w:b/>
          <w:sz w:val="24"/>
          <w:szCs w:val="24"/>
          <w:highlight w:val="white"/>
        </w:rPr>
        <w:t>13</w:t>
      </w:r>
      <w:r w:rsidR="00372CEC">
        <w:rPr>
          <w:b/>
          <w:sz w:val="24"/>
          <w:szCs w:val="24"/>
          <w:highlight w:val="white"/>
        </w:rPr>
        <w:t>. Contact Details</w:t>
      </w:r>
    </w:p>
    <w:p w14:paraId="51F14DCB" w14:textId="77777777" w:rsidR="00903E93" w:rsidRDefault="00903E93">
      <w:pPr>
        <w:rPr>
          <w:sz w:val="24"/>
          <w:szCs w:val="24"/>
          <w:highlight w:val="white"/>
        </w:rPr>
      </w:pPr>
    </w:p>
    <w:p w14:paraId="3142331F" w14:textId="77777777" w:rsidR="00903E93" w:rsidRDefault="00372CEC">
      <w:pPr>
        <w:rPr>
          <w:b/>
          <w:sz w:val="24"/>
          <w:szCs w:val="24"/>
          <w:highlight w:val="white"/>
        </w:rPr>
      </w:pPr>
      <w:r>
        <w:rPr>
          <w:b/>
          <w:sz w:val="24"/>
          <w:szCs w:val="24"/>
          <w:highlight w:val="white"/>
        </w:rPr>
        <w:t>Help and advice</w:t>
      </w:r>
    </w:p>
    <w:p w14:paraId="53B005F3" w14:textId="77777777" w:rsidR="00903E93" w:rsidRDefault="00372CEC">
      <w:pPr>
        <w:rPr>
          <w:sz w:val="24"/>
          <w:szCs w:val="24"/>
        </w:rPr>
      </w:pPr>
      <w:r>
        <w:rPr>
          <w:sz w:val="24"/>
          <w:szCs w:val="24"/>
        </w:rPr>
        <w:t xml:space="preserve">If you would like help deciding which service or buying option will best meet your specific needs please get in touch with our category experts via our </w:t>
      </w:r>
      <w:hyperlink r:id="rId21">
        <w:r>
          <w:rPr>
            <w:color w:val="1155CC"/>
            <w:sz w:val="24"/>
            <w:szCs w:val="24"/>
            <w:u w:val="single"/>
          </w:rPr>
          <w:t>contact form</w:t>
        </w:r>
      </w:hyperlink>
      <w:r>
        <w:rPr>
          <w:sz w:val="24"/>
          <w:szCs w:val="24"/>
        </w:rPr>
        <w:t>.</w:t>
      </w:r>
    </w:p>
    <w:p w14:paraId="22E12561" w14:textId="77777777" w:rsidR="00903E93" w:rsidRDefault="00903E93">
      <w:pPr>
        <w:rPr>
          <w:sz w:val="24"/>
          <w:szCs w:val="24"/>
        </w:rPr>
      </w:pPr>
    </w:p>
    <w:p w14:paraId="3263B582" w14:textId="77777777" w:rsidR="00903E93" w:rsidRDefault="00372CEC">
      <w:pPr>
        <w:numPr>
          <w:ilvl w:val="0"/>
          <w:numId w:val="8"/>
        </w:numPr>
        <w:contextualSpacing/>
        <w:rPr>
          <w:sz w:val="24"/>
          <w:szCs w:val="24"/>
        </w:rPr>
      </w:pPr>
      <w:r>
        <w:rPr>
          <w:sz w:val="24"/>
          <w:szCs w:val="24"/>
        </w:rPr>
        <w:t>Alternatively, you can give us a call on 0345 410 2222</w:t>
      </w:r>
    </w:p>
    <w:p w14:paraId="363709B4" w14:textId="77777777" w:rsidR="00903E93" w:rsidRDefault="00903E93">
      <w:pPr>
        <w:rPr>
          <w:sz w:val="24"/>
          <w:szCs w:val="24"/>
        </w:rPr>
      </w:pPr>
    </w:p>
    <w:p w14:paraId="787C112F" w14:textId="77777777" w:rsidR="00903E93" w:rsidRDefault="00372CEC">
      <w:pPr>
        <w:rPr>
          <w:sz w:val="24"/>
          <w:szCs w:val="24"/>
        </w:rPr>
      </w:pPr>
      <w:r>
        <w:rPr>
          <w:sz w:val="24"/>
          <w:szCs w:val="24"/>
        </w:rPr>
        <w:t>You can also visit our website to learn more about our full range of commercial deals and latest offers.</w:t>
      </w:r>
    </w:p>
    <w:p w14:paraId="4AAC2D43" w14:textId="77777777" w:rsidR="00903E93" w:rsidRDefault="00903E93">
      <w:pPr>
        <w:rPr>
          <w:sz w:val="24"/>
          <w:szCs w:val="24"/>
        </w:rPr>
      </w:pPr>
    </w:p>
    <w:p w14:paraId="4A51407A" w14:textId="77777777" w:rsidR="00903E93" w:rsidRDefault="00372CEC">
      <w:pPr>
        <w:rPr>
          <w:sz w:val="24"/>
          <w:szCs w:val="24"/>
        </w:rPr>
      </w:pPr>
      <w:r>
        <w:rPr>
          <w:sz w:val="24"/>
          <w:szCs w:val="24"/>
        </w:rPr>
        <w:t>Stay up to date with our latest updates by following us on social media:</w:t>
      </w:r>
    </w:p>
    <w:p w14:paraId="2A2359B2" w14:textId="77777777" w:rsidR="00903E93" w:rsidRDefault="00F4044F">
      <w:hyperlink r:id="rId22">
        <w:r w:rsidR="00372CEC">
          <w:rPr>
            <w:noProof/>
            <w:color w:val="1155CC"/>
            <w:u w:val="single"/>
          </w:rPr>
          <w:drawing>
            <wp:inline distT="114300" distB="114300" distL="114300" distR="114300" wp14:anchorId="0856E07A" wp14:editId="07EE688A">
              <wp:extent cx="328613" cy="32861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328613" cy="328613"/>
                      </a:xfrm>
                      <a:prstGeom prst="rect">
                        <a:avLst/>
                      </a:prstGeom>
                      <a:ln/>
                    </pic:spPr>
                  </pic:pic>
                </a:graphicData>
              </a:graphic>
            </wp:inline>
          </w:drawing>
        </w:r>
      </w:hyperlink>
      <w:hyperlink r:id="rId24">
        <w:r w:rsidR="00372CEC">
          <w:rPr>
            <w:color w:val="1155CC"/>
            <w:u w:val="single"/>
          </w:rPr>
          <w:t>@</w:t>
        </w:r>
        <w:proofErr w:type="spellStart"/>
        <w:r w:rsidR="00372CEC">
          <w:rPr>
            <w:color w:val="1155CC"/>
            <w:u w:val="single"/>
          </w:rPr>
          <w:t>gov_procurement</w:t>
        </w:r>
        <w:proofErr w:type="spellEnd"/>
        <w:r w:rsidR="00372CEC">
          <w:rPr>
            <w:color w:val="1155CC"/>
            <w:u w:val="single"/>
          </w:rPr>
          <w:t xml:space="preserve">  </w:t>
        </w:r>
      </w:hyperlink>
      <w:r w:rsidR="00372CEC">
        <w:t xml:space="preserve">       </w:t>
      </w:r>
    </w:p>
    <w:p w14:paraId="2934BF2F" w14:textId="77777777" w:rsidR="00903E93" w:rsidRDefault="00372CEC">
      <w:r>
        <w:lastRenderedPageBreak/>
        <w:t xml:space="preserve"> </w:t>
      </w:r>
      <w:hyperlink r:id="rId25">
        <w:r>
          <w:rPr>
            <w:noProof/>
            <w:color w:val="1155CC"/>
            <w:u w:val="single"/>
          </w:rPr>
          <w:drawing>
            <wp:inline distT="114300" distB="114300" distL="114300" distR="114300" wp14:anchorId="602D1CCB" wp14:editId="3DB68D75">
              <wp:extent cx="347663" cy="34766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347663" cy="347663"/>
                      </a:xfrm>
                      <a:prstGeom prst="rect">
                        <a:avLst/>
                      </a:prstGeom>
                      <a:ln/>
                    </pic:spPr>
                  </pic:pic>
                </a:graphicData>
              </a:graphic>
            </wp:inline>
          </w:drawing>
        </w:r>
      </w:hyperlink>
      <w:hyperlink r:id="rId27">
        <w:r>
          <w:rPr>
            <w:color w:val="1155CC"/>
            <w:u w:val="single"/>
          </w:rPr>
          <w:t>Crown Commercial Service</w:t>
        </w:r>
      </w:hyperlink>
    </w:p>
    <w:sectPr w:rsidR="00903E93">
      <w:footerReference w:type="default" r:id="rId28"/>
      <w:pgSz w:w="11906" w:h="16838"/>
      <w:pgMar w:top="1440" w:right="1287" w:bottom="144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BE80" w14:textId="77777777" w:rsidR="00F4044F" w:rsidRDefault="00F4044F">
      <w:pPr>
        <w:spacing w:line="240" w:lineRule="auto"/>
      </w:pPr>
      <w:r>
        <w:separator/>
      </w:r>
    </w:p>
  </w:endnote>
  <w:endnote w:type="continuationSeparator" w:id="0">
    <w:p w14:paraId="20E13293" w14:textId="77777777" w:rsidR="00F4044F" w:rsidRDefault="00F4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E263" w14:textId="77777777" w:rsidR="00155871" w:rsidRDefault="001558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E57E" w14:textId="77777777" w:rsidR="00F4044F" w:rsidRDefault="00F4044F">
      <w:pPr>
        <w:spacing w:line="240" w:lineRule="auto"/>
      </w:pPr>
      <w:r>
        <w:separator/>
      </w:r>
    </w:p>
  </w:footnote>
  <w:footnote w:type="continuationSeparator" w:id="0">
    <w:p w14:paraId="329C1498" w14:textId="77777777" w:rsidR="00F4044F" w:rsidRDefault="00F404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93"/>
    <w:multiLevelType w:val="multilevel"/>
    <w:tmpl w:val="C1FEC526"/>
    <w:lvl w:ilvl="0">
      <w:start w:val="1"/>
      <w:numFmt w:val="bullet"/>
      <w:lvlText w:val="●"/>
      <w:lvlJc w:val="right"/>
      <w:pPr>
        <w:ind w:left="720" w:hanging="360"/>
      </w:pPr>
      <w:rPr>
        <w:rFonts w:ascii="Arial" w:eastAsia="Arial" w:hAnsi="Arial" w:cs="Arial"/>
        <w:b w:val="0"/>
        <w:i w:val="0"/>
        <w:smallCaps w:val="0"/>
        <w:strike w:val="0"/>
        <w:color w:val="595959"/>
        <w:sz w:val="32"/>
        <w:szCs w:val="3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175A17FB"/>
    <w:multiLevelType w:val="hybridMultilevel"/>
    <w:tmpl w:val="71BEF44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C79090A"/>
    <w:multiLevelType w:val="multilevel"/>
    <w:tmpl w:val="01F8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80DEB"/>
    <w:multiLevelType w:val="multilevel"/>
    <w:tmpl w:val="52F29D58"/>
    <w:lvl w:ilvl="0">
      <w:start w:val="1"/>
      <w:numFmt w:val="bullet"/>
      <w:lvlText w:val="●"/>
      <w:lvlJc w:val="right"/>
      <w:pPr>
        <w:ind w:left="720" w:hanging="360"/>
      </w:pPr>
      <w:rPr>
        <w:rFonts w:ascii="Arial" w:eastAsia="Arial" w:hAnsi="Arial" w:cs="Arial"/>
        <w:b w:val="0"/>
        <w:i w:val="0"/>
        <w:smallCaps w:val="0"/>
        <w:strike w:val="0"/>
        <w:color w:val="595959"/>
        <w:sz w:val="32"/>
        <w:szCs w:val="3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4" w15:restartNumberingAfterBreak="0">
    <w:nsid w:val="4E9740F5"/>
    <w:multiLevelType w:val="hybridMultilevel"/>
    <w:tmpl w:val="8FC60AE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4EEB5EF2"/>
    <w:multiLevelType w:val="multilevel"/>
    <w:tmpl w:val="6BBEF54A"/>
    <w:lvl w:ilvl="0">
      <w:start w:val="1"/>
      <w:numFmt w:val="bullet"/>
      <w:lvlText w:val="●"/>
      <w:lvlJc w:val="right"/>
      <w:pPr>
        <w:ind w:left="720" w:hanging="360"/>
      </w:pPr>
      <w:rPr>
        <w:rFonts w:ascii="Arial" w:eastAsia="Arial" w:hAnsi="Arial" w:cs="Arial"/>
        <w:b w:val="0"/>
        <w:i w:val="0"/>
        <w:smallCaps w:val="0"/>
        <w:strike w:val="0"/>
        <w:color w:val="595959"/>
        <w:sz w:val="32"/>
        <w:szCs w:val="3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6" w15:restartNumberingAfterBreak="0">
    <w:nsid w:val="5A084024"/>
    <w:multiLevelType w:val="multilevel"/>
    <w:tmpl w:val="D638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226044"/>
    <w:multiLevelType w:val="multilevel"/>
    <w:tmpl w:val="989AC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CB6C6C"/>
    <w:multiLevelType w:val="multilevel"/>
    <w:tmpl w:val="653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C0A4E"/>
    <w:multiLevelType w:val="multilevel"/>
    <w:tmpl w:val="FED03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3768E9"/>
    <w:multiLevelType w:val="multilevel"/>
    <w:tmpl w:val="24542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FF2B9B"/>
    <w:multiLevelType w:val="multilevel"/>
    <w:tmpl w:val="89D658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2936E4"/>
    <w:multiLevelType w:val="multilevel"/>
    <w:tmpl w:val="75246D7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snapToGrid w:val="0"/>
        <w:ind w:left="1440" w:hanging="108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snapToGrid w:val="0"/>
        <w:ind w:left="1440" w:hanging="108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7A457260"/>
    <w:multiLevelType w:val="hybridMultilevel"/>
    <w:tmpl w:val="3CBA0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7538C1"/>
    <w:multiLevelType w:val="hybridMultilevel"/>
    <w:tmpl w:val="E7740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5"/>
  </w:num>
  <w:num w:numId="6">
    <w:abstractNumId w:val="6"/>
  </w:num>
  <w:num w:numId="7">
    <w:abstractNumId w:val="3"/>
  </w:num>
  <w:num w:numId="8">
    <w:abstractNumId w:val="9"/>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93"/>
    <w:rsid w:val="000030FC"/>
    <w:rsid w:val="00003D7B"/>
    <w:rsid w:val="00140BB1"/>
    <w:rsid w:val="00155871"/>
    <w:rsid w:val="0016238C"/>
    <w:rsid w:val="00175401"/>
    <w:rsid w:val="001D475D"/>
    <w:rsid w:val="00235854"/>
    <w:rsid w:val="0027520E"/>
    <w:rsid w:val="002814E1"/>
    <w:rsid w:val="0032007E"/>
    <w:rsid w:val="00372CEC"/>
    <w:rsid w:val="0061006C"/>
    <w:rsid w:val="008821C8"/>
    <w:rsid w:val="008E0351"/>
    <w:rsid w:val="008F2E94"/>
    <w:rsid w:val="00903E93"/>
    <w:rsid w:val="009A6F70"/>
    <w:rsid w:val="00B61577"/>
    <w:rsid w:val="00CB3C9E"/>
    <w:rsid w:val="00CE789B"/>
    <w:rsid w:val="00E2627C"/>
    <w:rsid w:val="00E97C0B"/>
    <w:rsid w:val="00F073E9"/>
    <w:rsid w:val="00F25AA0"/>
    <w:rsid w:val="00F4044F"/>
    <w:rsid w:val="00F7023C"/>
    <w:rsid w:val="00FD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460A"/>
  <w15:docId w15:val="{D188A811-A79E-4959-A068-ED496BBF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A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
    <w:basedOn w:val="DefaultParagraphFont"/>
    <w:link w:val="ListParagraph"/>
    <w:uiPriority w:val="34"/>
    <w:locked/>
    <w:rsid w:val="00F073E9"/>
    <w:rPr>
      <w:rFonts w:ascii="Calibri" w:eastAsia="Times New Roman" w:hAnsi="Calibri"/>
    </w:rPr>
  </w:style>
  <w:style w:type="paragraph" w:styleId="ListParagraph">
    <w:name w:val="List Paragraph"/>
    <w:aliases w:val="Dot pt"/>
    <w:basedOn w:val="Normal"/>
    <w:link w:val="ListParagraphChar"/>
    <w:uiPriority w:val="34"/>
    <w:qFormat/>
    <w:rsid w:val="00F073E9"/>
    <w:pPr>
      <w:overflowPunct w:val="0"/>
      <w:autoSpaceDE w:val="0"/>
      <w:autoSpaceDN w:val="0"/>
      <w:adjustRightInd w:val="0"/>
      <w:spacing w:after="240" w:line="240" w:lineRule="auto"/>
      <w:ind w:left="720"/>
      <w:contextualSpacing/>
      <w:jc w:val="both"/>
    </w:pPr>
    <w:rPr>
      <w:rFonts w:ascii="Calibri" w:eastAsia="Times New Roman" w:hAnsi="Calibri"/>
    </w:rPr>
  </w:style>
  <w:style w:type="paragraph" w:customStyle="1" w:styleId="GPSL1CLAUSEHEADING">
    <w:name w:val="GPS L1 CLAUSE HEADING"/>
    <w:basedOn w:val="Normal"/>
    <w:next w:val="Normal"/>
    <w:qFormat/>
    <w:rsid w:val="00F073E9"/>
    <w:pPr>
      <w:numPr>
        <w:numId w:val="10"/>
      </w:numPr>
      <w:tabs>
        <w:tab w:val="left" w:pos="142"/>
      </w:tabs>
      <w:adjustRightInd w:val="0"/>
      <w:spacing w:before="120" w:after="240" w:line="240" w:lineRule="auto"/>
      <w:jc w:val="both"/>
      <w:outlineLvl w:val="1"/>
    </w:pPr>
    <w:rPr>
      <w:rFonts w:ascii="Calibri" w:eastAsia="STZhongsong" w:hAnsi="Calibri"/>
      <w:b/>
      <w:caps/>
      <w:lang w:eastAsia="zh-CN"/>
    </w:rPr>
  </w:style>
  <w:style w:type="paragraph" w:customStyle="1" w:styleId="GPSL3numberedclause">
    <w:name w:val="GPS L3 numbered clause"/>
    <w:basedOn w:val="Normal"/>
    <w:qFormat/>
    <w:rsid w:val="00F073E9"/>
    <w:pPr>
      <w:numPr>
        <w:ilvl w:val="2"/>
        <w:numId w:val="10"/>
      </w:numPr>
      <w:tabs>
        <w:tab w:val="left" w:pos="1985"/>
      </w:tabs>
      <w:adjustRightInd w:val="0"/>
      <w:spacing w:before="120" w:after="120" w:line="240" w:lineRule="auto"/>
      <w:jc w:val="both"/>
    </w:pPr>
    <w:rPr>
      <w:rFonts w:ascii="Calibri" w:eastAsia="Times New Roman" w:hAnsi="Calibri"/>
      <w:lang w:eastAsia="zh-CN"/>
    </w:rPr>
  </w:style>
  <w:style w:type="paragraph" w:customStyle="1" w:styleId="GPSL4numberedclause">
    <w:name w:val="GPS L4 numbered clause"/>
    <w:basedOn w:val="GPSL3numberedclause"/>
    <w:qFormat/>
    <w:rsid w:val="00F073E9"/>
    <w:pPr>
      <w:numPr>
        <w:ilvl w:val="3"/>
      </w:numPr>
      <w:tabs>
        <w:tab w:val="left" w:pos="2552"/>
      </w:tabs>
    </w:pPr>
  </w:style>
  <w:style w:type="paragraph" w:customStyle="1" w:styleId="GPSL5numberedclause">
    <w:name w:val="GPS L5 numbered clause"/>
    <w:basedOn w:val="GPSL4numberedclause"/>
    <w:qFormat/>
    <w:rsid w:val="00F073E9"/>
    <w:pPr>
      <w:numPr>
        <w:ilvl w:val="4"/>
      </w:numPr>
      <w:tabs>
        <w:tab w:val="left" w:pos="3119"/>
      </w:tabs>
    </w:pPr>
  </w:style>
  <w:style w:type="paragraph" w:customStyle="1" w:styleId="GPSL2NumberedBoldHeading">
    <w:name w:val="GPS L2 Numbered Bold Heading"/>
    <w:basedOn w:val="Normal"/>
    <w:qFormat/>
    <w:rsid w:val="00F073E9"/>
    <w:pPr>
      <w:numPr>
        <w:ilvl w:val="1"/>
        <w:numId w:val="10"/>
      </w:numPr>
      <w:tabs>
        <w:tab w:val="left" w:pos="1134"/>
      </w:tabs>
      <w:adjustRightInd w:val="0"/>
      <w:spacing w:before="120" w:after="120" w:line="240" w:lineRule="auto"/>
      <w:jc w:val="both"/>
    </w:pPr>
    <w:rPr>
      <w:rFonts w:ascii="Calibri" w:eastAsia="Times New Roman" w:hAnsi="Calibri"/>
      <w:b/>
      <w:lang w:eastAsia="zh-CN"/>
    </w:rPr>
  </w:style>
  <w:style w:type="paragraph" w:customStyle="1" w:styleId="GPSL6numbered">
    <w:name w:val="GPS L6 numbered"/>
    <w:basedOn w:val="GPSL5numberedclause"/>
    <w:qFormat/>
    <w:rsid w:val="00F073E9"/>
    <w:pPr>
      <w:numPr>
        <w:ilvl w:val="5"/>
      </w:numPr>
      <w:tabs>
        <w:tab w:val="left" w:pos="3686"/>
      </w:tabs>
    </w:pPr>
  </w:style>
  <w:style w:type="character" w:customStyle="1" w:styleId="GPSL2NumberedChar">
    <w:name w:val="GPS L2 Numbered Char"/>
    <w:link w:val="GPSL2Numbered"/>
    <w:locked/>
    <w:rsid w:val="00F073E9"/>
    <w:rPr>
      <w:rFonts w:ascii="Calibri" w:eastAsia="Times New Roman" w:hAnsi="Calibri"/>
      <w:lang w:eastAsia="zh-CN"/>
    </w:rPr>
  </w:style>
  <w:style w:type="paragraph" w:customStyle="1" w:styleId="GPSL2Numbered">
    <w:name w:val="GPS L2 Numbered"/>
    <w:basedOn w:val="GPSL2NumberedBoldHeading"/>
    <w:link w:val="GPSL2NumberedChar"/>
    <w:qFormat/>
    <w:rsid w:val="00F073E9"/>
    <w:pPr>
      <w:tabs>
        <w:tab w:val="left" w:pos="709"/>
      </w:tabs>
    </w:pPr>
    <w:rPr>
      <w:b w:val="0"/>
    </w:rPr>
  </w:style>
  <w:style w:type="character" w:styleId="Hyperlink">
    <w:name w:val="Hyperlink"/>
    <w:basedOn w:val="DefaultParagraphFont"/>
    <w:uiPriority w:val="99"/>
    <w:unhideWhenUsed/>
    <w:rsid w:val="008E0351"/>
    <w:rPr>
      <w:color w:val="0000FF" w:themeColor="hyperlink"/>
      <w:u w:val="single"/>
    </w:rPr>
  </w:style>
  <w:style w:type="character" w:styleId="CommentReference">
    <w:name w:val="annotation reference"/>
    <w:basedOn w:val="DefaultParagraphFont"/>
    <w:uiPriority w:val="99"/>
    <w:semiHidden/>
    <w:unhideWhenUsed/>
    <w:rsid w:val="008821C8"/>
    <w:rPr>
      <w:sz w:val="16"/>
      <w:szCs w:val="16"/>
    </w:rPr>
  </w:style>
  <w:style w:type="paragraph" w:styleId="CommentText">
    <w:name w:val="annotation text"/>
    <w:basedOn w:val="Normal"/>
    <w:link w:val="CommentTextChar"/>
    <w:uiPriority w:val="99"/>
    <w:semiHidden/>
    <w:unhideWhenUsed/>
    <w:rsid w:val="008821C8"/>
    <w:pPr>
      <w:spacing w:line="240" w:lineRule="auto"/>
    </w:pPr>
    <w:rPr>
      <w:sz w:val="20"/>
      <w:szCs w:val="20"/>
    </w:rPr>
  </w:style>
  <w:style w:type="character" w:customStyle="1" w:styleId="CommentTextChar">
    <w:name w:val="Comment Text Char"/>
    <w:basedOn w:val="DefaultParagraphFont"/>
    <w:link w:val="CommentText"/>
    <w:uiPriority w:val="99"/>
    <w:semiHidden/>
    <w:rsid w:val="008821C8"/>
    <w:rPr>
      <w:sz w:val="20"/>
      <w:szCs w:val="20"/>
    </w:rPr>
  </w:style>
  <w:style w:type="paragraph" w:styleId="CommentSubject">
    <w:name w:val="annotation subject"/>
    <w:basedOn w:val="CommentText"/>
    <w:next w:val="CommentText"/>
    <w:link w:val="CommentSubjectChar"/>
    <w:uiPriority w:val="99"/>
    <w:semiHidden/>
    <w:unhideWhenUsed/>
    <w:rsid w:val="008821C8"/>
    <w:rPr>
      <w:b/>
      <w:bCs/>
    </w:rPr>
  </w:style>
  <w:style w:type="character" w:customStyle="1" w:styleId="CommentSubjectChar">
    <w:name w:val="Comment Subject Char"/>
    <w:basedOn w:val="CommentTextChar"/>
    <w:link w:val="CommentSubject"/>
    <w:uiPriority w:val="99"/>
    <w:semiHidden/>
    <w:rsid w:val="008821C8"/>
    <w:rPr>
      <w:b/>
      <w:bCs/>
      <w:sz w:val="20"/>
      <w:szCs w:val="20"/>
    </w:rPr>
  </w:style>
  <w:style w:type="paragraph" w:styleId="BalloonText">
    <w:name w:val="Balloon Text"/>
    <w:basedOn w:val="Normal"/>
    <w:link w:val="BalloonTextChar"/>
    <w:uiPriority w:val="99"/>
    <w:semiHidden/>
    <w:unhideWhenUsed/>
    <w:rsid w:val="008821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C8"/>
    <w:rPr>
      <w:rFonts w:ascii="Segoe UI" w:hAnsi="Segoe UI" w:cs="Segoe UI"/>
      <w:sz w:val="18"/>
      <w:szCs w:val="18"/>
    </w:rPr>
  </w:style>
  <w:style w:type="character" w:styleId="FollowedHyperlink">
    <w:name w:val="FollowedHyperlink"/>
    <w:basedOn w:val="DefaultParagraphFont"/>
    <w:uiPriority w:val="99"/>
    <w:semiHidden/>
    <w:unhideWhenUsed/>
    <w:rsid w:val="00F25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370">
      <w:bodyDiv w:val="1"/>
      <w:marLeft w:val="0"/>
      <w:marRight w:val="0"/>
      <w:marTop w:val="0"/>
      <w:marBottom w:val="0"/>
      <w:divBdr>
        <w:top w:val="none" w:sz="0" w:space="0" w:color="auto"/>
        <w:left w:val="none" w:sz="0" w:space="0" w:color="auto"/>
        <w:bottom w:val="none" w:sz="0" w:space="0" w:color="auto"/>
        <w:right w:val="none" w:sz="0" w:space="0" w:color="auto"/>
      </w:divBdr>
    </w:div>
    <w:div w:id="467364403">
      <w:bodyDiv w:val="1"/>
      <w:marLeft w:val="0"/>
      <w:marRight w:val="0"/>
      <w:marTop w:val="0"/>
      <w:marBottom w:val="0"/>
      <w:divBdr>
        <w:top w:val="none" w:sz="0" w:space="0" w:color="auto"/>
        <w:left w:val="none" w:sz="0" w:space="0" w:color="auto"/>
        <w:bottom w:val="none" w:sz="0" w:space="0" w:color="auto"/>
        <w:right w:val="none" w:sz="0" w:space="0" w:color="auto"/>
      </w:divBdr>
    </w:div>
    <w:div w:id="542791160">
      <w:bodyDiv w:val="1"/>
      <w:marLeft w:val="0"/>
      <w:marRight w:val="0"/>
      <w:marTop w:val="0"/>
      <w:marBottom w:val="0"/>
      <w:divBdr>
        <w:top w:val="none" w:sz="0" w:space="0" w:color="auto"/>
        <w:left w:val="none" w:sz="0" w:space="0" w:color="auto"/>
        <w:bottom w:val="none" w:sz="0" w:space="0" w:color="auto"/>
        <w:right w:val="none" w:sz="0" w:space="0" w:color="auto"/>
      </w:divBdr>
    </w:div>
    <w:div w:id="858658642">
      <w:bodyDiv w:val="1"/>
      <w:marLeft w:val="0"/>
      <w:marRight w:val="0"/>
      <w:marTop w:val="0"/>
      <w:marBottom w:val="0"/>
      <w:divBdr>
        <w:top w:val="none" w:sz="0" w:space="0" w:color="auto"/>
        <w:left w:val="none" w:sz="0" w:space="0" w:color="auto"/>
        <w:bottom w:val="none" w:sz="0" w:space="0" w:color="auto"/>
        <w:right w:val="none" w:sz="0" w:space="0" w:color="auto"/>
      </w:divBdr>
    </w:div>
    <w:div w:id="1103651381">
      <w:bodyDiv w:val="1"/>
      <w:marLeft w:val="0"/>
      <w:marRight w:val="0"/>
      <w:marTop w:val="0"/>
      <w:marBottom w:val="0"/>
      <w:divBdr>
        <w:top w:val="none" w:sz="0" w:space="0" w:color="auto"/>
        <w:left w:val="none" w:sz="0" w:space="0" w:color="auto"/>
        <w:bottom w:val="none" w:sz="0" w:space="0" w:color="auto"/>
        <w:right w:val="none" w:sz="0" w:space="0" w:color="auto"/>
      </w:divBdr>
    </w:div>
    <w:div w:id="1963535045">
      <w:bodyDiv w:val="1"/>
      <w:marLeft w:val="0"/>
      <w:marRight w:val="0"/>
      <w:marTop w:val="0"/>
      <w:marBottom w:val="0"/>
      <w:divBdr>
        <w:top w:val="none" w:sz="0" w:space="0" w:color="auto"/>
        <w:left w:val="none" w:sz="0" w:space="0" w:color="auto"/>
        <w:bottom w:val="none" w:sz="0" w:space="0" w:color="auto"/>
        <w:right w:val="none" w:sz="0" w:space="0" w:color="auto"/>
      </w:divBdr>
    </w:div>
    <w:div w:id="2023892481">
      <w:bodyDiv w:val="1"/>
      <w:marLeft w:val="0"/>
      <w:marRight w:val="0"/>
      <w:marTop w:val="0"/>
      <w:marBottom w:val="0"/>
      <w:divBdr>
        <w:top w:val="none" w:sz="0" w:space="0" w:color="auto"/>
        <w:left w:val="none" w:sz="0" w:space="0" w:color="auto"/>
        <w:bottom w:val="none" w:sz="0" w:space="0" w:color="auto"/>
        <w:right w:val="none" w:sz="0" w:space="0" w:color="auto"/>
      </w:divBdr>
    </w:div>
    <w:div w:id="2096323303">
      <w:bodyDiv w:val="1"/>
      <w:marLeft w:val="0"/>
      <w:marRight w:val="0"/>
      <w:marTop w:val="0"/>
      <w:marBottom w:val="0"/>
      <w:divBdr>
        <w:top w:val="none" w:sz="0" w:space="0" w:color="auto"/>
        <w:left w:val="none" w:sz="0" w:space="0" w:color="auto"/>
        <w:bottom w:val="none" w:sz="0" w:space="0" w:color="auto"/>
        <w:right w:val="none" w:sz="0" w:space="0" w:color="auto"/>
      </w:divBdr>
    </w:div>
    <w:div w:id="214161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05936-2018:TEXT:EN:HTML:%20%20" TargetMode="External"/><Relationship Id="rId13" Type="http://schemas.openxmlformats.org/officeDocument/2006/relationships/hyperlink" Target="mailto:info@crowncommercial.gov.uk" TargetMode="External"/><Relationship Id="rId18" Type="http://schemas.openxmlformats.org/officeDocument/2006/relationships/hyperlink" Target="mailto:eauctions@crowncommercial.gov.uk"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ccsheretohelp.uk/contact/?type=build" TargetMode="External"/><Relationship Id="rId7" Type="http://schemas.openxmlformats.org/officeDocument/2006/relationships/image" Target="media/image1.png"/><Relationship Id="rId12" Type="http://schemas.openxmlformats.org/officeDocument/2006/relationships/hyperlink" Target="mailto:info@crowncommercial.gov.uk" TargetMode="External"/><Relationship Id="rId17" Type="http://schemas.openxmlformats.org/officeDocument/2006/relationships/hyperlink" Target="https://www.gov.uk/guidance/public-sector-procurement-policy" TargetMode="External"/><Relationship Id="rId25" Type="http://schemas.openxmlformats.org/officeDocument/2006/relationships/hyperlink" Target="https://www.linkedin.com/company/government-procurement-service/" TargetMode="External"/><Relationship Id="rId2" Type="http://schemas.openxmlformats.org/officeDocument/2006/relationships/styles" Target="styles.xml"/><Relationship Id="rId16" Type="http://schemas.openxmlformats.org/officeDocument/2006/relationships/hyperlink" Target="mailto:info@crowncommercial.gov.uk" TargetMode="External"/><Relationship Id="rId20" Type="http://schemas.openxmlformats.org/officeDocument/2006/relationships/hyperlink" Target="https://www.gov.uk/government/publications/cabinet-office-contro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owncommercial.gov.uk/agreements/RM6089" TargetMode="External"/><Relationship Id="rId24" Type="http://schemas.openxmlformats.org/officeDocument/2006/relationships/hyperlink" Target="https://twitter.com/gov_procurement" TargetMode="External"/><Relationship Id="rId5" Type="http://schemas.openxmlformats.org/officeDocument/2006/relationships/footnotes" Target="footnotes.xml"/><Relationship Id="rId15" Type="http://schemas.openxmlformats.org/officeDocument/2006/relationships/hyperlink" Target="mailto:info@crowncommercial.gov.uk"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mailto:info@crowncommercial.gov.uk" TargetMode="External"/><Relationship Id="rId19" Type="http://schemas.openxmlformats.org/officeDocument/2006/relationships/hyperlink" Target="https://ccs-agreements.cabinetoffice.gov.uk/contracts/rm3816" TargetMode="External"/><Relationship Id="rId4" Type="http://schemas.openxmlformats.org/officeDocument/2006/relationships/webSettings" Target="webSettings.xml"/><Relationship Id="rId9" Type="http://schemas.openxmlformats.org/officeDocument/2006/relationships/hyperlink" Target="mailto:info@crowncommercial.gov.uk" TargetMode="External"/><Relationship Id="rId14" Type="http://schemas.openxmlformats.org/officeDocument/2006/relationships/hyperlink" Target="https://www.crowncommercial.gov.uk/agreements/RM6089" TargetMode="External"/><Relationship Id="rId22" Type="http://schemas.openxmlformats.org/officeDocument/2006/relationships/hyperlink" Target="https://twitter.com/gov_procurement" TargetMode="External"/><Relationship Id="rId27" Type="http://schemas.openxmlformats.org/officeDocument/2006/relationships/hyperlink" Target="https://www.linkedin.com/company/government-procurement-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Leftwich</dc:creator>
  <cp:keywords/>
  <dc:description/>
  <cp:lastModifiedBy>Becky Leftwich</cp:lastModifiedBy>
  <cp:revision>6</cp:revision>
  <cp:lastPrinted>2019-06-07T14:20:00Z</cp:lastPrinted>
  <dcterms:created xsi:type="dcterms:W3CDTF">2019-05-29T11:06:00Z</dcterms:created>
  <dcterms:modified xsi:type="dcterms:W3CDTF">2019-10-01T14:08:00Z</dcterms:modified>
</cp:coreProperties>
</file>