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66" w:rsidRDefault="0055498C">
      <w:pPr>
        <w:spacing w:after="7" w:line="259" w:lineRule="auto"/>
        <w:ind w:left="0" w:firstLine="0"/>
      </w:pPr>
      <w:bookmarkStart w:id="0" w:name="_GoBack"/>
      <w:bookmarkEnd w:id="0"/>
      <w:r>
        <w:rPr>
          <w:b/>
          <w:sz w:val="36"/>
        </w:rPr>
        <w:t xml:space="preserve">DPS Schedule 1 (Specification) </w:t>
      </w:r>
    </w:p>
    <w:p w:rsidR="002E0966" w:rsidRDefault="0055498C">
      <w:pPr>
        <w:spacing w:after="89"/>
        <w:ind w:right="186"/>
      </w:pPr>
      <w:r>
        <w:t xml:space="preserve">This Schedule sets out what we and our buyers want. </w:t>
      </w:r>
    </w:p>
    <w:p w:rsidR="002E0966" w:rsidRDefault="0055498C">
      <w:pPr>
        <w:spacing w:after="91"/>
        <w:ind w:right="186"/>
      </w:pPr>
      <w:r>
        <w:t xml:space="preserve">The Supplier must only provide the Deliverables for the Filter Categories that they have been appointed to.  </w:t>
      </w:r>
    </w:p>
    <w:p w:rsidR="002E0966" w:rsidRDefault="0055498C">
      <w:pPr>
        <w:spacing w:after="91"/>
        <w:ind w:right="186"/>
      </w:pPr>
      <w:r>
        <w:t xml:space="preserve">For all Filter Categories </w:t>
      </w:r>
      <w:r>
        <w:t xml:space="preserve">and/or Deliverables, the Supplier must help Buyers comply with any specific applicable Standards of the Buyer. </w:t>
      </w:r>
    </w:p>
    <w:p w:rsidR="002E0966" w:rsidRDefault="0055498C">
      <w:pPr>
        <w:spacing w:after="409"/>
      </w:pPr>
      <w:r>
        <w:t>The Deliverables and any Standards set out in Paragraph 1 below may be refined (to the extent permitted and set out in the Order Form) by a Buye</w:t>
      </w:r>
      <w:r>
        <w:t xml:space="preserve">r during an Order Procedure to reflect its Deliverables Requirements for entering a particular Order Contract. </w:t>
      </w:r>
    </w:p>
    <w:p w:rsidR="002E0966" w:rsidRDefault="0055498C">
      <w:pPr>
        <w:pStyle w:val="Heading1"/>
      </w:pPr>
      <w:r>
        <w:t>Our social value priorities</w:t>
      </w:r>
      <w:r>
        <w:rPr>
          <w:color w:val="222222"/>
          <w:sz w:val="24"/>
        </w:rPr>
        <w:t xml:space="preserve"> </w:t>
      </w:r>
    </w:p>
    <w:p w:rsidR="002E0966" w:rsidRDefault="0055498C">
      <w:pPr>
        <w:spacing w:after="219" w:line="259" w:lineRule="auto"/>
        <w:ind w:left="0" w:firstLine="0"/>
      </w:pPr>
      <w:r>
        <w:rPr>
          <w:color w:val="222222"/>
        </w:rPr>
        <w:t xml:space="preserve">These are our priorities in this procurement: </w:t>
      </w:r>
    </w:p>
    <w:p w:rsidR="002E0966" w:rsidRDefault="0055498C">
      <w:pPr>
        <w:numPr>
          <w:ilvl w:val="0"/>
          <w:numId w:val="1"/>
        </w:numPr>
        <w:spacing w:after="133"/>
        <w:ind w:right="93" w:hanging="134"/>
      </w:pPr>
      <w:r>
        <w:t>The Supplier shall complete annual Corporate Social Responsibility (</w:t>
      </w:r>
      <w:r>
        <w:t>CSR) assessments upon request from Customers.</w:t>
      </w:r>
      <w:r>
        <w:rPr>
          <w:b/>
          <w:color w:val="222222"/>
        </w:rPr>
        <w:t xml:space="preserve"> </w:t>
      </w:r>
    </w:p>
    <w:p w:rsidR="002E0966" w:rsidRDefault="0055498C">
      <w:pPr>
        <w:numPr>
          <w:ilvl w:val="0"/>
          <w:numId w:val="1"/>
        </w:numPr>
        <w:spacing w:after="451"/>
        <w:ind w:right="93" w:hanging="134"/>
      </w:pPr>
      <w:r>
        <w:t xml:space="preserve">The Supplier shall identify </w:t>
      </w:r>
      <w:hyperlink r:id="rId7">
        <w:r>
          <w:t>Social Valu</w:t>
        </w:r>
      </w:hyperlink>
      <w:hyperlink r:id="rId8">
        <w:r>
          <w:t>e</w:t>
        </w:r>
      </w:hyperlink>
      <w:hyperlink r:id="rId9">
        <w:r>
          <w:t xml:space="preserve"> </w:t>
        </w:r>
      </w:hyperlink>
      <w:hyperlink r:id="rId10">
        <w:r>
          <w:t>o</w:t>
        </w:r>
      </w:hyperlink>
      <w:r>
        <w:t xml:space="preserve">ptions which are appropriate to Customers at Call for Competition stage.  Any Social Value options selected by Customer shall be in accordance </w:t>
      </w:r>
      <w:r>
        <w:t xml:space="preserve">with the Government’s Social Values which are current at that point in time. The buyer can identify specific social value priorities at the point of ordering.   </w:t>
      </w:r>
    </w:p>
    <w:p w:rsidR="002E0966" w:rsidRDefault="0055498C">
      <w:pPr>
        <w:pStyle w:val="Heading1"/>
        <w:spacing w:after="0"/>
      </w:pPr>
      <w:r>
        <w:rPr>
          <w:rFonts w:ascii="Calibri" w:eastAsia="Calibri" w:hAnsi="Calibri" w:cs="Calibri"/>
          <w:sz w:val="36"/>
        </w:rPr>
        <w:t xml:space="preserve">Our priorities   </w:t>
      </w:r>
    </w:p>
    <w:p w:rsidR="002E0966" w:rsidRDefault="0055498C">
      <w:pPr>
        <w:spacing w:after="197"/>
        <w:ind w:left="77" w:right="186"/>
      </w:pPr>
      <w:r>
        <w:t>Crown Commercial Services (CCS) key priorities are to support visibility and</w:t>
      </w:r>
      <w:r>
        <w:t xml:space="preserve"> control of research services whole life costs and to influence efficiencies through:   </w:t>
      </w:r>
    </w:p>
    <w:p w:rsidR="002E0966" w:rsidRDefault="0055498C">
      <w:pPr>
        <w:numPr>
          <w:ilvl w:val="0"/>
          <w:numId w:val="2"/>
        </w:numPr>
        <w:ind w:right="186" w:hanging="360"/>
      </w:pPr>
      <w:r>
        <w:t xml:space="preserve">Offering valued research solutions to meet customers individual requirements </w:t>
      </w:r>
    </w:p>
    <w:p w:rsidR="002E0966" w:rsidRDefault="0055498C">
      <w:pPr>
        <w:numPr>
          <w:ilvl w:val="0"/>
          <w:numId w:val="2"/>
        </w:numPr>
        <w:ind w:right="186" w:hanging="360"/>
      </w:pPr>
      <w:r>
        <w:t xml:space="preserve">Build and increase capacity of </w:t>
      </w:r>
      <w:proofErr w:type="gramStart"/>
      <w:r>
        <w:t>high quality</w:t>
      </w:r>
      <w:proofErr w:type="gramEnd"/>
      <w:r>
        <w:t xml:space="preserve"> research and insights services outputs </w:t>
      </w:r>
    </w:p>
    <w:p w:rsidR="002E0966" w:rsidRDefault="0055498C">
      <w:pPr>
        <w:numPr>
          <w:ilvl w:val="0"/>
          <w:numId w:val="2"/>
        </w:numPr>
        <w:ind w:right="186" w:hanging="360"/>
      </w:pPr>
      <w:r>
        <w:t>Devel</w:t>
      </w:r>
      <w:r>
        <w:t xml:space="preserve">op a dynamic commercial model for access to research and insights services  </w:t>
      </w:r>
    </w:p>
    <w:p w:rsidR="002E0966" w:rsidRDefault="0055498C">
      <w:pPr>
        <w:spacing w:after="16" w:line="259" w:lineRule="auto"/>
        <w:ind w:left="797" w:firstLine="0"/>
      </w:pPr>
      <w:r>
        <w:t xml:space="preserve"> </w:t>
      </w:r>
    </w:p>
    <w:p w:rsidR="002E0966" w:rsidRDefault="0055498C">
      <w:pPr>
        <w:spacing w:after="14" w:line="259" w:lineRule="auto"/>
        <w:ind w:left="-5" w:hanging="10"/>
      </w:pPr>
      <w:r>
        <w:rPr>
          <w:b/>
        </w:rPr>
        <w:t xml:space="preserve">Scope  </w:t>
      </w:r>
      <w:r>
        <w:t xml:space="preserve"> </w:t>
      </w:r>
    </w:p>
    <w:p w:rsidR="002E0966" w:rsidRDefault="0055498C">
      <w:pPr>
        <w:ind w:left="77" w:right="186"/>
      </w:pPr>
      <w:r>
        <w:t xml:space="preserve">The Supplier shall provide research services as detailed in Attachment 2 – Service Filter Matrix of the RM6126 Research &amp; Insights DPS bid pack and also embedded here. </w:t>
      </w:r>
    </w:p>
    <w:p w:rsidR="002E0966" w:rsidRDefault="0055498C">
      <w:pPr>
        <w:spacing w:after="55" w:line="259" w:lineRule="auto"/>
        <w:ind w:left="512" w:firstLine="0"/>
      </w:pPr>
      <w:r>
        <w:rPr>
          <w:noProof/>
        </w:rPr>
        <w:drawing>
          <wp:inline distT="0" distB="0" distL="0" distR="0">
            <wp:extent cx="262233" cy="263343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2233" cy="26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66" w:rsidRDefault="0055498C">
      <w:pPr>
        <w:spacing w:after="49" w:line="259" w:lineRule="auto"/>
        <w:ind w:left="93" w:hanging="10"/>
      </w:pPr>
      <w:r>
        <w:rPr>
          <w:rFonts w:ascii="Segoe UI" w:eastAsia="Segoe UI" w:hAnsi="Segoe UI" w:cs="Segoe UI"/>
          <w:sz w:val="14"/>
        </w:rPr>
        <w:t xml:space="preserve">RM6126 Attachment </w:t>
      </w:r>
    </w:p>
    <w:p w:rsidR="002E0966" w:rsidRDefault="0055498C">
      <w:pPr>
        <w:spacing w:after="49" w:line="259" w:lineRule="auto"/>
        <w:ind w:left="93" w:hanging="10"/>
      </w:pPr>
      <w:r>
        <w:rPr>
          <w:rFonts w:ascii="Segoe UI" w:eastAsia="Segoe UI" w:hAnsi="Segoe UI" w:cs="Segoe UI"/>
          <w:sz w:val="14"/>
        </w:rPr>
        <w:t xml:space="preserve">2 - Service Filter </w:t>
      </w:r>
      <w:proofErr w:type="spellStart"/>
      <w:r>
        <w:rPr>
          <w:rFonts w:ascii="Segoe UI" w:eastAsia="Segoe UI" w:hAnsi="Segoe UI" w:cs="Segoe UI"/>
          <w:sz w:val="14"/>
        </w:rPr>
        <w:t>Matri</w:t>
      </w:r>
      <w:proofErr w:type="spellEnd"/>
      <w:r>
        <w:t xml:space="preserve">    </w:t>
      </w:r>
    </w:p>
    <w:p w:rsidR="002E0966" w:rsidRDefault="0055498C">
      <w:pPr>
        <w:spacing w:after="153"/>
        <w:ind w:left="82" w:right="186"/>
      </w:pPr>
      <w:r>
        <w:lastRenderedPageBreak/>
        <w:t xml:space="preserve">The core requirement of the research services shall include but shall not be limited to provision of either one or a combination of services in each of the following four (4) distinct categories:    </w:t>
      </w:r>
    </w:p>
    <w:p w:rsidR="002E0966" w:rsidRDefault="0055498C">
      <w:pPr>
        <w:numPr>
          <w:ilvl w:val="0"/>
          <w:numId w:val="3"/>
        </w:numPr>
        <w:ind w:right="186" w:hanging="643"/>
      </w:pPr>
      <w:r>
        <w:t>Subje</w:t>
      </w:r>
      <w:r>
        <w:t xml:space="preserve">ct area(s)  </w:t>
      </w:r>
    </w:p>
    <w:p w:rsidR="002E0966" w:rsidRDefault="0055498C">
      <w:pPr>
        <w:numPr>
          <w:ilvl w:val="0"/>
          <w:numId w:val="3"/>
        </w:numPr>
        <w:ind w:right="186" w:hanging="643"/>
      </w:pPr>
      <w:r>
        <w:t xml:space="preserve">Research methods  </w:t>
      </w:r>
    </w:p>
    <w:p w:rsidR="002E0966" w:rsidRDefault="0055498C">
      <w:pPr>
        <w:numPr>
          <w:ilvl w:val="0"/>
          <w:numId w:val="3"/>
        </w:numPr>
        <w:ind w:right="186" w:hanging="643"/>
      </w:pPr>
      <w:r>
        <w:t xml:space="preserve">Target participants   </w:t>
      </w:r>
    </w:p>
    <w:p w:rsidR="002E0966" w:rsidRDefault="0055498C">
      <w:pPr>
        <w:numPr>
          <w:ilvl w:val="0"/>
          <w:numId w:val="3"/>
        </w:numPr>
        <w:ind w:right="186" w:hanging="643"/>
      </w:pPr>
      <w:r>
        <w:t xml:space="preserve">Research location   </w:t>
      </w:r>
    </w:p>
    <w:p w:rsidR="002E0966" w:rsidRDefault="0055498C">
      <w:pPr>
        <w:spacing w:after="79" w:line="259" w:lineRule="auto"/>
        <w:ind w:left="437" w:firstLine="0"/>
      </w:pPr>
      <w:r>
        <w:t xml:space="preserve">  </w:t>
      </w:r>
    </w:p>
    <w:p w:rsidR="002E0966" w:rsidRDefault="0055498C">
      <w:pPr>
        <w:spacing w:after="14" w:line="259" w:lineRule="auto"/>
        <w:ind w:left="-5" w:hanging="10"/>
      </w:pPr>
      <w:r>
        <w:rPr>
          <w:b/>
        </w:rPr>
        <w:t xml:space="preserve">2. Mandatory Service requirements: </w:t>
      </w:r>
      <w:r>
        <w:t xml:space="preserve"> </w:t>
      </w:r>
    </w:p>
    <w:p w:rsidR="002E0966" w:rsidRDefault="0055498C">
      <w:pPr>
        <w:spacing w:after="141" w:line="259" w:lineRule="auto"/>
        <w:ind w:left="77" w:firstLine="0"/>
      </w:pPr>
      <w:r>
        <w:t xml:space="preserve"> </w:t>
      </w:r>
    </w:p>
    <w:p w:rsidR="002E0966" w:rsidRDefault="0055498C">
      <w:pPr>
        <w:spacing w:after="193" w:line="321" w:lineRule="auto"/>
        <w:ind w:left="77" w:right="186"/>
      </w:pPr>
      <w:r>
        <w:t xml:space="preserve">This section provides details of the mandatory requirements that all Suppliers shall be expected to fulfil to deliver the RM6126 </w:t>
      </w:r>
      <w:r>
        <w:t xml:space="preserve">Research &amp; Insights DPS agreement.  </w:t>
      </w:r>
      <w:r>
        <w:rPr>
          <w:b/>
          <w:u w:val="single" w:color="000000"/>
        </w:rPr>
        <w:t>Research Services</w:t>
      </w:r>
      <w:r>
        <w:rPr>
          <w:b/>
        </w:rPr>
        <w:t xml:space="preserve"> </w:t>
      </w:r>
      <w:r>
        <w:t xml:space="preserve"> </w:t>
      </w:r>
    </w:p>
    <w:p w:rsidR="002E0966" w:rsidRDefault="0055498C">
      <w:pPr>
        <w:spacing w:after="109"/>
        <w:ind w:left="861" w:right="186" w:hanging="439"/>
      </w:pPr>
      <w:r>
        <w:rPr>
          <w:b/>
        </w:rPr>
        <w:t xml:space="preserve">3.1. </w:t>
      </w:r>
      <w:r>
        <w:t>The Supplier shall offer either one or a combination of services from each of the four (4) distinct service categories as detailed in 3.1.1, 3.1.2, 3.1.3 and 3.1.4 below and as specified in Servi</w:t>
      </w:r>
      <w:r>
        <w:t xml:space="preserve">ce Filter Matrix above, which further includes extensive sub-divided filters in addition to below:  </w:t>
      </w:r>
    </w:p>
    <w:p w:rsidR="002E0966" w:rsidRDefault="0055498C">
      <w:pPr>
        <w:spacing w:after="142"/>
        <w:ind w:left="811" w:right="186"/>
      </w:pPr>
      <w:r>
        <w:rPr>
          <w:b/>
        </w:rPr>
        <w:t xml:space="preserve">3.1.1. </w:t>
      </w:r>
      <w:r>
        <w:t xml:space="preserve">Subject area(s): 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Agriculture, Fishing and Food 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Business, Finance and the Economy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Crime and Justice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Culture, Media and Sport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>Education, Traini</w:t>
      </w:r>
      <w:r>
        <w:t xml:space="preserve">ng and Employment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Environment and Infrastructure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Government and International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Health, Public Services and Society </w:t>
      </w:r>
    </w:p>
    <w:p w:rsidR="002E0966" w:rsidRDefault="0055498C">
      <w:pPr>
        <w:numPr>
          <w:ilvl w:val="2"/>
          <w:numId w:val="7"/>
        </w:numPr>
        <w:ind w:right="186" w:hanging="360"/>
      </w:pPr>
      <w:r>
        <w:t xml:space="preserve">Science, Technology, Engineering and Manufacturing </w:t>
      </w:r>
    </w:p>
    <w:p w:rsidR="002E0966" w:rsidRDefault="0055498C">
      <w:pPr>
        <w:spacing w:line="259" w:lineRule="auto"/>
        <w:ind w:left="1517" w:firstLine="0"/>
      </w:pPr>
      <w:r>
        <w:t xml:space="preserve"> </w:t>
      </w:r>
    </w:p>
    <w:p w:rsidR="002E0966" w:rsidRDefault="0055498C">
      <w:pPr>
        <w:spacing w:after="212"/>
        <w:ind w:left="811" w:right="186"/>
      </w:pPr>
      <w:r>
        <w:rPr>
          <w:b/>
        </w:rPr>
        <w:t xml:space="preserve">3.1.2. </w:t>
      </w:r>
      <w:r>
        <w:t xml:space="preserve">Research methods:  </w:t>
      </w:r>
    </w:p>
    <w:p w:rsidR="002E0966" w:rsidRDefault="0055498C">
      <w:pPr>
        <w:numPr>
          <w:ilvl w:val="2"/>
          <w:numId w:val="4"/>
        </w:numPr>
        <w:spacing w:after="90"/>
        <w:ind w:right="186" w:hanging="360"/>
      </w:pPr>
      <w:r>
        <w:t xml:space="preserve">Analysis and Modelling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>Data Collection (general, quantit</w:t>
      </w:r>
      <w:r>
        <w:t xml:space="preserve">ative and qualitative)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 xml:space="preserve">Evaluation and Evidence Synthesis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 xml:space="preserve">Experiments and Trials 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 xml:space="preserve">Physical Sampling / Surveys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 xml:space="preserve">Research Specialisms </w:t>
      </w:r>
    </w:p>
    <w:p w:rsidR="002E0966" w:rsidRDefault="0055498C">
      <w:pPr>
        <w:numPr>
          <w:ilvl w:val="2"/>
          <w:numId w:val="4"/>
        </w:numPr>
        <w:ind w:right="186" w:hanging="360"/>
      </w:pPr>
      <w:r>
        <w:t xml:space="preserve">Sample Design / Source </w:t>
      </w:r>
    </w:p>
    <w:p w:rsidR="002E0966" w:rsidRDefault="0055498C">
      <w:pPr>
        <w:spacing w:after="151" w:line="259" w:lineRule="auto"/>
        <w:ind w:left="806" w:firstLine="0"/>
      </w:pPr>
      <w:r>
        <w:t xml:space="preserve"> </w:t>
      </w:r>
    </w:p>
    <w:p w:rsidR="002E0966" w:rsidRDefault="0055498C">
      <w:pPr>
        <w:spacing w:after="142"/>
        <w:ind w:left="811" w:right="186"/>
      </w:pPr>
      <w:r>
        <w:rPr>
          <w:b/>
        </w:rPr>
        <w:t xml:space="preserve">3.1.3. </w:t>
      </w:r>
      <w:r>
        <w:t xml:space="preserve">Target participants: 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lastRenderedPageBreak/>
        <w:t xml:space="preserve">Business and the Economy 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Education, Training and Employment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Place of Residence / Tenure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Professionals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Socio-economic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Specialist Groups </w:t>
      </w:r>
    </w:p>
    <w:p w:rsidR="002E0966" w:rsidRDefault="0055498C">
      <w:pPr>
        <w:numPr>
          <w:ilvl w:val="2"/>
          <w:numId w:val="5"/>
        </w:numPr>
        <w:ind w:right="186" w:hanging="360"/>
      </w:pPr>
      <w:r>
        <w:t xml:space="preserve">Transport Users </w:t>
      </w:r>
    </w:p>
    <w:p w:rsidR="002E0966" w:rsidRDefault="0055498C">
      <w:pPr>
        <w:spacing w:after="0" w:line="259" w:lineRule="auto"/>
        <w:ind w:left="437" w:firstLine="0"/>
      </w:pPr>
      <w:r>
        <w:t xml:space="preserve">  </w:t>
      </w:r>
    </w:p>
    <w:p w:rsidR="002E0966" w:rsidRDefault="0055498C">
      <w:pPr>
        <w:spacing w:after="143"/>
        <w:ind w:left="811" w:right="186"/>
      </w:pPr>
      <w:r>
        <w:rPr>
          <w:b/>
        </w:rPr>
        <w:t xml:space="preserve">3.1.4. </w:t>
      </w:r>
      <w:r>
        <w:t xml:space="preserve">Research location: 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UK 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British Overseas Territories 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Commonwealth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Crown Dependencies  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EU  </w:t>
      </w:r>
    </w:p>
    <w:p w:rsidR="002E0966" w:rsidRDefault="0055498C">
      <w:pPr>
        <w:numPr>
          <w:ilvl w:val="2"/>
          <w:numId w:val="6"/>
        </w:numPr>
        <w:ind w:right="186" w:hanging="360"/>
      </w:pPr>
      <w:r>
        <w:t xml:space="preserve">International  </w:t>
      </w:r>
    </w:p>
    <w:p w:rsidR="002E0966" w:rsidRDefault="0055498C">
      <w:pPr>
        <w:spacing w:after="98" w:line="259" w:lineRule="auto"/>
        <w:ind w:left="77" w:firstLine="0"/>
      </w:pPr>
      <w:r>
        <w:t xml:space="preserve">  </w:t>
      </w:r>
    </w:p>
    <w:p w:rsidR="002E0966" w:rsidRDefault="0055498C">
      <w:pPr>
        <w:spacing w:after="166" w:line="259" w:lineRule="auto"/>
        <w:ind w:left="77" w:firstLine="0"/>
      </w:pPr>
      <w:r>
        <w:t xml:space="preserve"> </w:t>
      </w:r>
    </w:p>
    <w:p w:rsidR="002E0966" w:rsidRDefault="0055498C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E0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8" w:right="1454" w:bottom="1988" w:left="1440" w:header="715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8C" w:rsidRDefault="0055498C">
      <w:pPr>
        <w:spacing w:after="0" w:line="240" w:lineRule="auto"/>
      </w:pPr>
      <w:r>
        <w:separator/>
      </w:r>
    </w:p>
  </w:endnote>
  <w:endnote w:type="continuationSeparator" w:id="0">
    <w:p w:rsidR="0055498C" w:rsidRDefault="005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59" w:lineRule="auto"/>
      <w:ind w:left="0" w:firstLine="0"/>
    </w:pPr>
    <w:r>
      <w:rPr>
        <w:rFonts w:ascii="Calibri" w:eastAsia="Calibri" w:hAnsi="Calibri" w:cs="Calibri"/>
        <w:color w:val="BFBFBF"/>
        <w:sz w:val="22"/>
      </w:rPr>
      <w:t xml:space="preserve"> </w:t>
    </w:r>
  </w:p>
  <w:p w:rsidR="002E0966" w:rsidRDefault="0055498C">
    <w:pPr>
      <w:tabs>
        <w:tab w:val="center" w:pos="4513"/>
      </w:tabs>
      <w:spacing w:after="23" w:line="259" w:lineRule="auto"/>
      <w:ind w:left="0" w:firstLine="0"/>
    </w:pPr>
    <w:r>
      <w:rPr>
        <w:sz w:val="20"/>
      </w:rPr>
      <w:t xml:space="preserve">RM6126 - </w:t>
    </w:r>
    <w:r>
      <w:rPr>
        <w:sz w:val="20"/>
      </w:rPr>
      <w:t xml:space="preserve">Research &amp; Insights DPS </w:t>
    </w:r>
    <w:r>
      <w:rPr>
        <w:sz w:val="20"/>
      </w:rPr>
      <w:tab/>
      <w:t xml:space="preserve">                                            </w:t>
    </w:r>
  </w:p>
  <w:p w:rsidR="002E0966" w:rsidRDefault="0055498C">
    <w:pPr>
      <w:tabs>
        <w:tab w:val="center" w:pos="4513"/>
        <w:tab w:val="right" w:pos="9012"/>
      </w:tabs>
      <w:spacing w:after="0" w:line="259" w:lineRule="auto"/>
      <w:ind w:left="0" w:right="-14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2E0966" w:rsidRDefault="0055498C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>Model Version: v1.2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59" w:lineRule="auto"/>
      <w:ind w:left="0" w:firstLine="0"/>
    </w:pPr>
    <w:r>
      <w:rPr>
        <w:rFonts w:ascii="Calibri" w:eastAsia="Calibri" w:hAnsi="Calibri" w:cs="Calibri"/>
        <w:color w:val="BFBFBF"/>
        <w:sz w:val="22"/>
      </w:rPr>
      <w:t xml:space="preserve"> </w:t>
    </w:r>
  </w:p>
  <w:p w:rsidR="002E0966" w:rsidRDefault="0055498C">
    <w:pPr>
      <w:tabs>
        <w:tab w:val="center" w:pos="4513"/>
      </w:tabs>
      <w:spacing w:after="23" w:line="259" w:lineRule="auto"/>
      <w:ind w:left="0" w:firstLine="0"/>
    </w:pPr>
    <w:r>
      <w:rPr>
        <w:sz w:val="20"/>
      </w:rPr>
      <w:t xml:space="preserve">RM6126 - Research &amp; Insights DPS </w:t>
    </w:r>
    <w:r>
      <w:rPr>
        <w:sz w:val="20"/>
      </w:rPr>
      <w:tab/>
      <w:t xml:space="preserve">                                            </w:t>
    </w:r>
  </w:p>
  <w:p w:rsidR="002E0966" w:rsidRDefault="0055498C">
    <w:pPr>
      <w:tabs>
        <w:tab w:val="center" w:pos="4513"/>
        <w:tab w:val="right" w:pos="9012"/>
      </w:tabs>
      <w:spacing w:after="0" w:line="259" w:lineRule="auto"/>
      <w:ind w:left="0" w:right="-14" w:firstLine="0"/>
    </w:pPr>
    <w:r>
      <w:rPr>
        <w:sz w:val="20"/>
      </w:rPr>
      <w:t>Project Version: v1.0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2E0966" w:rsidRDefault="0055498C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>Model Version: v1.2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59" w:lineRule="auto"/>
      <w:ind w:left="0" w:firstLine="0"/>
    </w:pPr>
    <w:r>
      <w:rPr>
        <w:rFonts w:ascii="Calibri" w:eastAsia="Calibri" w:hAnsi="Calibri" w:cs="Calibri"/>
        <w:color w:val="BFBFBF"/>
        <w:sz w:val="22"/>
      </w:rPr>
      <w:t xml:space="preserve"> </w:t>
    </w:r>
  </w:p>
  <w:p w:rsidR="002E0966" w:rsidRDefault="0055498C">
    <w:pPr>
      <w:tabs>
        <w:tab w:val="center" w:pos="4513"/>
      </w:tabs>
      <w:spacing w:after="23" w:line="259" w:lineRule="auto"/>
      <w:ind w:left="0" w:firstLine="0"/>
    </w:pPr>
    <w:r>
      <w:rPr>
        <w:sz w:val="20"/>
      </w:rPr>
      <w:t xml:space="preserve">RM6126 - Research &amp; Insights DPS </w:t>
    </w:r>
    <w:r>
      <w:rPr>
        <w:sz w:val="20"/>
      </w:rPr>
      <w:tab/>
      <w:t xml:space="preserve">                                            </w:t>
    </w:r>
  </w:p>
  <w:p w:rsidR="002E0966" w:rsidRDefault="0055498C">
    <w:pPr>
      <w:tabs>
        <w:tab w:val="center" w:pos="4513"/>
        <w:tab w:val="right" w:pos="9012"/>
      </w:tabs>
      <w:spacing w:after="0" w:line="259" w:lineRule="auto"/>
      <w:ind w:left="0" w:right="-14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2E0966" w:rsidRDefault="0055498C">
    <w:pPr>
      <w:tabs>
        <w:tab w:val="center" w:pos="2160"/>
        <w:tab w:val="center" w:pos="2881"/>
        <w:tab w:val="center" w:pos="3601"/>
        <w:tab w:val="center" w:pos="4321"/>
      </w:tabs>
      <w:spacing w:after="0" w:line="259" w:lineRule="auto"/>
      <w:ind w:left="0" w:firstLine="0"/>
    </w:pPr>
    <w:r>
      <w:rPr>
        <w:sz w:val="20"/>
      </w:rPr>
      <w:t>Model Version: v1.2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8C" w:rsidRDefault="0055498C">
      <w:pPr>
        <w:spacing w:after="0" w:line="240" w:lineRule="auto"/>
      </w:pPr>
      <w:r>
        <w:separator/>
      </w:r>
    </w:p>
  </w:footnote>
  <w:footnote w:type="continuationSeparator" w:id="0">
    <w:p w:rsidR="0055498C" w:rsidRDefault="0055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41" w:lineRule="auto"/>
      <w:ind w:left="0" w:right="5423" w:firstLine="0"/>
    </w:pPr>
    <w:r>
      <w:rPr>
        <w:b/>
        <w:sz w:val="20"/>
      </w:rPr>
      <w:t xml:space="preserve">DPS Schedule 1 (Specification) </w:t>
    </w:r>
    <w:r>
      <w:rPr>
        <w:sz w:val="20"/>
      </w:rPr>
      <w:t>Crown Copyright 2021</w:t>
    </w:r>
    <w:r>
      <w:rPr>
        <w:b/>
        <w:color w:val="BFBFB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41" w:lineRule="auto"/>
      <w:ind w:left="0" w:right="5423" w:firstLine="0"/>
    </w:pPr>
    <w:r>
      <w:rPr>
        <w:b/>
        <w:sz w:val="20"/>
      </w:rPr>
      <w:t xml:space="preserve">DPS Schedule 1 (Specification) </w:t>
    </w:r>
    <w:r>
      <w:rPr>
        <w:sz w:val="20"/>
      </w:rPr>
      <w:t>Crown Copyright 2021</w:t>
    </w:r>
    <w:r>
      <w:rPr>
        <w:b/>
        <w:color w:val="BFBFBF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66" w:rsidRDefault="0055498C">
    <w:pPr>
      <w:spacing w:after="0" w:line="241" w:lineRule="auto"/>
      <w:ind w:left="0" w:right="5423" w:firstLine="0"/>
    </w:pPr>
    <w:r>
      <w:rPr>
        <w:b/>
        <w:sz w:val="20"/>
      </w:rPr>
      <w:t xml:space="preserve">DPS Schedule 1 (Specification) </w:t>
    </w:r>
    <w:r>
      <w:rPr>
        <w:sz w:val="20"/>
      </w:rPr>
      <w:t>Crown Copyright 2021</w:t>
    </w:r>
    <w:r>
      <w:rPr>
        <w:b/>
        <w:color w:val="BFBF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B68"/>
    <w:multiLevelType w:val="hybridMultilevel"/>
    <w:tmpl w:val="29BA26DE"/>
    <w:lvl w:ilvl="0" w:tplc="9DE499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06C88">
      <w:start w:val="1"/>
      <w:numFmt w:val="bullet"/>
      <w:lvlText w:val="o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6E2D0">
      <w:start w:val="1"/>
      <w:numFmt w:val="bullet"/>
      <w:lvlText w:val="▪"/>
      <w:lvlJc w:val="left"/>
      <w:pPr>
        <w:ind w:left="2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8119A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06244">
      <w:start w:val="1"/>
      <w:numFmt w:val="bullet"/>
      <w:lvlText w:val="o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925B44">
      <w:start w:val="1"/>
      <w:numFmt w:val="bullet"/>
      <w:lvlText w:val="▪"/>
      <w:lvlJc w:val="left"/>
      <w:pPr>
        <w:ind w:left="4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0B416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A6EF0">
      <w:start w:val="1"/>
      <w:numFmt w:val="bullet"/>
      <w:lvlText w:val="o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0CB192">
      <w:start w:val="1"/>
      <w:numFmt w:val="bullet"/>
      <w:lvlText w:val="▪"/>
      <w:lvlJc w:val="left"/>
      <w:pPr>
        <w:ind w:left="6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F5F6F"/>
    <w:multiLevelType w:val="hybridMultilevel"/>
    <w:tmpl w:val="D2906390"/>
    <w:lvl w:ilvl="0" w:tplc="149AC2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205D2">
      <w:start w:val="1"/>
      <w:numFmt w:val="bullet"/>
      <w:lvlText w:val="o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B926">
      <w:start w:val="1"/>
      <w:numFmt w:val="bullet"/>
      <w:lvlRestart w:val="0"/>
      <w:lvlText w:val="-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E46BC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C39AA">
      <w:start w:val="1"/>
      <w:numFmt w:val="bullet"/>
      <w:lvlText w:val="o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2EA3D6">
      <w:start w:val="1"/>
      <w:numFmt w:val="bullet"/>
      <w:lvlText w:val="▪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EC95A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4FF2E">
      <w:start w:val="1"/>
      <w:numFmt w:val="bullet"/>
      <w:lvlText w:val="o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C072C">
      <w:start w:val="1"/>
      <w:numFmt w:val="bullet"/>
      <w:lvlText w:val="▪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947578"/>
    <w:multiLevelType w:val="hybridMultilevel"/>
    <w:tmpl w:val="B468A37E"/>
    <w:lvl w:ilvl="0" w:tplc="94306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69BAE">
      <w:start w:val="1"/>
      <w:numFmt w:val="bullet"/>
      <w:lvlText w:val="o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CDD3E">
      <w:start w:val="1"/>
      <w:numFmt w:val="bullet"/>
      <w:lvlRestart w:val="0"/>
      <w:lvlText w:val="-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920DA8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A3F6E">
      <w:start w:val="1"/>
      <w:numFmt w:val="bullet"/>
      <w:lvlText w:val="o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63338">
      <w:start w:val="1"/>
      <w:numFmt w:val="bullet"/>
      <w:lvlText w:val="▪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8697A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C6B0A">
      <w:start w:val="1"/>
      <w:numFmt w:val="bullet"/>
      <w:lvlText w:val="o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23938">
      <w:start w:val="1"/>
      <w:numFmt w:val="bullet"/>
      <w:lvlText w:val="▪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06E97"/>
    <w:multiLevelType w:val="hybridMultilevel"/>
    <w:tmpl w:val="AD94A516"/>
    <w:lvl w:ilvl="0" w:tplc="C358B2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06724">
      <w:start w:val="1"/>
      <w:numFmt w:val="bullet"/>
      <w:lvlText w:val="o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4B532">
      <w:start w:val="1"/>
      <w:numFmt w:val="bullet"/>
      <w:lvlRestart w:val="0"/>
      <w:lvlText w:val="-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243C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CCDAA">
      <w:start w:val="1"/>
      <w:numFmt w:val="bullet"/>
      <w:lvlText w:val="o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08F14">
      <w:start w:val="1"/>
      <w:numFmt w:val="bullet"/>
      <w:lvlText w:val="▪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0825C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02052">
      <w:start w:val="1"/>
      <w:numFmt w:val="bullet"/>
      <w:lvlText w:val="o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2E68E">
      <w:start w:val="1"/>
      <w:numFmt w:val="bullet"/>
      <w:lvlText w:val="▪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F722D"/>
    <w:multiLevelType w:val="hybridMultilevel"/>
    <w:tmpl w:val="EF007F3A"/>
    <w:lvl w:ilvl="0" w:tplc="30EAEC3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5ECC">
      <w:start w:val="1"/>
      <w:numFmt w:val="bullet"/>
      <w:lvlText w:val="o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29174">
      <w:start w:val="1"/>
      <w:numFmt w:val="bullet"/>
      <w:lvlText w:val="▪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A47A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EDB66">
      <w:start w:val="1"/>
      <w:numFmt w:val="bullet"/>
      <w:lvlText w:val="o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E6A2A">
      <w:start w:val="1"/>
      <w:numFmt w:val="bullet"/>
      <w:lvlText w:val="▪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72B8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86B50">
      <w:start w:val="1"/>
      <w:numFmt w:val="bullet"/>
      <w:lvlText w:val="o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8A21A">
      <w:start w:val="1"/>
      <w:numFmt w:val="bullet"/>
      <w:lvlText w:val="▪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D0ABA"/>
    <w:multiLevelType w:val="hybridMultilevel"/>
    <w:tmpl w:val="887EDB54"/>
    <w:lvl w:ilvl="0" w:tplc="ACDCE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416AE">
      <w:start w:val="1"/>
      <w:numFmt w:val="bullet"/>
      <w:lvlText w:val="o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2206A">
      <w:start w:val="1"/>
      <w:numFmt w:val="bullet"/>
      <w:lvlRestart w:val="0"/>
      <w:lvlText w:val="-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6480C">
      <w:start w:val="1"/>
      <w:numFmt w:val="bullet"/>
      <w:lvlText w:val="•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A28C4">
      <w:start w:val="1"/>
      <w:numFmt w:val="bullet"/>
      <w:lvlText w:val="o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C8A5A">
      <w:start w:val="1"/>
      <w:numFmt w:val="bullet"/>
      <w:lvlText w:val="▪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5452">
      <w:start w:val="1"/>
      <w:numFmt w:val="bullet"/>
      <w:lvlText w:val="•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4AA80">
      <w:start w:val="1"/>
      <w:numFmt w:val="bullet"/>
      <w:lvlText w:val="o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C1722">
      <w:start w:val="1"/>
      <w:numFmt w:val="bullet"/>
      <w:lvlText w:val="▪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95E6A"/>
    <w:multiLevelType w:val="hybridMultilevel"/>
    <w:tmpl w:val="8C20128A"/>
    <w:lvl w:ilvl="0" w:tplc="7E34F8DE">
      <w:start w:val="1"/>
      <w:numFmt w:val="bullet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484E6">
      <w:start w:val="1"/>
      <w:numFmt w:val="bullet"/>
      <w:lvlText w:val="o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2ACFC">
      <w:start w:val="1"/>
      <w:numFmt w:val="bullet"/>
      <w:lvlText w:val="▪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4E3EE">
      <w:start w:val="1"/>
      <w:numFmt w:val="bullet"/>
      <w:lvlText w:val="•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C860">
      <w:start w:val="1"/>
      <w:numFmt w:val="bullet"/>
      <w:lvlText w:val="o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61EC">
      <w:start w:val="1"/>
      <w:numFmt w:val="bullet"/>
      <w:lvlText w:val="▪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918C">
      <w:start w:val="1"/>
      <w:numFmt w:val="bullet"/>
      <w:lvlText w:val="•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0A852">
      <w:start w:val="1"/>
      <w:numFmt w:val="bullet"/>
      <w:lvlText w:val="o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0606">
      <w:start w:val="1"/>
      <w:numFmt w:val="bullet"/>
      <w:lvlText w:val="▪"/>
      <w:lvlJc w:val="left"/>
      <w:pPr>
        <w:ind w:left="7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66"/>
    <w:rsid w:val="002E0966"/>
    <w:rsid w:val="0055498C"/>
    <w:rsid w:val="00B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2330-B92E-4349-A58A-72FBA02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5" w:hanging="5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3/enacte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2/3/enacte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2012/3/enac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2/3/enact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cp:lastModifiedBy>Paul Brown</cp:lastModifiedBy>
  <cp:revision>2</cp:revision>
  <dcterms:created xsi:type="dcterms:W3CDTF">2021-12-02T11:14:00Z</dcterms:created>
  <dcterms:modified xsi:type="dcterms:W3CDTF">2021-12-02T11:14:00Z</dcterms:modified>
</cp:coreProperties>
</file>