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3 (Framework Prices)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Framework Prices are used to calculate Call-Off Charges</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Prices: </w:t>
      </w:r>
    </w:p>
    <w:p w:rsidR="00000000" w:rsidDel="00000000" w:rsidP="00000000" w:rsidRDefault="00000000" w:rsidRPr="00000000" w14:paraId="0000000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44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used as the basis for the charges (and are maximums that the Supplier may charge) under each Call Off Contract; and</w:t>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cannot be increased except as in accordance with this Schedule.</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Charges: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calculated in accordance with the terms of the Call Off Contract and in particular in accordance with the terms of the Order Form; </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cannot be increased except as specifically permitted by the Call Off Contract and in particular shall only be subject to Indexation where specifically stated in the Order Form; and</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impacted by any change to the Framework Prices.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variation to the Charges payable under a Call Off Contract must be agreed between the Supplier and the Buyer and implemented using the same procedure for altering Framework Prices in accordance with the provisions of this Framework Schedule 3</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Framework Prices are calculated</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pricing mechanisms and prices set out in Annex 1 shall be available for use in calculation of Framework Prices in Call Off Contracts.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bookmarkStart w:colFirst="0" w:colLast="0" w:name="_heading=h.1fob9te" w:id="2"/>
      <w:bookmarkEnd w:id="2"/>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osts and expenses are included in the Framework Prices</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as expressly set out in Paragraph 4 below, or otherwise stated in a Call Off Order Form the Framework Prices shall include all costs and expenses relating to the provision of Deliverables. No further amounts shall be payable in respect of matters such as:</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incidental expenses such as travel, subsistence and lodging, document or report reproduction, shipping, desktop or office equipment costs, network or data interchange costs or other telecommunications charges; or</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 w:val="left" w:pos="1980"/>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incurred prior to the commencement of any Call Off Contract.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the Supplier can ask to change the Framework Prices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Prices, </w:t>
      </w:r>
      <w:r w:rsidDel="00000000" w:rsidR="00000000" w:rsidRPr="00000000">
        <w:rPr>
          <w:rFonts w:ascii="Arial" w:cs="Arial" w:eastAsia="Arial" w:hAnsi="Arial"/>
          <w:sz w:val="24"/>
          <w:szCs w:val="24"/>
          <w:rtl w:val="0"/>
        </w:rPr>
        <w:t xml:space="preserve">other than Catalogue Prices,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fixed for the first thirty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30)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the Framework Contract Commencement Date (the date of expiry of such period is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this Framework Prices can only be adjusted on each following </w:t>
      </w:r>
      <w:r w:rsidDel="00000000" w:rsidR="00000000" w:rsidRPr="00000000">
        <w:rPr>
          <w:rFonts w:ascii="Arial" w:cs="Arial" w:eastAsia="Arial" w:hAnsi="Arial"/>
          <w:sz w:val="24"/>
          <w:szCs w:val="24"/>
          <w:rtl w:val="0"/>
        </w:rPr>
        <w:t xml:space="preserve">18 month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anniversary (the date of each such anniversary is also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Review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CCS at least three (3) Months' notice in writing prior to a Review Date where it wants to request an increase.  If the Supplier does not give notice in time then it will only be able to request an increase prior to the next Review Date.</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notice requesting an increase shall include: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the Framework Prices to be reviewed;</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Framework Price under review, written evidence of the justification for the requested increase including:</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breakdown of the profit and cost components that comprise the relevant Framework Price; </w:t>
      </w:r>
      <w:r w:rsidDel="00000000" w:rsidR="00000000" w:rsidRPr="00000000">
        <w:rPr>
          <w:rtl w:val="0"/>
        </w:rPr>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details of the movement in the different identified cost components of the relevant Framework Price;</w:t>
      </w:r>
      <w:r w:rsidDel="00000000" w:rsidR="00000000" w:rsidRPr="00000000">
        <w:rPr>
          <w:rtl w:val="0"/>
        </w:rPr>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reasons for the movement in the different identified cost components of the relevant Framework Price;</w:t>
      </w:r>
      <w:r w:rsidDel="00000000" w:rsidR="00000000" w:rsidRPr="00000000">
        <w:rPr>
          <w:rtl w:val="0"/>
        </w:rPr>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that the Supplier has attempted to mitigate against the increase in the relevant cost components; and</w:t>
      </w:r>
      <w:r w:rsidDel="00000000" w:rsidR="00000000" w:rsidRPr="00000000">
        <w:rPr>
          <w:rtl w:val="0"/>
        </w:rPr>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127"/>
          <w:tab w:val="left" w:pos="1985"/>
          <w:tab w:val="left" w:pos="2552"/>
        </w:tabs>
        <w:spacing w:after="120" w:before="120" w:line="240" w:lineRule="auto"/>
        <w:ind w:left="1985" w:right="0" w:hanging="815"/>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that the Supplier’s profit component of the relevant  Framework Price is no greater than that applying to Framework Prices using the same pricing mechanism as at the Contract Commencement Date.</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CCS shall consider each request for a price increase.  CCS may grant Approval to an increase at its sole discretion.</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CCS approves an increase then it will be implemented from the first (1st) Working Day following the relevant Review Date or such later date as CCS may determine at its sole discretion and Annex 1 shall be updated accordingly.</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events that allow the Supplier to change the Framework Prices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134" w:right="0" w:hanging="5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Prices can also be varied (and Annex 1 will be updated accordingly) due to:</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Specific Change in Law in accordance with Clause 24;</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review in accordance with insurance requirements in Clause 13; </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benchmarking review in accordance with Call Off Schedule 16 (Benchmarking)]</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from the Supplier, which it can make at any time, to decrease the Framework Prices; and</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980" w:right="0" w:hanging="13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644" w:right="0" w:hanging="360"/>
        <w:jc w:val="both"/>
        <w:rPr>
          <w:rFonts w:ascii="Arial Bold" w:cs="Arial Bold" w:eastAsia="Arial Bold" w:hAnsi="Arial Bold"/>
          <w:b w:val="1"/>
          <w:i w:val="0"/>
          <w:smallCaps w:val="1"/>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13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36"/>
          <w:szCs w:val="36"/>
        </w:rPr>
      </w:pPr>
      <w:bookmarkStart w:colFirst="0" w:colLast="0" w:name="_heading=h.3dy6vkm" w:id="4"/>
      <w:bookmarkEnd w:id="4"/>
      <w:r w:rsidDel="00000000" w:rsidR="00000000" w:rsidRPr="00000000">
        <w:br w:type="page"/>
      </w:r>
      <w:r w:rsidDel="00000000" w:rsidR="00000000" w:rsidRPr="00000000">
        <w:rPr>
          <w:rFonts w:ascii="Arial" w:cs="Arial" w:eastAsia="Arial" w:hAnsi="Arial"/>
          <w:b w:val="1"/>
          <w:sz w:val="36"/>
          <w:szCs w:val="36"/>
          <w:rtl w:val="0"/>
        </w:rPr>
        <w:t xml:space="preserve">Annex 1: Supplier Framework Rates and Prices</w:t>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[Guidance Note: Place a copy of the Supplier’s response to relevant award</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questionnaire pricing here once awarded.]</w:t>
      </w:r>
    </w:p>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E">
      <w:pPr>
        <w:rPr>
          <w:rFonts w:ascii="Arial" w:cs="Arial" w:eastAsia="Arial" w:hAnsi="Arial"/>
          <w:b w:val="1"/>
          <w:sz w:val="24"/>
          <w:szCs w:val="24"/>
        </w:rPr>
        <w:sectPr>
          <w:headerReference r:id="rId7" w:type="default"/>
          <w:headerReference r:id="rId8" w:type="first"/>
          <w:footerReference r:id="rId9" w:type="default"/>
          <w:footerReference r:id="rId10" w:type="first"/>
          <w:pgSz w:h="16838" w:w="11906" w:orient="portrait"/>
          <w:pgMar w:bottom="1440" w:top="1888" w:left="1440" w:right="1440" w:header="709" w:footer="709"/>
          <w:pgNumType w:start="1"/>
        </w:sectPr>
      </w:pP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tl w:val="0"/>
        </w:rPr>
      </w:r>
    </w:p>
    <w:sectPr>
      <w:type w:val="nextPage"/>
      <w:pgSz w:h="16838" w:w="11906" w:orient="portrait"/>
      <w:pgMar w:bottom="1440" w:top="1888"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13"/>
        <w:tab w:val="right" w:pos="9026"/>
      </w:tabs>
      <w:spacing w:after="0" w:lineRule="auto"/>
      <w:rPr/>
    </w:pPr>
    <w:r w:rsidDel="00000000" w:rsidR="00000000" w:rsidRPr="00000000">
      <w:rPr>
        <w:rtl w:val="0"/>
      </w:rPr>
      <w:t xml:space="preserve">Framework Ref: RM</w:t>
      <w:tab/>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4905"/>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v3.0</w:t>
      <w:tab/>
      <w:tab/>
      <w:tab/>
    </w:r>
    <w:r w:rsidDel="00000000" w:rsidR="00000000" w:rsidRPr="00000000">
      <w:rPr>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RM6193</w:t>
      <w:tab/>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4905"/>
      </w:tabs>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v3.1</w:t>
      <w:tab/>
    </w:r>
    <w:r w:rsidDel="00000000" w:rsidR="00000000" w:rsidRPr="00000000">
      <w:rPr>
        <w:rFonts w:ascii="Arial" w:cs="Arial" w:eastAsia="Arial" w:hAnsi="Arial"/>
        <w:color w:val="bfbfbf"/>
        <w:sz w:val="20"/>
        <w:szCs w:val="20"/>
        <w:rtl w:val="0"/>
      </w:rPr>
      <w:tab/>
    </w:r>
    <w:r w:rsidDel="00000000" w:rsidR="00000000" w:rsidRPr="00000000">
      <w:rPr>
        <w:color w:val="bfbfbf"/>
        <w:rtl w:val="0"/>
      </w:rPr>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3 (Framework Prices)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3 (Framework Prices)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990"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character" w:styleId="Emphasis">
    <w:name w:val="Emphasis"/>
    <w:basedOn w:val="DefaultParagraphFont"/>
    <w:rPr>
      <w:i w:val="1"/>
      <w:iCs w:val="1"/>
    </w:rPr>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ind w:left="644"/>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adjustRightInd w:val="0"/>
      <w:spacing w:after="120" w:before="120" w:line="240" w:lineRule="auto"/>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1985"/>
        <w:tab w:val="clear" w:pos="2127"/>
      </w:tabs>
      <w:ind w:left="2592" w:hanging="936"/>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character" w:styleId="GPSL2IndentChar" w:customStyle="1">
    <w:name w:val="GPS L2 Indent Char"/>
    <w:link w:val="GPSL2Indent"/>
    <w:rPr>
      <w:rFonts w:ascii="Calibri" w:cs="Arial" w:eastAsia="Times New Roman" w:hAnsi="Calibri"/>
      <w:lang w:eastAsia="zh-CN"/>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character" w:styleId="GPSDefinitionL2Char" w:customStyle="1">
    <w:name w:val="GPS Definition L2 Char"/>
    <w:link w:val="GPSDefinitionL2"/>
    <w:rPr>
      <w:rFonts w:ascii="Arial" w:cs="Arial" w:eastAsia="Times New Roman" w:hAnsi="Arial"/>
    </w:rPr>
  </w:style>
  <w:style w:type="paragraph" w:styleId="GPSDefinitionL3" w:customStyle="1">
    <w:name w:val="GPS Definition L3"/>
    <w:basedOn w:val="GPSDefinitionL2"/>
    <w:qFormat w:val="1"/>
    <w:pPr>
      <w:numPr>
        <w:ilvl w:val="2"/>
      </w:numPr>
      <w:tabs>
        <w:tab w:val="num" w:pos="360"/>
      </w:tabs>
    </w:pPr>
  </w:style>
  <w:style w:type="paragraph" w:styleId="GPSDefinitionL4" w:customStyle="1">
    <w:name w:val="GPS Definition L4"/>
    <w:basedOn w:val="GPSDefinitionL3"/>
    <w:qFormat w:val="1"/>
    <w:pPr>
      <w:numPr>
        <w:ilvl w:val="3"/>
      </w:numPr>
      <w:tabs>
        <w:tab w:val="num" w:pos="360"/>
      </w:tabs>
    </w:p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autoRedefine w:val="1"/>
    <w:rsid w:val="003C776E"/>
    <w:pPr>
      <w:tabs>
        <w:tab w:val="clear" w:pos="0"/>
        <w:tab w:val="left" w:pos="142"/>
      </w:tabs>
      <w:spacing w:before="120"/>
      <w:ind w:left="360"/>
      <w:outlineLvl w:val="9"/>
    </w:pPr>
    <w:rPr>
      <w:rFonts w:ascii="Arial" w:hAnsi="Arial"/>
      <w:caps w:val="0"/>
      <w:sz w:val="24"/>
    </w:rPr>
  </w:style>
  <w:style w:type="character" w:styleId="GPSL1SCHEDULEHeadingChar" w:customStyle="1">
    <w:name w:val="GPS L1 SCHEDULE Heading Char"/>
    <w:link w:val="GPSL1SCHEDULEHeading"/>
    <w:rsid w:val="003C776E"/>
    <w:rPr>
      <w:rFonts w:ascii="Arial" w:cs="Arial" w:eastAsia="STZhongsong" w:hAnsi="Arial"/>
      <w:b w:val="1"/>
      <w:sz w:val="24"/>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PSSchAnnexname" w:customStyle="1">
    <w:name w:val="GPS Sch Annex name"/>
    <w:basedOn w:val="Normal"/>
    <w:link w:val="GPSSchAnnexnameChar"/>
    <w:qFormat w:val="1"/>
    <w:pPr>
      <w:keepNext w:val="1"/>
      <w:adjustRightInd w:val="0"/>
      <w:spacing w:after="240" w:line="240" w:lineRule="auto"/>
      <w:jc w:val="center"/>
      <w:outlineLvl w:val="1"/>
    </w:pPr>
    <w:rPr>
      <w:rFonts w:ascii="Calibri" w:cs="Times New Roman" w:eastAsia="STZhongsong" w:hAnsi="Calibri"/>
      <w:b w:val="1"/>
      <w:caps w:val="1"/>
      <w:sz w:val="20"/>
      <w:lang w:eastAsia="zh-CN"/>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character" w:styleId="Heading6Char5" w:customStyle="1">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val="1"/>
    <w:locked w:val="1"/>
    <w:rPr>
      <w:rFonts w:ascii="Calibri" w:hAnsi="Calibri"/>
      <w:b w:val="1"/>
      <w:lang w:eastAsia="en-GB" w:val="x-none"/>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2NumberedBoldHeading" w:customStyle="1">
    <w:name w:val="GPS L2 Numbered Bold Heading"/>
    <w:basedOn w:val="Normal"/>
    <w:link w:val="GPSL2NumberedBoldHeadingChar"/>
    <w:qFormat w:val="1"/>
    <w:pPr>
      <w:tabs>
        <w:tab w:val="left" w:pos="1134"/>
      </w:tabs>
      <w:adjustRightInd w:val="0"/>
      <w:spacing w:after="120" w:before="120" w:line="240" w:lineRule="auto"/>
      <w:ind w:left="644" w:hanging="218"/>
      <w:jc w:val="both"/>
    </w:pPr>
    <w:rPr>
      <w:rFonts w:ascii="Calibri" w:cs="Arial" w:eastAsia="Times New Roman" w:hAnsi="Calibri"/>
      <w:b w:val="1"/>
      <w:lang w:eastAsia="zh-CN"/>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2GuidanceNumbered" w:customStyle="1">
    <w:name w:val="GPS L2 Guidance Numbered"/>
    <w:basedOn w:val="Normal"/>
    <w:link w:val="GPSL2GuidanceNumberedChar"/>
    <w:qFormat w:val="1"/>
    <w:pPr>
      <w:numPr>
        <w:numId w:val="3"/>
      </w:numPr>
      <w:tabs>
        <w:tab w:val="left" w:pos="1418"/>
      </w:tabs>
      <w:adjustRightInd w:val="0"/>
      <w:spacing w:after="120" w:before="120" w:line="240" w:lineRule="auto"/>
      <w:jc w:val="both"/>
    </w:pPr>
    <w:rPr>
      <w:rFonts w:ascii="Calibri" w:cs="Arial" w:eastAsia="Times New Roman" w:hAnsi="Calibri"/>
      <w:b w:val="1"/>
      <w:i w:val="1"/>
      <w:lang w:eastAsia="zh-CN"/>
    </w:rPr>
  </w:style>
  <w:style w:type="paragraph" w:styleId="GPSL3Guidance" w:customStyle="1">
    <w:name w:val="GPS L3 Guidance"/>
    <w:basedOn w:val="GPSL3numberedclause"/>
    <w:link w:val="GPSL3GuidanceChar"/>
    <w:qFormat w:val="1"/>
    <w:pPr>
      <w:numPr>
        <w:ilvl w:val="0"/>
        <w:numId w:val="0"/>
      </w:numPr>
      <w:tabs>
        <w:tab w:val="clear" w:pos="2127"/>
      </w:tabs>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Part" w:customStyle="1">
    <w:name w:val="GPS Sch Part"/>
    <w:basedOn w:val="GPSSchAnnexname"/>
    <w:link w:val="GPSSchPartChar"/>
    <w:qFormat w:val="1"/>
    <w:pPr>
      <w:spacing w:before="240"/>
      <w:ind w:firstLine="426"/>
      <w:outlineLvl w:val="9"/>
    </w:pPr>
    <w:rPr>
      <w:rFonts w:ascii="Arial Bold" w:hAnsi="Arial Bold"/>
      <w:sz w:val="22"/>
    </w:rPr>
  </w:style>
  <w:style w:type="paragraph" w:styleId="GPSL2Numbered" w:customStyle="1">
    <w:name w:val="GPS L2 Numbered"/>
    <w:basedOn w:val="GPSL2NumberedBoldHeading"/>
    <w:link w:val="GPSL2NumberedChar"/>
    <w:qFormat w:val="1"/>
    <w:pPr>
      <w:tabs>
        <w:tab w:val="left" w:pos="709"/>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4Guidance" w:customStyle="1">
    <w:name w:val="GPS L4 Guidance"/>
    <w:basedOn w:val="GPSL3Guidance"/>
    <w:link w:val="GPSL4GuidanceChar"/>
    <w:qFormat w:val="1"/>
  </w:style>
  <w:style w:type="character" w:styleId="GPSL4GuidanceChar" w:customStyle="1">
    <w:name w:val="GPS L4 Guidance Char"/>
    <w:link w:val="GPSL4Guidance"/>
    <w:locked w:val="1"/>
    <w:rPr>
      <w:rFonts w:ascii="Calibri" w:cs="Arial" w:eastAsia="Times New Roman" w:hAnsi="Calibri"/>
      <w:b w:val="1"/>
      <w:i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2GuidanceNumberedChar" w:customStyle="1">
    <w:name w:val="GPS L2 Guidance Numbered Char"/>
    <w:link w:val="GPSL2GuidanceNumbered"/>
    <w:rPr>
      <w:rFonts w:ascii="Calibri" w:cs="Arial" w:eastAsia="Times New Roman" w:hAnsi="Calibri"/>
      <w:b w:val="1"/>
      <w:i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Hyperlink">
    <w:name w:val="Hyperlink"/>
    <w:basedOn w:val="DefaultParagraphFont"/>
    <w:uiPriority w:val="99"/>
    <w:unhideWhenUsed w:val="1"/>
    <w:rPr>
      <w:color w:val="0000ff" w:themeColor="hyperlink"/>
      <w:u w:val="single"/>
    </w:rPr>
  </w:style>
  <w:style w:type="paragraph" w:styleId="Normal1" w:customStyle="1">
    <w:name w:val="Normal1"/>
    <w:pPr>
      <w:widowControl w:val="0"/>
      <w:spacing w:after="80" w:line="240" w:lineRule="auto"/>
    </w:pPr>
    <w:rPr>
      <w:rFonts w:ascii="Calibri" w:cs="Calibri" w:eastAsia="Calibri" w:hAnsi="Calibri"/>
      <w:color w:val="000000"/>
    </w:rPr>
  </w:style>
  <w:style w:type="paragraph" w:styleId="Revision">
    <w:name w:val="Revision"/>
    <w:hidden w:val="1"/>
    <w:uiPriority w:val="99"/>
    <w:semiHidden w:val="1"/>
    <w:pPr>
      <w:spacing w:after="0" w:line="240" w:lineRule="auto"/>
    </w:pPr>
  </w:style>
  <w:style w:type="character" w:styleId="GPSL2NumberedBoldHeadingChar" w:customStyle="1">
    <w:name w:val="GPS L2 Numbered Bold Heading Char"/>
    <w:link w:val="GPSL2NumberedBoldHeading"/>
    <w:locked w:val="1"/>
    <w:rsid w:val="0057789E"/>
    <w:rPr>
      <w:rFonts w:ascii="Calibri" w:cs="Arial" w:eastAsia="Times New Roman" w:hAnsi="Calibri"/>
      <w:b w:val="1"/>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utFV8OwQ0JmPyApvwexh2sJCQ==">AMUW2mUwWuRGqEeJDGrRx8/DQFINRpyNsQIvYZ3qqsDvlqnOShfpep4MfX4vAAtlWIDFmPsg7ARjwUngV18DykhugCMlzJkfukeyfRcRrBdKIQmqlW0v/KQlQ9EEBXKzT/sB8oOmTQytoFx19mBOi1hj4PkNdqpVfZejoWWtcxIXAaxLe9O6TiVRchslFMt3TMJHMFawKNzZ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2018-06-14T15:09:00Z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