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4 (Framework Management)</w:t>
      </w:r>
    </w:p>
    <w:p w:rsidR="00000000" w:rsidDel="00000000" w:rsidP="00000000" w:rsidRDefault="00000000" w:rsidRPr="00000000" w14:paraId="0000000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14.0" w:type="dxa"/>
        <w:jc w:val="left"/>
        <w:tblInd w:w="1008.0" w:type="dxa"/>
        <w:tblLayout w:type="fixed"/>
        <w:tblLook w:val="0400"/>
      </w:tblPr>
      <w:tblGrid>
        <w:gridCol w:w="2928"/>
        <w:gridCol w:w="5386"/>
        <w:tblGridChange w:id="0">
          <w:tblGrid>
            <w:gridCol w:w="2928"/>
            <w:gridCol w:w="5386"/>
          </w:tblGrid>
        </w:tblGridChange>
      </w:tblGrid>
      <w:tr>
        <w:trPr>
          <w:tblHeader w:val="0"/>
        </w:trPr>
        <w:tc>
          <w:tcPr>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Framework Manager"</w:t>
            </w:r>
          </w:p>
        </w:tc>
        <w:tc>
          <w:tcPr>
            <w:shd w:fill="auto" w:val="clear"/>
          </w:tcPr>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3.1 of this Schedule; and</w:t>
            </w:r>
          </w:p>
        </w:tc>
      </w:tr>
      <w:tr>
        <w:trPr>
          <w:tblHeader w:val="0"/>
        </w:trPr>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tc>
        <w:tc>
          <w:tcPr>
            <w:shd w:fill="auto" w:val="clear"/>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5"/>
              </w:tabs>
              <w:spacing w:after="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3.9 of this Schedule.</w:t>
            </w:r>
          </w:p>
        </w:tc>
      </w:tr>
    </w:tbl>
    <w:p w:rsidR="00000000" w:rsidDel="00000000" w:rsidP="00000000" w:rsidRDefault="00000000" w:rsidRPr="00000000" w14:paraId="00000008">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CCS and the Supplier will work together</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achieve this strategic relationship, there will be a requirement to adopt proactive framework management activities which will be informed by quality Management Information, and the sharing of information between the Supplier and CCS.</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outlines the general structures and management activities that the Parties shall follow during the Framework Period.</w:t>
      </w:r>
    </w:p>
    <w:p w:rsidR="00000000" w:rsidDel="00000000" w:rsidP="00000000" w:rsidRDefault="00000000" w:rsidRPr="00000000" w14:paraId="0000000C">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Management</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Management Structure</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a suitably qualified nominated contact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Framework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will take overall responsibility for delivering the Goods and/or Services required within this Contract, as well as a suitably qualified deputy to act in their absence.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put in place a structure to manage this Contract 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accordance with Framework Schedule 1 (Specification) and the Performance Indicators. </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governance structure will be agreed between the Parties as soon as reasonably practicable following the Framework Start Date.</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discussions between the Parties following the Framework Start Date, where requested by CCS the Supplier shall produce and issue to CCS a draft supplier action plan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Action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come into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effect within two weeks from receipt by the Supplier of CCS’s notification.</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to comply with its obligations in the Supplier Action Plan as updated from time to time.</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all requests from CCS in regard to compliance requirements as required including:</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 and Bradstreet risk failure score monitoring;</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evidence that the Required Insurances and Additional Insurances have been renewed and maintained;</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 payment performance; and</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verification of required accreditations &amp; certifications.</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should participate in further competitions when identified as part of the final bidder list. Failure to bid on further competitions without an acceptable reason may result in the Supplier being suspended from the Framework, in accordance with Clause 10.7 (Partially ending and suspending the contract), for a period as decided by CCS. </w:t>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Review Meetings</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performance review meetings will take place at CCS’s premises throughout the Framework Contract Period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("Supplier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such times and frequencies as CCS determine from time to time (which are anticipated to be once every Month or less)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shall be flexible about the timings of these meetings.</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will review the Supplier’s performance under this Contract and, where applicable, the Supplier’s adherence to the Supplier Action Plan. The agenda for each Supplier Review Meeting shall be set by CCS and sent to the Supplier in advance.</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may ask the Supplier to discuss any instances known to the Supplier where any Other Contracting Authority decided not to use this Framework Contract for their order.</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Review Meetings shall be attended, as a minimum, by CCS Representative(s) and the Supplier Framework Manager.</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Supplier’s Performance will be measured</w:t>
      </w:r>
    </w:p>
    <w:p w:rsidR="00000000" w:rsidDel="00000000" w:rsidP="00000000" w:rsidRDefault="00000000" w:rsidRPr="00000000" w14:paraId="00000023">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performance will be measured by the following Performance Indicators (“PI”):</w:t>
      </w:r>
    </w:p>
    <w:tbl>
      <w:tblPr>
        <w:tblStyle w:val="Table2"/>
        <w:tblW w:w="90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90"/>
        <w:gridCol w:w="1470"/>
        <w:gridCol w:w="3285"/>
        <w:tblGridChange w:id="0">
          <w:tblGrid>
            <w:gridCol w:w="4290"/>
            <w:gridCol w:w="1470"/>
            <w:gridCol w:w="3285"/>
          </w:tblGrid>
        </w:tblGridChange>
      </w:tblGrid>
      <w:tr>
        <w:trPr>
          <w:tblHeader w:val="0"/>
        </w:trPr>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Indicator (PI)</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PI Target </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80" w:before="80" w:line="276"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Measured by</w:t>
            </w:r>
          </w:p>
        </w:tc>
      </w:tr>
      <w:tr>
        <w:trPr>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keepNext w:val="1"/>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Framework Management</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 to be returned to CCS by 5th working day of each month</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Receipt via MISO System</w:t>
            </w:r>
            <w:r w:rsidDel="00000000" w:rsidR="00000000" w:rsidRPr="00000000">
              <w:rPr>
                <w:rtl w:val="0"/>
              </w:rPr>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Framework Management Charge invoices to be paid within 30 days of issue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Receipt by finance department/system.</w:t>
            </w:r>
          </w:p>
        </w:tc>
      </w:tr>
      <w:tr>
        <w:trPr>
          <w:trHeight w:val="78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80" w:before="80" w:lineRule="auto"/>
              <w:rPr>
                <w:rFonts w:ascii="Arial" w:cs="Arial" w:eastAsia="Arial" w:hAnsi="Arial"/>
                <w:sz w:val="24"/>
                <w:szCs w:val="24"/>
                <w:highlight w:val="yellow"/>
              </w:rPr>
            </w:pPr>
            <w:r w:rsidDel="00000000" w:rsidR="00000000" w:rsidRPr="00000000">
              <w:rPr>
                <w:rFonts w:ascii="Arial" w:cs="Arial" w:eastAsia="Arial" w:hAnsi="Arial"/>
                <w:rtl w:val="0"/>
              </w:rPr>
              <w:t xml:space="preserve">Provision and maintenance of Suppliers Prospectus.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1"/>
              <w:spacing w:after="80" w:before="80" w:lineRule="auto"/>
              <w:ind w:left="142" w:firstLine="0"/>
              <w:rPr>
                <w:rFonts w:ascii="Arial" w:cs="Arial" w:eastAsia="Arial" w:hAnsi="Arial"/>
                <w:sz w:val="24"/>
                <w:szCs w:val="24"/>
              </w:rPr>
            </w:pPr>
            <w:r w:rsidDel="00000000" w:rsidR="00000000" w:rsidRPr="00000000">
              <w:rPr>
                <w:rFonts w:ascii="Arial" w:cs="Arial" w:eastAsia="Arial" w:hAnsi="Arial"/>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80" w:before="80" w:lineRule="auto"/>
              <w:rPr>
                <w:rFonts w:ascii="Arial" w:cs="Arial" w:eastAsia="Arial" w:hAnsi="Arial"/>
                <w:sz w:val="24"/>
                <w:szCs w:val="24"/>
                <w:highlight w:val="yellow"/>
              </w:rPr>
            </w:pPr>
            <w:r w:rsidDel="00000000" w:rsidR="00000000" w:rsidRPr="00000000">
              <w:rPr>
                <w:rFonts w:ascii="Arial" w:cs="Arial" w:eastAsia="Arial" w:hAnsi="Arial"/>
                <w:rtl w:val="0"/>
              </w:rPr>
              <w:t xml:space="preserve">Has your Prospectus received adequate attention / maintenance / update within the reporting period in order to provide Buyers wishing to either place a direct award or run a further competition with an up to date and "informed" view of your present ability to receive an order?. To be provided quarterly by the 7th Working Day of April, July, October and January</w:t>
            </w:r>
            <w:r w:rsidDel="00000000" w:rsidR="00000000" w:rsidRPr="00000000">
              <w:rPr>
                <w:rtl w:val="0"/>
              </w:rPr>
            </w:r>
          </w:p>
        </w:tc>
      </w:tr>
      <w:tr>
        <w:trPr>
          <w:trHeight w:val="787"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Completion of Annual Self Audit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Receipt by CCS</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Actions from Annual Self Audit to be completed by agreed deadline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Receipt by CAM</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to submit documents to support compliance checks as per Framework Schedule 1 (Compliance) within 5 working days of being requested.</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Receipt by CCS</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Compliance checks demonstrate Supplier is acting in according with Framework Schedule 1 section 3.3 (Compliance)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95%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Check undertaken by CCS</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mandatory certification is kept up to date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Check undertaken by CCS</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must notify CAM of any contract extension or new contracts under the Framework within 5 working days.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Check undertaken by CCS</w:t>
            </w:r>
          </w:p>
        </w:tc>
      </w:tr>
      <w:tr>
        <w:trPr>
          <w:trHeight w:val="787"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SATISFACTION</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Customer Satisfaction (Quality of Service)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 or above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to undertake a survey quarterly</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Customer Satisfaction (Account Management)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 or above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to undertake a survey quarterly</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Customer Satisfaction (Fulfilment)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 or above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to undertake a survey quarterly</w:t>
            </w:r>
          </w:p>
        </w:tc>
      </w:tr>
      <w:tr>
        <w:trPr>
          <w:trHeight w:val="787"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COMPLAINTS</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complaints to be recorded as received within 24 hours of receipt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95%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to undertake ad hoc checks</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complaints to be dealt with in full within 5 working days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1"/>
              <w:spacing w:after="80" w:before="80"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95%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Quarterly review of MI by CCS</w:t>
            </w:r>
          </w:p>
        </w:tc>
      </w:tr>
      <w:tr>
        <w:trPr>
          <w:trHeight w:val="787"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00.0" w:type="dxa"/>
            </w:tcMar>
            <w:vAlign w:val="top"/>
          </w:tcPr>
          <w:p w:rsidR="00000000" w:rsidDel="00000000" w:rsidP="00000000" w:rsidRDefault="00000000" w:rsidRPr="00000000" w14:paraId="0000005D">
            <w:pPr>
              <w:spacing w:after="80" w:before="8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0">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to deliver the</w:t>
            </w:r>
          </w:p>
          <w:p w:rsidR="00000000" w:rsidDel="00000000" w:rsidP="00000000" w:rsidRDefault="00000000" w:rsidRPr="00000000" w14:paraId="00000061">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annual Social Delivery Statement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2">
            <w:pPr>
              <w:keepNext w:val="1"/>
              <w:spacing w:after="80" w:before="80" w:line="276"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3">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Delivery of an annual report</w:t>
            </w:r>
          </w:p>
          <w:p w:rsidR="00000000" w:rsidDel="00000000" w:rsidP="00000000" w:rsidRDefault="00000000" w:rsidRPr="00000000" w14:paraId="00000064">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detailing the Social</w:t>
            </w:r>
          </w:p>
          <w:p w:rsidR="00000000" w:rsidDel="00000000" w:rsidP="00000000" w:rsidRDefault="00000000" w:rsidRPr="00000000" w14:paraId="00000065">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Value that has</w:t>
            </w:r>
          </w:p>
          <w:p w:rsidR="00000000" w:rsidDel="00000000" w:rsidP="00000000" w:rsidRDefault="00000000" w:rsidRPr="00000000" w14:paraId="00000066">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been delivered</w:t>
            </w:r>
          </w:p>
          <w:p w:rsidR="00000000" w:rsidDel="00000000" w:rsidP="00000000" w:rsidRDefault="00000000" w:rsidRPr="00000000" w14:paraId="00000067">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 Call-Off</w:t>
            </w:r>
          </w:p>
          <w:p w:rsidR="00000000" w:rsidDel="00000000" w:rsidP="00000000" w:rsidRDefault="00000000" w:rsidRPr="00000000" w14:paraId="00000068">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Contracts under</w:t>
            </w:r>
          </w:p>
          <w:p w:rsidR="00000000" w:rsidDel="00000000" w:rsidP="00000000" w:rsidRDefault="00000000" w:rsidRPr="00000000" w14:paraId="00000069">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w:t>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A">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to deliver quarterly metric updates on relevant Social Value metrics, including but not restricted to: protected characteristic hire % rates at ‘long list, short list, appointment’ against all call-off campaigns.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B">
            <w:pPr>
              <w:keepNext w:val="1"/>
              <w:spacing w:after="80" w:before="80" w:line="276"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C">
            <w:pPr>
              <w:spacing w:after="80" w:before="80" w:lineRule="auto"/>
              <w:rPr>
                <w:rFonts w:ascii="Arial" w:cs="Arial" w:eastAsia="Arial" w:hAnsi="Arial"/>
              </w:rPr>
            </w:pPr>
            <w:r w:rsidDel="00000000" w:rsidR="00000000" w:rsidRPr="00000000">
              <w:rPr>
                <w:rFonts w:ascii="Arial" w:cs="Arial" w:eastAsia="Arial" w:hAnsi="Arial"/>
                <w:rtl w:val="0"/>
              </w:rPr>
              <w:t xml:space="preserve">CCS to undertake  review of MI</w:t>
            </w:r>
          </w:p>
          <w:p w:rsidR="00000000" w:rsidDel="00000000" w:rsidP="00000000" w:rsidRDefault="00000000" w:rsidRPr="00000000" w14:paraId="0000006D">
            <w:pPr>
              <w:spacing w:after="80" w:before="80" w:lineRule="auto"/>
              <w:rPr>
                <w:rFonts w:ascii="Arial" w:cs="Arial" w:eastAsia="Arial" w:hAnsi="Arial"/>
                <w:sz w:val="24"/>
                <w:szCs w:val="24"/>
                <w:highlight w:val="yellow"/>
              </w:rPr>
            </w:pPr>
            <w:r w:rsidDel="00000000" w:rsidR="00000000" w:rsidRPr="00000000">
              <w:rPr>
                <w:rFonts w:ascii="Arial" w:cs="Arial" w:eastAsia="Arial" w:hAnsi="Arial"/>
                <w:rtl w:val="0"/>
              </w:rPr>
              <w:t xml:space="preserve">to be provided quarterly by the 7th Working Day of April, July, October and January</w:t>
            </w:r>
            <w:r w:rsidDel="00000000" w:rsidR="00000000" w:rsidRPr="00000000">
              <w:rPr>
                <w:rtl w:val="0"/>
              </w:rPr>
            </w:r>
          </w:p>
          <w:p w:rsidR="00000000" w:rsidDel="00000000" w:rsidP="00000000" w:rsidRDefault="00000000" w:rsidRPr="00000000" w14:paraId="0000006E">
            <w:pPr>
              <w:spacing w:after="80" w:before="80" w:line="276" w:lineRule="auto"/>
              <w:rPr>
                <w:rFonts w:ascii="Arial" w:cs="Arial" w:eastAsia="Arial" w:hAnsi="Arial"/>
                <w:sz w:val="24"/>
                <w:szCs w:val="24"/>
              </w:rPr>
            </w:pPr>
            <w:r w:rsidDel="00000000" w:rsidR="00000000" w:rsidRPr="00000000">
              <w:rPr>
                <w:rtl w:val="0"/>
              </w:rPr>
            </w:r>
          </w:p>
        </w:tc>
      </w:tr>
      <w:tr>
        <w:trPr>
          <w:trHeight w:val="78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6F">
            <w:pPr>
              <w:spacing w:after="80" w:before="8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Case Study provision: where requested by CCS and the relevant Customer has consented, the supplier may be asked to provide a case study detailing evidence of Social Value initiatives demonstrated in a campaign.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70">
            <w:pPr>
              <w:keepNext w:val="1"/>
              <w:spacing w:after="80" w:before="80" w:line="276" w:lineRule="auto"/>
              <w:ind w:left="1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00.0" w:type="dxa"/>
            </w:tcMar>
            <w:vAlign w:val="top"/>
          </w:tcPr>
          <w:p w:rsidR="00000000" w:rsidDel="00000000" w:rsidP="00000000" w:rsidRDefault="00000000" w:rsidRPr="00000000" w14:paraId="00000071">
            <w:pPr>
              <w:spacing w:after="80" w:before="80" w:lineRule="auto"/>
              <w:rPr>
                <w:rFonts w:ascii="Arial" w:cs="Arial" w:eastAsia="Arial" w:hAnsi="Arial"/>
              </w:rPr>
            </w:pPr>
            <w:r w:rsidDel="00000000" w:rsidR="00000000" w:rsidRPr="00000000">
              <w:rPr>
                <w:rFonts w:ascii="Arial" w:cs="Arial" w:eastAsia="Arial" w:hAnsi="Arial"/>
                <w:sz w:val="24"/>
                <w:szCs w:val="24"/>
                <w:rtl w:val="0"/>
              </w:rPr>
              <w:t xml:space="preserve">CCS to undertake ad hoc requests</w:t>
            </w:r>
            <w:r w:rsidDel="00000000" w:rsidR="00000000" w:rsidRPr="00000000">
              <w:rPr>
                <w:rtl w:val="0"/>
              </w:rPr>
            </w:r>
          </w:p>
        </w:tc>
      </w:tr>
    </w:tbl>
    <w:p w:rsidR="00000000" w:rsidDel="00000000" w:rsidP="00000000" w:rsidRDefault="00000000" w:rsidRPr="00000000" w14:paraId="00000072">
      <w:pPr>
        <w:tabs>
          <w:tab w:val="left" w:pos="1134"/>
        </w:tabs>
        <w:spacing w:after="120" w:before="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comply with the PIs and establish processes to monitor its performance against them and the Supplier’s achievement of PIs shall be reviewed during the Supplier Review Meetings. </w:t>
      </w:r>
    </w:p>
    <w:p w:rsidR="00000000" w:rsidDel="00000000" w:rsidP="00000000" w:rsidRDefault="00000000" w:rsidRPr="00000000" w14:paraId="0000007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adjust, introduce new, or remove PIs throughout the Framework Contract Period, however any significant changes to PIs shall be agreed between CCS and the Supplier in accordance with the Variation Procedure.</w:t>
      </w:r>
    </w:p>
    <w:p w:rsidR="00000000" w:rsidDel="00000000" w:rsidP="00000000" w:rsidRDefault="00000000" w:rsidRPr="00000000" w14:paraId="0000007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use and publish the performance of the Supplier against the PIs without restriction.</w:t>
      </w:r>
    </w:p>
    <w:p w:rsidR="00000000" w:rsidDel="00000000" w:rsidP="00000000" w:rsidRDefault="00000000" w:rsidRPr="00000000" w14:paraId="00000076">
      <w:pPr>
        <w:keepNext w:val="0"/>
        <w:keepLines w:val="1"/>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Supplier must do to measure their performance</w:t>
      </w:r>
    </w:p>
    <w:p w:rsidR="00000000" w:rsidDel="00000000" w:rsidP="00000000" w:rsidRDefault="00000000" w:rsidRPr="00000000" w14:paraId="00000077">
      <w:pPr>
        <w:keepNext w:val="1"/>
        <w:keepLines w:val="1"/>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in good faith with CCS to develop efficiency tracking performance measures for this Contract. This shall include the following (but this list is not exhaustive and may be developed during the Framework Contract Period): </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tracking reductions in product volumes and product costs, in order to demonstrate that Buyers are consuming less and buying more smartly; </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metrics that are to be implemented to measure efficiency shall be developed and agreed between CCS and the Supplier. Such metrics shall be incorporated into the list of PIs set out in this Schedule.</w:t>
      </w:r>
    </w:p>
    <w:p w:rsidR="00000000" w:rsidDel="00000000" w:rsidP="00000000" w:rsidRDefault="00000000" w:rsidRPr="00000000" w14:paraId="0000007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ongoing progress and development of the efficiency tracking performance measures shall be reported through framework management activities as outlined in this Schedule.</w:t>
      </w:r>
    </w:p>
    <w:p w:rsidR="00000000" w:rsidDel="00000000" w:rsidP="00000000" w:rsidRDefault="00000000" w:rsidRPr="00000000" w14:paraId="0000007C">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to do if CCS and the Supplier can’t agree about the performance </w:t>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CCS and the Supplier are unable to agree the performance score for any PI during a Supplier Review Meeting, the disputed score shall be recorded and the matter shall be referred to CCS Authorised Representative and the Supplier Authorised Representative in order to determine the best course of action to resolve the matter (which may involve organising an ad-hoc meeting to discuss the performance issue specifically).</w:t>
      </w:r>
    </w:p>
    <w:p w:rsidR="00000000" w:rsidDel="00000000" w:rsidP="00000000" w:rsidRDefault="00000000" w:rsidRPr="00000000" w14:paraId="0000007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where CCS Authorised Representative and the Supplier Authorised Representative fail to reach a solution within a reasonable period of time, the matter shall be referred to the Dispute Resolution Procedure.</w:t>
      </w:r>
    </w:p>
    <w:p w:rsidR="00000000" w:rsidDel="00000000" w:rsidP="00000000" w:rsidRDefault="00000000" w:rsidRPr="00000000" w14:paraId="0000007F">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Marketing</w:t>
      </w:r>
    </w:p>
    <w:p w:rsidR="00000000" w:rsidDel="00000000" w:rsidP="00000000" w:rsidRDefault="00000000" w:rsidRPr="00000000" w14:paraId="0000008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 person is appointed as Supplier Marketing Contact who shall be responsible for the marketing obligations of the Supplier in relation to this Contract. </w:t>
      </w:r>
    </w:p>
    <w:p w:rsidR="00000000" w:rsidDel="00000000" w:rsidP="00000000" w:rsidRDefault="00000000" w:rsidRPr="00000000" w14:paraId="00000081">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contribute to CCS publications</w:t>
      </w:r>
    </w:p>
    <w:p w:rsidR="00000000" w:rsidDel="00000000" w:rsidP="00000000" w:rsidRDefault="00000000" w:rsidRPr="00000000" w14:paraId="0000008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supply current information relating to the Goods and/or Services it offers for inclusion in CCS marketing materials when required by CCS from time to time.</w:t>
      </w:r>
    </w:p>
    <w:p w:rsidR="00000000" w:rsidDel="00000000" w:rsidP="00000000" w:rsidRDefault="00000000" w:rsidRPr="00000000" w14:paraId="0000008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information shall be provided in such form and at such time as CCS may request.</w:t>
      </w:r>
    </w:p>
    <w:p w:rsidR="00000000" w:rsidDel="00000000" w:rsidP="00000000" w:rsidRDefault="00000000" w:rsidRPr="00000000" w14:paraId="0000008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comply with the provisions of Paragraphs 7.2 and 7.3 may result in the Supplier's exclusion from the use of such marketing materials.</w:t>
      </w:r>
    </w:p>
    <w:p w:rsidR="00000000" w:rsidDel="00000000" w:rsidP="00000000" w:rsidRDefault="00000000" w:rsidRPr="00000000" w14:paraId="00000085">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Suppliers can say in its own publications</w:t>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marketing materials produced by the Supplier in relation to this Framework shall at all times comply with the CCS branding guidance at</w:t>
        <w:tab/>
        <w:t xml:space="preserve">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https://www.gov.uk/government/publications/crown-commercial-service-supplier-logo-and-brand-guidelines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periodically update and revise its marketing materials to ensure ongoing compliance.</w:t>
      </w:r>
    </w:p>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regularly review the content of any information which appears on its website and which relates to each Contract and ensure that such information is up to date at all times.</w:t>
      </w:r>
    </w:p>
    <w:p w:rsidR="00000000" w:rsidDel="00000000" w:rsidP="00000000" w:rsidRDefault="00000000" w:rsidRPr="00000000" w14:paraId="0000008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to its reasonable satisfaction within one (1) Month of receipt of such notice, shall have the right to remove such content itself or require that the Supplier immediately arranges the removal of such content.</w:t>
      </w:r>
    </w:p>
    <w:p w:rsidR="00000000" w:rsidDel="00000000" w:rsidP="00000000" w:rsidRDefault="00000000" w:rsidRPr="00000000" w14:paraId="0000008A">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Where CCS might oversee parts of the Call-Off Contracts</w:t>
      </w:r>
    </w:p>
    <w:p w:rsidR="00000000" w:rsidDel="00000000" w:rsidP="00000000" w:rsidRDefault="00000000" w:rsidRPr="00000000" w14:paraId="0000008B">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have oversight of certain processes which are operated under Call-Off Contracts. Such oversight shall be provided in relation to the operation of the following Schedules in each Call-Off  Contract:</w:t>
      </w:r>
    </w:p>
    <w:p w:rsidR="00000000" w:rsidDel="00000000" w:rsidP="00000000" w:rsidRDefault="00000000" w:rsidRPr="00000000" w14:paraId="0000008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both"/>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3 (Continuous Improvement);</w:t>
      </w:r>
    </w:p>
    <w:p w:rsidR="00000000" w:rsidDel="00000000" w:rsidP="00000000" w:rsidRDefault="00000000" w:rsidRPr="00000000" w14:paraId="0000008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8 (Business Continuity and Disaster Recovery);</w:t>
      </w:r>
      <w:r w:rsidDel="00000000" w:rsidR="00000000" w:rsidRPr="00000000">
        <w:rPr>
          <w:rtl w:val="0"/>
        </w:rPr>
      </w:r>
    </w:p>
    <w:p w:rsidR="00000000" w:rsidDel="00000000" w:rsidP="00000000" w:rsidRDefault="00000000" w:rsidRPr="00000000" w14:paraId="0000008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9 (Security); and</w:t>
      </w:r>
    </w:p>
    <w:p w:rsidR="00000000" w:rsidDel="00000000" w:rsidP="00000000" w:rsidRDefault="00000000" w:rsidRPr="00000000" w14:paraId="0000008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Call-Off Schedule 16 (Benchmarking).</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2160" w:right="0" w:hanging="4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"Supported Schedules"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the Supplier must support CCS involvement</w:t>
      </w:r>
    </w:p>
    <w:p w:rsidR="00000000" w:rsidDel="00000000" w:rsidP="00000000" w:rsidRDefault="00000000" w:rsidRPr="00000000" w14:paraId="00000092">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co-operate as reasonably required by CCS in relation to the Supported Schedules including:</w:t>
      </w:r>
    </w:p>
    <w:p w:rsidR="00000000" w:rsidDel="00000000" w:rsidP="00000000" w:rsidRDefault="00000000" w:rsidRPr="00000000" w14:paraId="00000093">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information;</w:t>
      </w:r>
    </w:p>
    <w:p w:rsidR="00000000" w:rsidDel="00000000" w:rsidP="00000000" w:rsidRDefault="00000000" w:rsidRPr="00000000" w14:paraId="00000094">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allowing CCS to act as agent for the Buyers under the Supported Schedules for such matters as CCS may notify to the Supplier from time to time; and</w:t>
      </w:r>
    </w:p>
    <w:p w:rsidR="00000000" w:rsidDel="00000000" w:rsidP="00000000" w:rsidRDefault="00000000" w:rsidRPr="00000000" w14:paraId="00000095">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matters as CCS may notify to the Supplier from time to time.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 CCS might manage the process for Buyers collectively </w:t>
      </w:r>
    </w:p>
    <w:p w:rsidR="00000000" w:rsidDel="00000000" w:rsidP="00000000" w:rsidRDefault="00000000" w:rsidRPr="00000000" w14:paraId="00000097">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general oversight as referred to above the following specific oversight shall apply to the individual Supported Schedules:</w:t>
      </w:r>
      <w:r w:rsidDel="00000000" w:rsidR="00000000" w:rsidRPr="00000000">
        <w:rPr>
          <w:rtl w:val="0"/>
        </w:rPr>
      </w:r>
    </w:p>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3 (Continuous Improvement) - the Supplier shall:</w:t>
      </w:r>
    </w:p>
    <w:p w:rsidR="00000000" w:rsidDel="00000000" w:rsidP="00000000" w:rsidRDefault="00000000" w:rsidRPr="00000000" w14:paraId="0000009A">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 a policy of continuous improvement in relation to the Deliverables;</w:t>
      </w:r>
    </w:p>
    <w:p w:rsidR="00000000" w:rsidDel="00000000" w:rsidP="00000000" w:rsidRDefault="00000000" w:rsidRPr="00000000" w14:paraId="0000009B">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maintain and update a continuous improvement plan for improving the provision of the Deliverables and/or reducing the Charges and, where requested by CCS, incorporate any improvement identified in accordance with the Variation Procedure.</w:t>
      </w:r>
    </w:p>
    <w:p w:rsidR="00000000" w:rsidDel="00000000" w:rsidP="00000000" w:rsidRDefault="00000000" w:rsidRPr="00000000" w14:paraId="0000009C">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1"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8 (Business Continuity and Disaster Recovery) - the Supplier shall:</w:t>
      </w:r>
    </w:p>
    <w:p w:rsidR="00000000" w:rsidDel="00000000" w:rsidP="00000000" w:rsidRDefault="00000000" w:rsidRPr="00000000" w14:paraId="0000009D">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BCDR plan that can be used by each Buyer and shall make it available to CCS so that it can be published to potential Buyers; an</w:t>
      </w:r>
      <w:r w:rsidDel="00000000" w:rsidR="00000000" w:rsidRPr="00000000">
        <w:rPr>
          <w:rFonts w:ascii="Arial" w:cs="Arial" w:eastAsia="Arial" w:hAnsi="Arial"/>
          <w:sz w:val="24"/>
          <w:szCs w:val="24"/>
          <w:rtl w:val="0"/>
        </w:rPr>
        <w:t xml:space="preserve">d</w:t>
      </w:r>
      <w:r w:rsidDel="00000000" w:rsidR="00000000" w:rsidRPr="00000000">
        <w:rPr>
          <w:rtl w:val="0"/>
        </w:rPr>
      </w:r>
    </w:p>
    <w:p w:rsidR="00000000" w:rsidDel="00000000" w:rsidP="00000000" w:rsidRDefault="00000000" w:rsidRPr="00000000" w14:paraId="0000009E">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the invocation or potential invocation of any BCDR plan and the Supplier shall provide such support as CCS may reasonably require to coordinate the application of BCDR plans across all Call Off Contracts.</w:t>
      </w:r>
    </w:p>
    <w:p w:rsidR="00000000" w:rsidDel="00000000" w:rsidP="00000000" w:rsidRDefault="00000000" w:rsidRPr="00000000" w14:paraId="0000009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9 (Security) - the Supplier shall:</w:t>
      </w:r>
    </w:p>
    <w:p w:rsidR="00000000" w:rsidDel="00000000" w:rsidP="00000000" w:rsidRDefault="00000000" w:rsidRPr="00000000" w14:paraId="000000A0">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4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and hold a template Security Plan that can be used by each Buyer and shall make it available to CCS so that it can be published to potential Buyers; and</w:t>
      </w:r>
    </w:p>
    <w:p w:rsidR="00000000" w:rsidDel="00000000" w:rsidP="00000000" w:rsidRDefault="00000000" w:rsidRPr="00000000" w14:paraId="000000A1">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CCS in the event of breach of any Security Plan and the Supplier shall provide such support as CCS may reasonably require to coordinate the application of Security Plans across all Call Off Contracts.</w:t>
      </w:r>
    </w:p>
    <w:p w:rsidR="00000000" w:rsidDel="00000000" w:rsidP="00000000" w:rsidRDefault="00000000" w:rsidRPr="00000000" w14:paraId="000000A2">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Call-Off Schedule 16 (Benchmarking) - the Supplier:</w:t>
      </w:r>
    </w:p>
    <w:p w:rsidR="00000000" w:rsidDel="00000000" w:rsidP="00000000" w:rsidRDefault="00000000" w:rsidRPr="00000000" w14:paraId="000000A3">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notify CCS in the event that any benchmarker is appoint in respect of any Call Off Contract and the Supplier recognises that CCS may want to co-ordinate how benchmarking is conducted across multiple Call Off Contracts;</w:t>
      </w:r>
    </w:p>
    <w:p w:rsidR="00000000" w:rsidDel="00000000" w:rsidP="00000000" w:rsidRDefault="00000000" w:rsidRPr="00000000" w14:paraId="000000A4">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where CCS is appointed as agent by Buyers in respect of benchmarking, co-operate with CCS in order to operate the benchmarking as efficiently as possible;</w:t>
      </w:r>
    </w:p>
    <w:p w:rsidR="00000000" w:rsidDel="00000000" w:rsidP="00000000" w:rsidRDefault="00000000" w:rsidRPr="00000000" w14:paraId="000000A5">
      <w:pPr>
        <w:keepNext w:val="0"/>
        <w:keepLines w:val="0"/>
        <w:widowControl w:val="1"/>
        <w:numPr>
          <w:ilvl w:val="3"/>
          <w:numId w:val="2"/>
        </w:numPr>
        <w:pBdr>
          <w:top w:space="0" w:sz="0" w:val="nil"/>
          <w:left w:space="0" w:sz="0" w:val="nil"/>
          <w:bottom w:space="0" w:sz="0" w:val="nil"/>
          <w:right w:space="0" w:sz="0" w:val="nil"/>
          <w:between w:space="0" w:sz="0" w:val="nil"/>
        </w:pBdr>
        <w:shd w:fill="auto" w:val="clear"/>
        <w:tabs>
          <w:tab w:val="left" w:pos="1985"/>
          <w:tab w:val="left" w:pos="1985"/>
          <w:tab w:val="left" w:pos="2552"/>
        </w:tabs>
        <w:spacing w:after="120" w:before="120" w:line="240" w:lineRule="auto"/>
        <w:ind w:left="2552"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agrees that notwithstanding the remainder of Clause 15 (Confidentiality) in the Core Terms, CCS shall be entitled to publish the results of any benchmarking of the Framework Prices to Other Contracting Authorities (subject to the other party entering into reasonable confidentiality undertakings).</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tab/>
    </w: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spacing w:after="0" w:line="240" w:lineRule="auto"/>
      <w:jc w:val="both"/>
      <w:rPr/>
    </w:pPr>
    <w:r w:rsidDel="00000000" w:rsidR="00000000" w:rsidRPr="00000000">
      <w:rPr>
        <w:rFonts w:ascii="Arial" w:cs="Arial" w:eastAsia="Arial" w:hAnsi="Arial"/>
        <w:sz w:val="20"/>
        <w:szCs w:val="20"/>
        <w:rtl w:val="0"/>
      </w:rPr>
      <w:t xml:space="preserve">Model Version: v3.4</w:t>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4 (Framework Management)</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4 (Framework Management)</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720"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3799" w:hanging="1133.9999999999998"/>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cs="Times New Roman" w:eastAsia="Times New Roman" w:hAnsi="Arial"/>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val="1"/>
    <w:qFormat w:val="1"/>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2"/>
      </w:numPr>
      <w:tabs>
        <w:tab w:val="left" w:pos="142"/>
      </w:tabs>
      <w:adjustRightInd w:val="0"/>
      <w:spacing w:after="240" w:before="120" w:line="240" w:lineRule="auto"/>
      <w:ind w:left="426" w:hanging="426"/>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adjustRightInd w:val="0"/>
      <w:spacing w:after="120" w:before="120" w:line="240" w:lineRule="auto"/>
      <w:ind w:left="1656"/>
      <w:jc w:val="both"/>
    </w:pPr>
    <w:rPr>
      <w:rFonts w:ascii="Calibri" w:cs="Arial" w:eastAsia="Times New Roman" w:hAnsi="Calibri"/>
      <w:lang w:eastAsia="zh-CN"/>
    </w:rPr>
  </w:style>
  <w:style w:type="paragraph" w:styleId="GPSL4numberedclause" w:customStyle="1">
    <w:name w:val="GPS L4 numbered clause"/>
    <w:basedOn w:val="GPSL3numberedclause"/>
    <w:qFormat w:val="1"/>
    <w:pPr>
      <w:numPr>
        <w:ilvl w:val="3"/>
      </w:numPr>
      <w:tabs>
        <w:tab w:val="clear" w:pos="1985"/>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overflowPunct w:val="0"/>
      <w:autoSpaceDE w:val="0"/>
      <w:autoSpaceDN w:val="0"/>
      <w:adjustRightInd w:val="0"/>
      <w:spacing w:after="120" w:line="240" w:lineRule="auto"/>
      <w:jc w:val="both"/>
      <w:textAlignment w:val="baseline"/>
    </w:pPr>
    <w:rPr>
      <w:rFonts w:ascii="Calibri" w:cs="Arial" w:eastAsia="Times New Roman" w:hAnsi="Calibri"/>
    </w:rPr>
  </w:style>
  <w:style w:type="paragraph" w:styleId="GPSDefinitionL2" w:customStyle="1">
    <w:name w:val="GPS Definition L2"/>
    <w:basedOn w:val="GPsDefinition"/>
    <w:qFormat w:val="1"/>
    <w:pPr>
      <w:numPr>
        <w:ilvl w:val="1"/>
      </w:numPr>
      <w:ind w:hanging="544"/>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Calibri" w:cs="Arial" w:eastAsia="Times New Roman" w:hAnsi="Calibri"/>
      <w:b w:val="1"/>
    </w:rPr>
  </w:style>
  <w:style w:type="paragraph" w:styleId="GPSL1SCHEDULEHeading" w:customStyle="1">
    <w:name w:val="GPS L1 SCHEDULE Heading"/>
    <w:basedOn w:val="GPSL1CLAUSEHEADING"/>
    <w:link w:val="GPSL1SCHEDULEHeadingChar"/>
    <w:qFormat w:val="1"/>
    <w:rsid w:val="005C6957"/>
    <w:pPr>
      <w:ind w:left="360" w:hanging="360"/>
      <w:outlineLvl w:val="9"/>
    </w:pPr>
    <w:rPr>
      <w:caps w:val="0"/>
    </w:r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Calibri" w:cs="Arial" w:eastAsia="Times New Roman" w:hAnsi="Calibri"/>
      <w:color w:val="ffffff"/>
      <w:sz w:val="16"/>
      <w:szCs w:val="16"/>
    </w:rPr>
  </w:style>
  <w:style w:type="paragraph" w:styleId="GPSL2Numbered" w:customStyle="1">
    <w:name w:val="GPS L2 Numbered"/>
    <w:basedOn w:val="GPSL2NumberedBoldHeading"/>
    <w:link w:val="GPSL2NumberedChar"/>
    <w:qFormat w:val="1"/>
    <w:pPr>
      <w:tabs>
        <w:tab w:val="clear" w:pos="1134"/>
      </w:tabs>
      <w:ind w:left="720"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5C6957"/>
    <w:rPr>
      <w:rFonts w:ascii="Calibri" w:cs="Arial" w:eastAsia="STZhongsong" w:hAnsi="Calibri"/>
      <w:b w:val="1"/>
      <w:lang w:eastAsia="zh-CN"/>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character" w:styleId="Heading8Char" w:customStyle="1">
    <w:name w:val="Heading 8 Char"/>
    <w:basedOn w:val="DefaultParagraphFont"/>
    <w:link w:val="Heading8"/>
    <w:rPr>
      <w:rFonts w:asciiTheme="majorHAnsi" w:cstheme="majorBidi" w:eastAsiaTheme="majorEastAsia" w:hAnsiTheme="majorHAnsi"/>
      <w:color w:val="404040" w:themeColor="text1" w:themeTint="0000BF"/>
      <w:sz w:val="20"/>
      <w:szCs w:val="20"/>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numbering" w:styleId="WWOutlineListStyle8" w:customStyle="1">
    <w:name w:val="WW_OutlineListStyle_8"/>
    <w:basedOn w:val="NoList"/>
    <w:pPr>
      <w:numPr>
        <w:numId w:val="4"/>
      </w:numPr>
    </w:pPr>
  </w:style>
  <w:style w:type="character" w:styleId="Hyperlink">
    <w:name w:val="Hyperlink"/>
    <w:basedOn w:val="DefaultParagraphFont"/>
    <w:uiPriority w:val="99"/>
    <w:unhideWhenUsed w:val="1"/>
    <w:rPr>
      <w:color w:val="0000ff" w:themeColor="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Revision">
    <w:name w:val="Revision"/>
    <w:hidden w:val="1"/>
    <w:uiPriority w:val="99"/>
    <w:semiHidden w:val="1"/>
    <w:pPr>
      <w:spacing w:after="0" w:line="240" w:lineRule="auto"/>
    </w:pPr>
  </w:style>
  <w:style w:type="paragraph" w:styleId="GPSL2numberedclause" w:customStyle="1">
    <w:name w:val="GPS L2 numbered clause"/>
    <w:basedOn w:val="Normal"/>
    <w:link w:val="GPSL2numberedclauseChar1"/>
    <w:qFormat w:val="1"/>
    <w:pPr>
      <w:tabs>
        <w:tab w:val="num" w:pos="720"/>
        <w:tab w:val="left" w:pos="1134"/>
      </w:tabs>
      <w:adjustRightInd w:val="0"/>
      <w:spacing w:after="120" w:before="120" w:line="240" w:lineRule="auto"/>
      <w:ind w:left="720" w:hanging="720"/>
      <w:jc w:val="both"/>
    </w:pPr>
    <w:rPr>
      <w:rFonts w:ascii="Calibri" w:cs="Arial" w:eastAsia="Times New Roman" w:hAnsi="Calibri"/>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rown-commercial-service-supplier-logo-and-brand-guidelin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JcZML64Tpo0c4170XcmlGCFlA==">AMUW2mWkfVLqy5gLgYq57HtY22a5Z7akha6VHng3yhaehtXTvZL6XzaZzW8hxfrqmAfyXenxpzBvT3M0juJjiW38tY11nQdl7eH2vWSqqf0+cKqDUhrFzb7GkQw7ffyA5gKZTGlsX6V6iDnSEb2DEcFFpREYYfVLX/BEmE0Bjx4ZebwljH+BaZXv+0djTJ8qByZGAnBDEhA7/hNEHOld/krTs8+WwogoSJcc56tW2CGakSNzVl4auNs=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2020-10-06T15:38:00Z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