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02">
      <w:pPr>
        <w:spacing w:after="120" w:before="12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03">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04">
      <w:pPr>
        <w:spacing w:after="120" w:before="12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name]</w:t>
      </w:r>
      <w:r w:rsidDel="00000000" w:rsidR="00000000" w:rsidRPr="00000000">
        <w:rPr>
          <w:rtl w:val="0"/>
        </w:rPr>
      </w:r>
    </w:p>
    <w:p w:rsidR="00000000" w:rsidDel="00000000" w:rsidP="00000000" w:rsidRDefault="00000000" w:rsidRPr="00000000" w14:paraId="00000005">
      <w:pPr>
        <w:spacing w:after="120" w:before="12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business address]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8">
      <w:pPr>
        <w:spacing w:after="120" w:before="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9">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0A">
      <w:pPr>
        <w:spacing w:after="120" w:before="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0B">
      <w:pPr>
        <w:spacing w:after="120" w:before="12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0C">
      <w:pPr>
        <w:spacing w:after="0" w:line="256"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This Order Form, when completed and executed by both Parties, forms a Call-Off Contract. A Call-Off Contract can be completed and executed using an equivalent document or electronic purchase order system </w:t>
      </w:r>
      <w:r w:rsidDel="00000000" w:rsidR="00000000" w:rsidRPr="00000000">
        <w:rPr>
          <w:rFonts w:ascii="Arial" w:cs="Arial" w:eastAsia="Arial" w:hAnsi="Arial"/>
          <w:sz w:val="24"/>
          <w:szCs w:val="24"/>
          <w:rtl w:val="0"/>
        </w:rPr>
        <w:t xml:space="preserve">or Framework Schedule 6A (Simple Order Form). When Framework Schedule 6A (Simple Order Form) is used the order of precedence described below and all of the Joint Schedules, Call-Off Schedules and Core Terms apply unless otherwise indicated. </w:t>
      </w:r>
    </w:p>
    <w:p w:rsidR="00000000" w:rsidDel="00000000" w:rsidP="00000000" w:rsidRDefault="00000000" w:rsidRPr="00000000" w14:paraId="0000000D">
      <w:pPr>
        <w:spacing w:after="120" w:before="12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sz w:val="24"/>
          <w:szCs w:val="24"/>
          <w:highlight w:val="yellow"/>
          <w:rtl w:val="0"/>
        </w:rPr>
        <w:t xml:space="preserve">starting from ‘APPLICABLE FRAMEWORK CONTRACT’ and up to, but not including, the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Signature block</w:t>
      </w:r>
      <w:r w:rsidDel="00000000" w:rsidR="00000000" w:rsidRPr="00000000">
        <w:rPr>
          <w:rtl w:val="0"/>
        </w:rPr>
      </w:r>
    </w:p>
    <w:p w:rsidR="00000000" w:rsidDel="00000000" w:rsidP="00000000" w:rsidRDefault="00000000" w:rsidRPr="00000000" w14:paraId="0000000E">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if you, as the Buyer, add to or amend any aspect of any Call-Off Schedule, then </w:t>
      </w:r>
      <w:r w:rsidDel="00000000" w:rsidR="00000000" w:rsidRPr="00000000">
        <w:rPr>
          <w:rFonts w:ascii="Arial" w:cs="Arial" w:eastAsia="Arial" w:hAnsi="Arial"/>
          <w:b w:val="1"/>
          <w:sz w:val="24"/>
          <w:szCs w:val="24"/>
          <w:rtl w:val="0"/>
        </w:rPr>
        <w:t xml:space="preserve">you must send the updated Schedule</w:t>
      </w:r>
      <w:r w:rsidDel="00000000" w:rsidR="00000000" w:rsidRPr="00000000">
        <w:rPr>
          <w:rFonts w:ascii="Arial" w:cs="Arial" w:eastAsia="Arial" w:hAnsi="Arial"/>
          <w:sz w:val="24"/>
          <w:szCs w:val="24"/>
          <w:rtl w:val="0"/>
        </w:rPr>
        <w:t xml:space="preserve"> with the Order Form to the Supplier</w:t>
      </w:r>
    </w:p>
    <w:p w:rsidR="00000000" w:rsidDel="00000000" w:rsidP="00000000" w:rsidRDefault="00000000" w:rsidRPr="00000000" w14:paraId="0000000F">
      <w:pPr>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Retain the highlighted Bronze Contract wording below only if this is applicable to this Call-Off Contrac</w:t>
      </w:r>
      <w:r w:rsidDel="00000000" w:rsidR="00000000" w:rsidRPr="00000000">
        <w:rPr>
          <w:rFonts w:ascii="Arial" w:cs="Arial" w:eastAsia="Arial" w:hAnsi="Arial"/>
          <w:sz w:val="24"/>
          <w:szCs w:val="24"/>
          <w:rtl w:val="0"/>
        </w:rPr>
        <w:t xml:space="preserve">t]</w:t>
      </w:r>
    </w:p>
    <w:p w:rsidR="00000000" w:rsidDel="00000000" w:rsidP="00000000" w:rsidRDefault="00000000" w:rsidRPr="00000000" w14:paraId="00000010">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p>
    <w:p w:rsidR="00000000" w:rsidDel="00000000" w:rsidP="00000000" w:rsidRDefault="00000000" w:rsidRPr="00000000" w14:paraId="00000011">
      <w:pPr>
        <w:spacing w:after="120" w:before="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12">
      <w:pPr>
        <w:spacing w:after="120" w:before="12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RM6244 for the provision of Purchase of Standard and Specialist Vehicles. </w:t>
      </w:r>
    </w:p>
    <w:p w:rsidR="00000000" w:rsidDel="00000000" w:rsidP="00000000" w:rsidRDefault="00000000" w:rsidRPr="00000000" w14:paraId="00000013">
      <w:pPr>
        <w:tabs>
          <w:tab w:val="left" w:pos="2257"/>
        </w:tabs>
        <w:spacing w:after="120" w:before="120" w:line="259" w:lineRule="auto"/>
        <w:ind w:left="2880" w:hanging="2880"/>
        <w:rPr>
          <w:rFonts w:ascii="Arial" w:cs="Arial" w:eastAsia="Arial" w:hAnsi="Arial"/>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4">
      <w:pPr>
        <w:tabs>
          <w:tab w:val="left" w:pos="2257"/>
        </w:tabs>
        <w:spacing w:after="120" w:before="120" w:line="259"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LOT(S):</w:t>
      </w:r>
    </w:p>
    <w:p w:rsidR="00000000" w:rsidDel="00000000" w:rsidP="00000000" w:rsidRDefault="00000000" w:rsidRPr="00000000" w14:paraId="00000015">
      <w:pPr>
        <w:tabs>
          <w:tab w:val="left" w:pos="2257"/>
        </w:tabs>
        <w:spacing w:after="120" w:before="120" w:line="259" w:lineRule="auto"/>
        <w:ind w:left="2880" w:hanging="2880"/>
        <w:rPr>
          <w:rFonts w:ascii="Arial" w:cs="Arial" w:eastAsia="Arial" w:hAnsi="Arial"/>
          <w:b w:val="1"/>
          <w:i w:val="1"/>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relevant lot numbers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Not applicable]</w:t>
      </w:r>
      <w:r w:rsidDel="00000000" w:rsidR="00000000" w:rsidRPr="00000000">
        <w:rPr>
          <w:rtl w:val="0"/>
        </w:rPr>
      </w:r>
    </w:p>
    <w:p w:rsidR="00000000" w:rsidDel="00000000" w:rsidP="00000000" w:rsidRDefault="00000000" w:rsidRPr="00000000" w14:paraId="00000016">
      <w:pPr>
        <w:keepNext w:val="1"/>
        <w:spacing w:after="120" w:before="120" w:line="259" w:lineRule="auto"/>
        <w:rPr>
          <w:rFonts w:ascii="Arial" w:cs="Arial" w:eastAsia="Arial" w:hAnsi="Arial"/>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17">
      <w:pPr>
        <w:keepNext w:val="1"/>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18">
      <w:pPr>
        <w:keepNext w:val="1"/>
        <w:spacing w:after="0" w:line="256.7994545454545"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sz w:val="24"/>
          <w:szCs w:val="24"/>
          <w:highlight w:val="yellow"/>
          <w:rtl w:val="0"/>
        </w:rPr>
        <w:t xml:space="preserve">This is a Bronze Contract.</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9">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12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including the Call-Off Special Terms and Call-Off Special Schedules.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1(Definitions and Interpretation) RM6244</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Terms </w:t>
        <w:br w:type="textWrapping"/>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will incorporate all of the Framework Special Terms into the Call-Off Contract. This will need to be amended to specify which are included if it is anticipated that some will be excluded.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1D">
      <w:pPr>
        <w:keepNext w:val="1"/>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spacing w:after="120" w:before="12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CCS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 that is not listed in the final Framework Award Form.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Joint or Call-Off Schedules that have been added to the final Framework Award Form. You</w:t>
      </w:r>
      <w:r w:rsidDel="00000000" w:rsidR="00000000" w:rsidRPr="00000000">
        <w:rPr>
          <w:rFonts w:ascii="Arial" w:cs="Arial" w:eastAsia="Arial" w:hAnsi="Arial"/>
          <w:b w:val="1"/>
          <w:color w:val="000000"/>
          <w:sz w:val="24"/>
          <w:szCs w:val="24"/>
          <w:rtl w:val="0"/>
        </w:rPr>
        <w:t xml:space="preserve"> must </w:t>
      </w:r>
      <w:r w:rsidDel="00000000" w:rsidR="00000000" w:rsidRPr="00000000">
        <w:rPr>
          <w:rFonts w:ascii="Arial" w:cs="Arial" w:eastAsia="Arial" w:hAnsi="Arial"/>
          <w:color w:val="000000"/>
          <w:sz w:val="24"/>
          <w:szCs w:val="24"/>
          <w:rtl w:val="0"/>
        </w:rPr>
        <w:t xml:space="preserve">ensure that all schedules in this list are available to Buyers on the CCS web site, as finalised at Framework award.]</w:t>
      </w:r>
    </w:p>
    <w:p w:rsidR="00000000" w:rsidDel="00000000" w:rsidP="00000000" w:rsidRDefault="00000000" w:rsidRPr="00000000" w14:paraId="0000001F">
      <w:pPr>
        <w:keepNext w:val="1"/>
        <w:pBdr>
          <w:top w:space="0" w:sz="0" w:val="nil"/>
          <w:left w:space="0" w:sz="0" w:val="nil"/>
          <w:bottom w:space="0" w:sz="0" w:val="nil"/>
          <w:right w:space="0" w:sz="0" w:val="nil"/>
          <w:between w:space="0" w:sz="0" w:val="nil"/>
        </w:pBdr>
        <w:spacing w:after="120" w:before="12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sz w:val="24"/>
          <w:szCs w:val="24"/>
          <w:rtl w:val="0"/>
        </w:rPr>
        <w:t xml:space="preserve">Joint Schedule 7</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Call-Off Schedule 8</w:t>
      </w:r>
      <w:r w:rsidDel="00000000" w:rsidR="00000000" w:rsidRPr="00000000">
        <w:rPr>
          <w:rFonts w:ascii="Arial" w:cs="Arial" w:eastAsia="Arial" w:hAnsi="Arial"/>
          <w:sz w:val="24"/>
          <w:szCs w:val="24"/>
          <w:rtl w:val="0"/>
        </w:rPr>
        <w:t xml:space="preserve"> contain optional terms which can be switched on by including the wording in the list below. These optional terms are for use where the Call-Off Contract is a Bronze Contract only.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RM6244</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6 (Key Subcontractors)</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7 (Financial Difficulties) </w:t>
      </w:r>
      <w:r w:rsidDel="00000000" w:rsidR="00000000" w:rsidRPr="00000000">
        <w:rPr>
          <w:rFonts w:ascii="Courier New" w:cs="Courier New" w:eastAsia="Courier New" w:hAnsi="Courier New"/>
          <w:sz w:val="24"/>
          <w:szCs w:val="24"/>
          <w:highlight w:val="yellow"/>
          <w:rtl w:val="0"/>
        </w:rPr>
        <w:t xml:space="preserve">o</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Arial" w:cs="Arial" w:eastAsia="Arial" w:hAnsi="Arial"/>
          <w:sz w:val="24"/>
          <w:szCs w:val="24"/>
          <w:highlight w:val="yellow"/>
          <w:rtl w:val="0"/>
        </w:rPr>
        <w:t xml:space="preserve">] [including Annex 5 – Optional Terms for Bronze Contracts]</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8 (Guarantee) </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9 (Minimum Standards of Reliability)</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12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Call-Off reference number]</w:t>
        <w:tab/>
        <w:tab/>
        <w:tab/>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5 (Pricing Details)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7 (Key Supplier Staff)</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8 (Business Continuity and Disaster Recovery) </w:t>
      </w:r>
      <w:r w:rsidDel="00000000" w:rsidR="00000000" w:rsidRPr="00000000">
        <w:rPr>
          <w:rFonts w:ascii="Arial" w:cs="Arial" w:eastAsia="Arial" w:hAnsi="Arial"/>
          <w:sz w:val="24"/>
          <w:szCs w:val="24"/>
          <w:highlight w:val="yellow"/>
          <w:rtl w:val="0"/>
        </w:rPr>
        <w:t xml:space="preserve">[amended for a Bronze Contract as per paragraph 10 of Part A of that Schedule]</w:t>
      </w:r>
      <w:r w:rsidDel="00000000" w:rsidR="00000000" w:rsidRPr="00000000">
        <w:rPr>
          <w:rtl w:val="0"/>
        </w:rPr>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9 (Security)</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10 (Exit Management) </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12 (Clustering) </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14 (Service Levels) </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15 (Call-Off Contract Management) </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16 (Benchmarking)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17 (MOD Terms) </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18 (Background Checks)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19 (Scottish Law)</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20 (Call-Off Specification)</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21 (Northern Ireland Law)</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120" w:before="12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23 (</w:t>
      </w:r>
      <w:r w:rsidDel="00000000" w:rsidR="00000000" w:rsidRPr="00000000">
        <w:rPr>
          <w:rFonts w:ascii="Arial" w:cs="Arial" w:eastAsia="Arial" w:hAnsi="Arial"/>
          <w:sz w:val="24"/>
          <w:szCs w:val="24"/>
          <w:highlight w:val="yellow"/>
          <w:rtl w:val="0"/>
        </w:rPr>
        <w:t xml:space="preserve">HMRC Terms</w:t>
      </w:r>
      <w:r w:rsidDel="00000000" w:rsidR="00000000" w:rsidRPr="00000000">
        <w:rPr>
          <w:rFonts w:ascii="Arial" w:cs="Arial" w:eastAsia="Arial" w:hAnsi="Arial"/>
          <w:color w:val="000000"/>
          <w:sz w:val="24"/>
          <w:szCs w:val="24"/>
          <w:highlight w:val="yellow"/>
          <w:rtl w:val="0"/>
        </w:rPr>
        <w:t xml:space="preserv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RM6244</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120" w:before="12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3F">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40">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42">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Term 3.2.3 The Supplier transfers risk of the Goods on Delivery and ownership of the Goods on payment for those Goods.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Term 3.2.4 Risk in the Goods remains with the Supplier if the Buyer notices damage at the time of Delivery.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Term 3.2.10 The Supplier must indemnify the Buyer against the direct costs of any Recall of the Goods and give notice of actual or anticipated action about the Recall of the Goods.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4.</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Term 3.2.11 The Buyer can cancel any order or part order of Goods which has not been Delivered. The Buyer will pay the Supplier’s reasonable and proven costs already incurred on the cancelled order as long as the Supplier takes all reasonable steps to minimise these costs, including an attempt to redeploy the in-build vehicle to an alternative customer. Cancellation terms for converted vehicles or vehicles above 3.5 tonnes should be agreed by the Buyer and Supplier prior to award of the Call-Off Contract.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7"/>
        </w:tabs>
        <w:spacing w:after="120" w:before="120" w:line="259" w:lineRule="auto"/>
        <w:ind w:left="0" w:right="0" w:firstLine="0"/>
        <w:jc w:val="left"/>
        <w:rPr>
          <w:rFonts w:ascii="Arial" w:cs="Arial" w:eastAsia="Arial" w:hAnsi="Arial"/>
          <w:sz w:val="24"/>
          <w:szCs w:val="24"/>
          <w:shd w:fill="ffd966" w:val="clear"/>
        </w:rPr>
      </w:pPr>
      <w:r w:rsidDel="00000000" w:rsidR="00000000" w:rsidRPr="00000000">
        <w:rPr>
          <w:rFonts w:ascii="Arial" w:cs="Arial" w:eastAsia="Arial" w:hAnsi="Arial"/>
          <w:sz w:val="24"/>
          <w:szCs w:val="24"/>
          <w:rtl w:val="0"/>
        </w:rPr>
        <w:t xml:space="preserve">Core Term 4.1 In exchange for the Deliverables, the Supplier must invoice the Buyer or Requesting Body for the Charges in the Order Form.</w:t>
      </w:r>
      <w:r w:rsidDel="00000000" w:rsidR="00000000" w:rsidRPr="00000000">
        <w:rPr>
          <w:rtl w:val="0"/>
        </w:rPr>
      </w:r>
    </w:p>
    <w:p w:rsidR="00000000" w:rsidDel="00000000" w:rsidP="00000000" w:rsidRDefault="00000000" w:rsidRPr="00000000" w14:paraId="00000051">
      <w:pPr>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yellow"/>
          <w:rtl w:val="0"/>
        </w:rPr>
        <w:t xml:space="preserve">[Inset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53">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r>
      <w:r w:rsidDel="00000000" w:rsidR="00000000" w:rsidRPr="00000000">
        <w:rPr>
          <w:rFonts w:ascii="Arial" w:cs="Arial" w:eastAsia="Arial" w:hAnsi="Arial"/>
          <w:b w:val="1"/>
          <w:sz w:val="24"/>
          <w:szCs w:val="24"/>
          <w:highlight w:val="yellow"/>
          <w:rtl w:val="0"/>
        </w:rPr>
        <w:t xml:space="preserve">[Inset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54">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Years, Months] </w:t>
      </w:r>
    </w:p>
    <w:p w:rsidR="00000000" w:rsidDel="00000000" w:rsidP="00000000" w:rsidRDefault="00000000" w:rsidRPr="00000000" w14:paraId="00000055">
      <w:pPr>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57">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complete</w:t>
      </w:r>
      <w:r w:rsidDel="00000000" w:rsidR="00000000" w:rsidRPr="00000000">
        <w:rPr>
          <w:rFonts w:ascii="Arial" w:cs="Arial" w:eastAsia="Arial" w:hAnsi="Arial"/>
          <w:sz w:val="24"/>
          <w:szCs w:val="24"/>
          <w:rtl w:val="0"/>
        </w:rPr>
        <w:t xml:space="preserve"> option A or, if Deliverables are too complex for this form,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20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w:t>
      </w:r>
    </w:p>
    <w:p w:rsidR="00000000" w:rsidDel="00000000" w:rsidP="00000000" w:rsidRDefault="00000000" w:rsidRPr="00000000" w14:paraId="00000058">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 [Name of Deliverable][Quantity][Delivery date][Details]]</w:t>
      </w:r>
      <w:r w:rsidDel="00000000" w:rsidR="00000000" w:rsidRPr="00000000">
        <w:rPr>
          <w:rtl w:val="0"/>
        </w:rPr>
      </w:r>
    </w:p>
    <w:p w:rsidR="00000000" w:rsidDel="00000000" w:rsidP="00000000" w:rsidRDefault="00000000" w:rsidRPr="00000000" w14:paraId="00000059">
      <w:pPr>
        <w:tabs>
          <w:tab w:val="left" w:pos="2257"/>
        </w:tabs>
        <w:spacing w:after="120" w:before="12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20 (Call-Off Specification)]</w:t>
      </w:r>
      <w:r w:rsidDel="00000000" w:rsidR="00000000" w:rsidRPr="00000000">
        <w:rPr>
          <w:rtl w:val="0"/>
        </w:rPr>
      </w:r>
    </w:p>
    <w:p w:rsidR="00000000" w:rsidDel="00000000" w:rsidP="00000000" w:rsidRDefault="00000000" w:rsidRPr="00000000" w14:paraId="0000005A">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5C">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p>
    <w:p w:rsidR="00000000" w:rsidDel="00000000" w:rsidP="00000000" w:rsidRDefault="00000000" w:rsidRPr="00000000" w14:paraId="0000005D">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can change the cap on liability in Clause 11.2 where you have made an appropriate risk assessment and sought the necessary management approvals. Unlimited liability is not permitted]</w:t>
      </w:r>
    </w:p>
    <w:p w:rsidR="00000000" w:rsidDel="00000000" w:rsidP="00000000" w:rsidRDefault="00000000" w:rsidRPr="00000000" w14:paraId="0000005E">
      <w:pPr>
        <w:tabs>
          <w:tab w:val="left" w:pos="2257"/>
        </w:tabs>
        <w:spacing w:after="120" w:before="12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Estimated Charges in the first 12 months of the Contract. The Buyer must always provide a figure here]</w:t>
      </w:r>
      <w:r w:rsidDel="00000000" w:rsidR="00000000" w:rsidRPr="00000000">
        <w:rPr>
          <w:rtl w:val="0"/>
        </w:rPr>
      </w:r>
    </w:p>
    <w:p w:rsidR="00000000" w:rsidDel="00000000" w:rsidP="00000000" w:rsidRDefault="00000000" w:rsidRPr="00000000" w14:paraId="0000005F">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61">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A or, if charging model is too complex to detail in this form or must be embedded,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5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 </w:t>
      </w:r>
    </w:p>
    <w:p w:rsidR="00000000" w:rsidDel="00000000" w:rsidP="00000000" w:rsidRDefault="00000000" w:rsidRPr="00000000" w14:paraId="00000062">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Charges for the Deliverables]</w:t>
      </w:r>
    </w:p>
    <w:p w:rsidR="00000000" w:rsidDel="00000000" w:rsidP="00000000" w:rsidRDefault="00000000" w:rsidRPr="00000000" w14:paraId="00000063">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5 (Pricing Details)]</w:t>
      </w:r>
      <w:r w:rsidDel="00000000" w:rsidR="00000000" w:rsidRPr="00000000">
        <w:rPr>
          <w:rtl w:val="0"/>
        </w:rPr>
      </w:r>
    </w:p>
    <w:p w:rsidR="00000000" w:rsidDel="00000000" w:rsidP="00000000" w:rsidRDefault="00000000" w:rsidRPr="00000000" w14:paraId="00000064">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used: All changes to the Charges must use procedures that are equivalent to those in Paragraphs 4, 5 and 6 (if used) in Framework Schedule 3 (Framework Prices)]</w:t>
      </w:r>
    </w:p>
    <w:p w:rsidR="00000000" w:rsidDel="00000000" w:rsidP="00000000" w:rsidRDefault="00000000" w:rsidRPr="00000000" w14:paraId="00000065">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by direct award or if not otherwise used: 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tabs>
          <w:tab w:val="left" w:pos="2257"/>
        </w:tabs>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tabs>
          <w:tab w:val="left" w:pos="2257"/>
        </w:tabs>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Change in Law]</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tabs>
          <w:tab w:val="left" w:pos="2257"/>
        </w:tabs>
        <w:spacing w:after="120" w:before="12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using Call-Off Schedule 16 (Benchmarking)]</w:t>
      </w:r>
    </w:p>
    <w:p w:rsidR="00000000" w:rsidDel="00000000" w:rsidP="00000000" w:rsidRDefault="00000000" w:rsidRPr="00000000" w14:paraId="00000069">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6B">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highlight w:val="yellow"/>
          <w:rtl w:val="0"/>
        </w:rPr>
        <w:t xml:space="preserve">None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highlight w:val="yellow"/>
          <w:rtl w:val="0"/>
        </w:rPr>
        <w:t xml:space="preserve"> Recoverable as stated in the Framework Contract]</w:t>
      </w: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6E">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payment method(s) and necessary details]</w:t>
      </w:r>
      <w:r w:rsidDel="00000000" w:rsidR="00000000" w:rsidRPr="00000000">
        <w:rPr>
          <w:rtl w:val="0"/>
        </w:rPr>
      </w:r>
    </w:p>
    <w:p w:rsidR="00000000" w:rsidDel="00000000" w:rsidP="00000000" w:rsidRDefault="00000000" w:rsidRPr="00000000" w14:paraId="0000006F">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71">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72">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73">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74">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75">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77">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78">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79">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7A">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7B">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7D">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7E">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7F">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81">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82">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83">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85">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6">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7">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8">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9">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8B">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C">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D">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E">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F">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91">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report frequency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092">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94">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meeting frequency:</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095">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97">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8">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9">
      <w:pPr>
        <w:tabs>
          <w:tab w:val="left" w:pos="2257"/>
        </w:tabs>
        <w:spacing w:after="120" w:before="12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A">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9B">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contract details]</w:t>
      </w:r>
    </w:p>
    <w:p w:rsidR="00000000" w:rsidDel="00000000" w:rsidP="00000000" w:rsidRDefault="00000000" w:rsidRPr="00000000" w14:paraId="0000009C">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9E">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name (registered name if registered)] </w:t>
      </w:r>
    </w:p>
    <w:p w:rsidR="00000000" w:rsidDel="00000000" w:rsidP="00000000" w:rsidRDefault="00000000" w:rsidRPr="00000000" w14:paraId="0000009F">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A2">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0A3">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w:t>
      </w:r>
    </w:p>
    <w:p w:rsidR="00000000" w:rsidDel="00000000" w:rsidP="00000000" w:rsidRDefault="00000000" w:rsidRPr="00000000" w14:paraId="000000A5">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A6">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Service Credits will accrue in accordance with Call-Off Schedule 14 (Service Levels). </w:t>
      </w:r>
    </w:p>
    <w:p w:rsidR="00000000" w:rsidDel="00000000" w:rsidP="00000000" w:rsidRDefault="00000000" w:rsidRPr="00000000" w14:paraId="000000A7">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 Cap is: </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£value].</w:t>
      </w:r>
    </w:p>
    <w:p w:rsidR="00000000" w:rsidDel="00000000" w:rsidP="00000000" w:rsidRDefault="00000000" w:rsidRPr="00000000" w14:paraId="000000A8">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Period is: </w:t>
      </w:r>
      <w:r w:rsidDel="00000000" w:rsidR="00000000" w:rsidRPr="00000000">
        <w:rPr>
          <w:rFonts w:ascii="Arial" w:cs="Arial" w:eastAsia="Arial" w:hAnsi="Arial"/>
          <w:b w:val="1"/>
          <w:sz w:val="24"/>
          <w:szCs w:val="24"/>
          <w:highlight w:val="yellow"/>
          <w:rtl w:val="0"/>
        </w:rPr>
        <w:t xml:space="preserve">[Insert duration:</w:t>
      </w:r>
      <w:r w:rsidDel="00000000" w:rsidR="00000000" w:rsidRPr="00000000">
        <w:rPr>
          <w:rFonts w:ascii="Arial" w:cs="Arial" w:eastAsia="Arial" w:hAnsi="Arial"/>
          <w:sz w:val="24"/>
          <w:szCs w:val="24"/>
          <w:rtl w:val="0"/>
        </w:rPr>
        <w:t xml:space="preserve"> one Month]</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Buyer</w:t>
      </w:r>
      <w:r w:rsidDel="00000000" w:rsidR="00000000" w:rsidRPr="00000000">
        <w:rPr>
          <w:rFonts w:ascii="Arial" w:cs="Arial" w:eastAsia="Arial" w:hAnsi="Arial"/>
          <w:color w:val="000000"/>
          <w:sz w:val="24"/>
          <w:szCs w:val="24"/>
          <w:highlight w:val="yellow"/>
          <w:rtl w:val="0"/>
        </w:rPr>
        <w:t xml:space="preserve"> to define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A">
      <w:pPr>
        <w:tabs>
          <w:tab w:val="left" w:pos="2257"/>
        </w:tabs>
        <w:spacing w:after="120" w:before="12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AC">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AD">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details of Additional Insurances required in accordance with Joint Schedule 3 (Insurance Requirements) ]</w:t>
      </w:r>
    </w:p>
    <w:p w:rsidR="00000000" w:rsidDel="00000000" w:rsidP="00000000" w:rsidRDefault="00000000" w:rsidRPr="00000000" w14:paraId="000000AE">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B0">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1">
      <w:pPr>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must have a Call-Off Guarantor to guarantee their performance using the form in Joint Schedule 8 (Guarantee)</w:t>
      </w:r>
    </w:p>
    <w:p w:rsidR="00000000" w:rsidDel="00000000" w:rsidP="00000000" w:rsidRDefault="00000000" w:rsidRPr="00000000" w14:paraId="000000B2">
      <w:pPr>
        <w:tabs>
          <w:tab w:val="left" w:pos="2257"/>
        </w:tabs>
        <w:spacing w:after="120" w:before="12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There’s a guarantee of the Supplier's performance provided for all Call-Off Contracts entered under the Framework Contract]</w:t>
      </w:r>
    </w:p>
    <w:p w:rsidR="00000000" w:rsidDel="00000000" w:rsidP="00000000" w:rsidRDefault="00000000" w:rsidRPr="00000000" w14:paraId="000000B3">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B5">
      <w:pPr>
        <w:spacing w:after="120" w:before="12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B6">
      <w:pPr>
        <w:spacing w:after="120" w:before="120" w:line="240" w:lineRule="auto"/>
        <w:jc w:val="both"/>
        <w:rPr>
          <w:rFonts w:ascii="Arial" w:cs="Arial" w:eastAsia="Arial" w:hAnsi="Arial"/>
          <w:sz w:val="24"/>
          <w:szCs w:val="24"/>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50" w:hRule="atLeast"/>
          <w:tblHeader w:val="0"/>
        </w:trPr>
        <w:tc>
          <w:tcPr>
            <w:gridSpan w:val="2"/>
          </w:tcPr>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B9">
            <w:pPr>
              <w:keepNext w:val="1"/>
              <w:pBdr>
                <w:top w:space="0" w:sz="0" w:val="nil"/>
                <w:left w:space="0" w:sz="0" w:val="nil"/>
                <w:bottom w:space="0" w:sz="0" w:val="nil"/>
                <w:right w:space="0" w:sz="0" w:val="nil"/>
                <w:between w:space="0" w:sz="0" w:val="nil"/>
              </w:pBd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203" w:hRule="atLeast"/>
          <w:tblHeader w:val="0"/>
        </w:trPr>
        <w:tc>
          <w:tcPr/>
          <w:p w:rsidR="00000000" w:rsidDel="00000000" w:rsidP="00000000" w:rsidRDefault="00000000" w:rsidRPr="00000000" w14:paraId="000000BB">
            <w:pPr>
              <w:keepNext w:val="1"/>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BC">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BD">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BE">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0BF">
            <w:pPr>
              <w:keepNext w:val="1"/>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C0">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179" w:hRule="atLeast"/>
          <w:tblHeader w:val="0"/>
        </w:trPr>
        <w:tc>
          <w:tcPr/>
          <w:p w:rsidR="00000000" w:rsidDel="00000000" w:rsidP="00000000" w:rsidRDefault="00000000" w:rsidRPr="00000000" w14:paraId="000000C3">
            <w:pPr>
              <w:keepNext w:val="1"/>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C4">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5">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C6">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50" w:hRule="atLeast"/>
          <w:tblHeader w:val="0"/>
        </w:trPr>
        <w:tc>
          <w:tcPr/>
          <w:p w:rsidR="00000000" w:rsidDel="00000000" w:rsidP="00000000" w:rsidRDefault="00000000" w:rsidRPr="00000000" w14:paraId="000000C7">
            <w:pPr>
              <w:keepNext w:val="1"/>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CB">
      <w:pPr>
        <w:spacing w:after="120" w:before="12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b w:val="1"/>
          <w:sz w:val="24"/>
          <w:szCs w:val="24"/>
          <w:highlight w:val="yellow"/>
          <w:rtl w:val="0"/>
        </w:rPr>
        <w:t xml:space="preserve">[Buyer guidance: </w:t>
      </w:r>
      <w:r w:rsidDel="00000000" w:rsidR="00000000" w:rsidRPr="00000000">
        <w:rPr>
          <w:rFonts w:ascii="Arial" w:cs="Arial" w:eastAsia="Arial" w:hAnsi="Arial"/>
          <w:color w:val="1f497d"/>
          <w:sz w:val="24"/>
          <w:szCs w:val="24"/>
          <w:rtl w:val="0"/>
        </w:rPr>
        <w:t xml:space="preserve">e</w:t>
      </w:r>
      <w:r w:rsidDel="00000000" w:rsidR="00000000" w:rsidRPr="00000000">
        <w:rPr>
          <w:rFonts w:ascii="Arial" w:cs="Arial" w:eastAsia="Arial" w:hAnsi="Arial"/>
          <w:sz w:val="24"/>
          <w:szCs w:val="24"/>
          <w:rtl w:val="0"/>
        </w:rPr>
        <w:t xml:space="preserv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0D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v3.8</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0"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0MB7JtDZvAo4m/wTxLc9v8aNQ==">AMUW2mVTk46JqHKTc7KVTRdO0ewe3rrpfBaw+eou8Ff3uXC6FjPQ+n+b9RbNI1T0EDYjPc1sCHcZbLhtJ3o22J/CGl//z/whTYZMbpy6SHCQ60yjVTYYR/dJhvWkCZWoCpsrU1wK9yE4U3vEw2DZi4elQ2EUbxoqlw==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2021-02-11T17:42:00Z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