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after="120" w:befor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Framework Schedule 7 (Call-Off Award Procedure</w:t>
      </w:r>
      <w:bookmarkStart w:colFirst="0" w:colLast="0" w:name="bookmark=id.gjdgxs" w:id="0"/>
      <w:bookmarkEnd w:id="0"/>
      <w:r w:rsidDel="00000000" w:rsidR="00000000" w:rsidRPr="00000000">
        <w:rPr>
          <w:rFonts w:ascii="Arial" w:cs="Arial" w:eastAsia="Arial" w:hAnsi="Arial"/>
          <w:b w:val="1"/>
          <w:color w:val="000000"/>
          <w:sz w:val="36"/>
          <w:szCs w:val="36"/>
          <w:rtl w:val="0"/>
        </w:rPr>
        <w:t xml:space="preserve">) </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pacing w:after="120" w:befor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Part 1: Order Procedure</w:t>
      </w:r>
    </w:p>
    <w:p w:rsidR="00000000" w:rsidDel="00000000" w:rsidP="00000000" w:rsidRDefault="00000000" w:rsidRPr="00000000" w14:paraId="00000003">
      <w:pPr>
        <w:keepNext w:val="1"/>
        <w:widowControl w:val="1"/>
        <w:numPr>
          <w:ilvl w:val="0"/>
          <w:numId w:val="2"/>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How a Call-Off Contract is awarded</w:t>
      </w:r>
    </w:p>
    <w:p w:rsidR="00000000" w:rsidDel="00000000" w:rsidP="00000000" w:rsidRDefault="00000000" w:rsidRPr="00000000" w14:paraId="00000004">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If a potential Buyer decides to source Deliverables through this Contract then it will award its Deliverables in accordance with the procedure in this Schedule and the requirements of the Regulations. </w:t>
      </w:r>
      <w:r w:rsidDel="00000000" w:rsidR="00000000" w:rsidRPr="00000000">
        <w:rPr>
          <w:rFonts w:ascii="Arial" w:cs="Arial" w:eastAsia="Arial" w:hAnsi="Arial"/>
          <w:sz w:val="24"/>
          <w:szCs w:val="24"/>
          <w:rtl w:val="0"/>
        </w:rPr>
        <w:t xml:space="preserve">The award may be made directly to the Supplier or with a Supplier’s appointed dealer and in either case the Supplier shall remain fully responsible under the terms of this Framework Contract and Call-Off Contract for the supply of the Deliverables to the Buyer or Requesting Body.</w:t>
      </w:r>
      <w:r w:rsidDel="00000000" w:rsidR="00000000" w:rsidRPr="00000000">
        <w:rPr>
          <w:rtl w:val="0"/>
        </w:rPr>
      </w:r>
    </w:p>
    <w:p w:rsidR="00000000" w:rsidDel="00000000" w:rsidP="00000000" w:rsidRDefault="00000000" w:rsidRPr="00000000" w14:paraId="00000005">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If the potential Buyer can determine that:</w:t>
      </w:r>
    </w:p>
    <w:p w:rsidR="00000000" w:rsidDel="00000000" w:rsidP="00000000" w:rsidRDefault="00000000" w:rsidRPr="00000000" w14:paraId="00000006">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its Deliverables can be met by the Suppliers’ catalogues </w:t>
      </w:r>
      <w:r w:rsidDel="00000000" w:rsidR="00000000" w:rsidRPr="00000000">
        <w:rPr>
          <w:rFonts w:ascii="Arial" w:cs="Arial" w:eastAsia="Arial" w:hAnsi="Arial"/>
          <w:sz w:val="24"/>
          <w:szCs w:val="24"/>
          <w:rtl w:val="0"/>
        </w:rPr>
        <w:t xml:space="preserve">(including the vehicle descriptions on the Fleet Portal) </w:t>
      </w:r>
      <w:r w:rsidDel="00000000" w:rsidR="00000000" w:rsidRPr="00000000">
        <w:rPr>
          <w:rFonts w:ascii="Arial" w:cs="Arial" w:eastAsia="Arial" w:hAnsi="Arial"/>
          <w:color w:val="000000"/>
          <w:sz w:val="24"/>
          <w:szCs w:val="24"/>
          <w:rtl w:val="0"/>
        </w:rPr>
        <w:t xml:space="preserve">and description of the Deliverables as set out in Framework Schedule 1 (Specification) and Framework Schedule 2 (Framework Tender); and</w:t>
      </w:r>
    </w:p>
    <w:p w:rsidR="00000000" w:rsidDel="00000000" w:rsidP="00000000" w:rsidRDefault="00000000" w:rsidRPr="00000000" w14:paraId="00000007">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of the terms of the proposed Call-Off Contract are laid down in this Contract and do not require amendment or any supplementary terms and conditions;</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tabs>
          <w:tab w:val="left" w:pos="4536"/>
        </w:tabs>
        <w:spacing w:after="2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the Buyer may award a Call-Off Contract in accordance with the procedure set out in Paragraph 2 below.</w:t>
      </w:r>
    </w:p>
    <w:p w:rsidR="00000000" w:rsidDel="00000000" w:rsidP="00000000" w:rsidRDefault="00000000" w:rsidRPr="00000000" w14:paraId="00000009">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all of the terms of the proposed Call-Off Contract are not laid down in this Contract and the potential Buyer:</w:t>
      </w:r>
    </w:p>
    <w:p w:rsidR="00000000" w:rsidDel="00000000" w:rsidP="00000000" w:rsidRDefault="00000000" w:rsidRPr="00000000" w14:paraId="0000000A">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requires the Supplier to develop proposals or a solution in respect of such Deliverables; and/or</w:t>
      </w:r>
    </w:p>
    <w:p w:rsidR="00000000" w:rsidDel="00000000" w:rsidP="00000000" w:rsidRDefault="00000000" w:rsidRPr="00000000" w14:paraId="0000000B">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needs to amend or refine the terms of the Framework Contract to reflect its Deliverables to the extent permitted by and in accordance with the Regulations;</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left" w:pos="4536"/>
        </w:tabs>
        <w:spacing w:after="220" w:lineRule="auto"/>
        <w:ind w:left="9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the Buyer may award a Call-Off Contract in accordance with the Further Competition Procedure set out in Paragraph 3 below.</w:t>
      </w:r>
    </w:p>
    <w:p w:rsidR="00000000" w:rsidDel="00000000" w:rsidP="00000000" w:rsidRDefault="00000000" w:rsidRPr="00000000" w14:paraId="0000000D">
      <w:pPr>
        <w:keepNext w:val="1"/>
        <w:widowControl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How a direct award works</w:t>
      </w:r>
    </w:p>
    <w:p w:rsidR="00000000" w:rsidDel="00000000" w:rsidP="00000000" w:rsidRDefault="00000000" w:rsidRPr="00000000" w14:paraId="0000000E">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1.2 above the Buyer awarding a Call-Off Contract under this Contract without holding a further competition shall:</w:t>
      </w:r>
    </w:p>
    <w:p w:rsidR="00000000" w:rsidDel="00000000" w:rsidP="00000000" w:rsidRDefault="00000000" w:rsidRPr="00000000" w14:paraId="0000000F">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 a clear Statement of Requirements;</w:t>
      </w:r>
    </w:p>
    <w:p w:rsidR="00000000" w:rsidDel="00000000" w:rsidP="00000000" w:rsidRDefault="00000000" w:rsidRPr="00000000" w14:paraId="00000010">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apply the direct award criteria to the Suppliers’ catalogues </w:t>
      </w:r>
      <w:r w:rsidDel="00000000" w:rsidR="00000000" w:rsidRPr="00000000">
        <w:rPr>
          <w:rFonts w:ascii="Arial" w:cs="Arial" w:eastAsia="Arial" w:hAnsi="Arial"/>
          <w:sz w:val="24"/>
          <w:szCs w:val="24"/>
          <w:highlight w:val="white"/>
          <w:rtl w:val="0"/>
        </w:rPr>
        <w:t xml:space="preserve">(including the vehicle descriptions and prices on the Fleet Portal or, where appropriate by requesting the Supplier to state the Charges payable for the Deliverables)</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color w:val="000000"/>
          <w:sz w:val="24"/>
          <w:szCs w:val="24"/>
          <w:rtl w:val="0"/>
        </w:rPr>
        <w:t xml:space="preserve">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rsidR="00000000" w:rsidDel="00000000" w:rsidP="00000000" w:rsidRDefault="00000000" w:rsidRPr="00000000" w14:paraId="00000011">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the basis set out above, award the Call-Off Contract with the successful Supplier in accordance with Paragraph 6 below.</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tabs>
          <w:tab w:val="left" w:pos="3641"/>
        </w:tabs>
        <w:spacing w:after="120" w:before="120" w:lineRule="auto"/>
        <w:ind w:left="1985"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keepNext w:val="1"/>
        <w:widowControl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How a further competition works</w:t>
      </w:r>
    </w:p>
    <w:p w:rsidR="00000000" w:rsidDel="00000000" w:rsidP="00000000" w:rsidRDefault="00000000" w:rsidRPr="00000000" w14:paraId="00000014">
      <w:pPr>
        <w:keepNext w:val="1"/>
        <w:widowControl w:val="1"/>
        <w:pBdr>
          <w:top w:space="0" w:sz="0" w:val="nil"/>
          <w:left w:space="0" w:sz="0" w:val="nil"/>
          <w:bottom w:space="0" w:sz="0" w:val="nil"/>
          <w:right w:space="0" w:sz="0" w:val="nil"/>
          <w:between w:space="0" w:sz="0" w:val="nil"/>
        </w:pBdr>
        <w:tabs>
          <w:tab w:val="left" w:pos="3054"/>
        </w:tabs>
        <w:spacing w:after="120" w:before="120" w:lineRule="auto"/>
        <w:ind w:left="1134" w:hanging="774"/>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the Buyer has to do</w:t>
      </w:r>
    </w:p>
    <w:p w:rsidR="00000000" w:rsidDel="00000000" w:rsidP="00000000" w:rsidRDefault="00000000" w:rsidRPr="00000000" w14:paraId="00000015">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awarding a Call-Off Contract under this Contract through a Further Competition Procedure shall:</w:t>
      </w:r>
    </w:p>
    <w:p w:rsidR="00000000" w:rsidDel="00000000" w:rsidP="00000000" w:rsidRDefault="00000000" w:rsidRPr="00000000" w14:paraId="00000016">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develop a Statement of Requirements setting out its requirements for the Deliverables and identify the Suppliers capable of supplying the them;</w:t>
      </w:r>
    </w:p>
    <w:p w:rsidR="00000000" w:rsidDel="00000000" w:rsidP="00000000" w:rsidRDefault="00000000" w:rsidRPr="00000000" w14:paraId="00000017">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amend or refine the Deliverables to reflect its requirements by using the Order Form only to the extent permitted by and in accordance with the requirements of the Regulations;</w:t>
      </w:r>
    </w:p>
    <w:p w:rsidR="00000000" w:rsidDel="00000000" w:rsidP="00000000" w:rsidRDefault="00000000" w:rsidRPr="00000000" w14:paraId="00000018">
      <w:pPr>
        <w:keepNext w:val="1"/>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invite tenders by conducting a Further Competition Procedure for its Deliverables in accordance with the Regulations and in particular:</w:t>
      </w:r>
    </w:p>
    <w:p w:rsidR="00000000" w:rsidDel="00000000" w:rsidP="00000000" w:rsidRDefault="00000000" w:rsidRPr="00000000" w14:paraId="00000019">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 Electronic Reverse Auction (as defined in Paragraph 7 below) is to be held, the Buyer shall notify the Suppliers identified in accordance with Paragraph 3.1.1 and shall conduct the Further Competition Procedure in accordance with the procedures set out in Paragraph 3; or</w:t>
      </w:r>
    </w:p>
    <w:p w:rsidR="00000000" w:rsidDel="00000000" w:rsidP="00000000" w:rsidRDefault="00000000" w:rsidRPr="00000000" w14:paraId="0000001A">
      <w:pPr>
        <w:keepNext w:val="1"/>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 Electronic Reverse Auction is not used, the Buyer shall:</w:t>
      </w:r>
    </w:p>
    <w:p w:rsidR="00000000" w:rsidDel="00000000" w:rsidP="00000000" w:rsidRDefault="00000000" w:rsidRPr="00000000" w14:paraId="0000001B">
      <w:pPr>
        <w:widowControl w:val="1"/>
        <w:numPr>
          <w:ilvl w:val="4"/>
          <w:numId w:val="1"/>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invite the Suppliers identified in accordance with Paragraph 3.1.1 to submit a tender in writing for each proposed Call-Off Contract to be awarded by giving written notice by email to the relevant Supplier Representative of each Supplier;</w:t>
      </w:r>
    </w:p>
    <w:p w:rsidR="00000000" w:rsidDel="00000000" w:rsidP="00000000" w:rsidRDefault="00000000" w:rsidRPr="00000000" w14:paraId="0000001C">
      <w:pPr>
        <w:widowControl w:val="1"/>
        <w:numPr>
          <w:ilvl w:val="4"/>
          <w:numId w:val="1"/>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 a time limit for the receipt by it of the tenders which takes into account factors such as the complexity of the subject matter of the proposed Call-Off Contract and the time needed to submit tenders; and</w:t>
      </w:r>
    </w:p>
    <w:p w:rsidR="00000000" w:rsidDel="00000000" w:rsidP="00000000" w:rsidRDefault="00000000" w:rsidRPr="00000000" w14:paraId="0000001D">
      <w:pPr>
        <w:widowControl w:val="1"/>
        <w:numPr>
          <w:ilvl w:val="4"/>
          <w:numId w:val="1"/>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keep each tender confidential until the time limit set out for the return of tenders has expired.</w:t>
      </w:r>
    </w:p>
    <w:p w:rsidR="00000000" w:rsidDel="00000000" w:rsidP="00000000" w:rsidRDefault="00000000" w:rsidRPr="00000000" w14:paraId="0000001E">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apply the further competition award criteria to the Suppliers' compliant tenders submitted through the Further Competition Procedure as the basis of its decision to award a Call-Off Contract for its Deliverables;</w:t>
      </w:r>
    </w:p>
    <w:p w:rsidR="00000000" w:rsidDel="00000000" w:rsidP="00000000" w:rsidRDefault="00000000" w:rsidRPr="00000000" w14:paraId="0000001F">
      <w:pPr>
        <w:keepNext w:val="1"/>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the basis set out above, award its Call-Off Contract to the successful Supplier in accordance with Paragraph 6. The Call-Off Contract shall:</w:t>
      </w:r>
    </w:p>
    <w:p w:rsidR="00000000" w:rsidDel="00000000" w:rsidP="00000000" w:rsidRDefault="00000000" w:rsidRPr="00000000" w14:paraId="00000020">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state the Deliverables;</w:t>
      </w:r>
    </w:p>
    <w:p w:rsidR="00000000" w:rsidDel="00000000" w:rsidP="00000000" w:rsidRDefault="00000000" w:rsidRPr="00000000" w14:paraId="00000021">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state the tender submitted by the successful Supplier;</w:t>
      </w:r>
    </w:p>
    <w:p w:rsidR="00000000" w:rsidDel="00000000" w:rsidP="00000000" w:rsidRDefault="00000000" w:rsidRPr="00000000" w14:paraId="00000022">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state the Charges payable for the Deliverables in accordance with the tender submitted by the successful Supplier; and</w:t>
      </w:r>
    </w:p>
    <w:p w:rsidR="00000000" w:rsidDel="00000000" w:rsidP="00000000" w:rsidRDefault="00000000" w:rsidRPr="00000000" w14:paraId="00000023">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incorporate the terms [of the Order Form and Contract] (as may be amended or refined by the Buyer in accordance with Paragraph 3.1.2. above) applicable to the Deliverables,</w:t>
      </w:r>
    </w:p>
    <w:p w:rsidR="00000000" w:rsidDel="00000000" w:rsidP="00000000" w:rsidRDefault="00000000" w:rsidRPr="00000000" w14:paraId="00000024">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unsuccessful Suppliers with written feedback in relation to the reasons why their tenders were unsuccessful.</w:t>
      </w:r>
    </w:p>
    <w:p w:rsidR="00000000" w:rsidDel="00000000" w:rsidP="00000000" w:rsidRDefault="00000000" w:rsidRPr="00000000" w14:paraId="00000025">
      <w:pPr>
        <w:keepNext w:val="1"/>
        <w:widowControl w:val="1"/>
        <w:pBdr>
          <w:top w:space="0" w:sz="0" w:val="nil"/>
          <w:left w:space="0" w:sz="0" w:val="nil"/>
          <w:bottom w:space="0" w:sz="0" w:val="nil"/>
          <w:right w:space="0" w:sz="0" w:val="nil"/>
          <w:between w:space="0" w:sz="0" w:val="nil"/>
        </w:pBdr>
        <w:tabs>
          <w:tab w:val="left" w:pos="3054"/>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the Supplier has to do</w:t>
      </w:r>
    </w:p>
    <w:p w:rsidR="00000000" w:rsidDel="00000000" w:rsidP="00000000" w:rsidRDefault="00000000" w:rsidRPr="00000000" w14:paraId="00000026">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shall in writing, by the time and date specified by the Buyer following an invitation to tender pursuant to Paragraph 3.1.3 above, provide CCS and the Buyer with either:</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tabs>
          <w:tab w:val="left" w:pos="3641"/>
        </w:tabs>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statement to the effect that it does not wish to tender in relation to the Deliverables; or</w:t>
      </w:r>
    </w:p>
    <w:p w:rsidR="00000000" w:rsidDel="00000000" w:rsidP="00000000" w:rsidRDefault="00000000" w:rsidRPr="00000000" w14:paraId="00000029">
      <w:pPr>
        <w:keepNext w:val="1"/>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full details of its tender made in respect of the relevant Statement of Requirements. In the event that the Supplier submits such a tender, it should include, as a minimum:</w:t>
      </w:r>
    </w:p>
    <w:p w:rsidR="00000000" w:rsidDel="00000000" w:rsidP="00000000" w:rsidRDefault="00000000" w:rsidRPr="00000000" w14:paraId="0000002A">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email response subject line to comprise unique reference number and Supplier name, so as to clearly identify the Supplier;</w:t>
      </w:r>
    </w:p>
    <w:p w:rsidR="00000000" w:rsidDel="00000000" w:rsidP="00000000" w:rsidRDefault="00000000" w:rsidRPr="00000000" w14:paraId="0000002B">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brief summary, in the email (followed by a confirmation letter), stating that the Supplier is bidding for the Statement of Requirements;</w:t>
      </w:r>
    </w:p>
    <w:p w:rsidR="00000000" w:rsidDel="00000000" w:rsidP="00000000" w:rsidRDefault="00000000" w:rsidRPr="00000000" w14:paraId="0000002C">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proposal covering the Deliverables;</w:t>
      </w:r>
    </w:p>
    <w:p w:rsidR="00000000" w:rsidDel="00000000" w:rsidP="00000000" w:rsidRDefault="00000000" w:rsidRPr="00000000" w14:paraId="0000002D">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CVs of key staff – as a minimum any lead consultant, with others, as considered appropriate along with required staff levels (if necessary); and</w:t>
      </w:r>
    </w:p>
    <w:p w:rsidR="00000000" w:rsidDel="00000000" w:rsidP="00000000" w:rsidRDefault="00000000" w:rsidRPr="00000000" w14:paraId="0000002E">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of discounts applicable to the Deliverables, as referenced in Framework Schedule 3 (Framework Prices) (if applicable).</w:t>
      </w:r>
    </w:p>
    <w:p w:rsidR="00000000" w:rsidDel="00000000" w:rsidP="00000000" w:rsidRDefault="00000000" w:rsidRPr="00000000" w14:paraId="0000002F">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p>
    <w:p w:rsidR="00000000" w:rsidDel="00000000" w:rsidP="00000000" w:rsidRDefault="00000000" w:rsidRPr="00000000" w14:paraId="00000030">
      <w:pPr>
        <w:keepNext w:val="1"/>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agrees that:</w:t>
      </w:r>
    </w:p>
    <w:p w:rsidR="00000000" w:rsidDel="00000000" w:rsidP="00000000" w:rsidRDefault="00000000" w:rsidRPr="00000000" w14:paraId="00000031">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p>
    <w:p w:rsidR="00000000" w:rsidDel="00000000" w:rsidP="00000000" w:rsidRDefault="00000000" w:rsidRPr="00000000" w14:paraId="00000032">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000000" w:rsidDel="00000000" w:rsidP="00000000" w:rsidRDefault="00000000" w:rsidRPr="00000000" w14:paraId="00000033">
      <w:pPr>
        <w:widowControl w:val="1"/>
        <w:numPr>
          <w:ilvl w:val="4"/>
          <w:numId w:val="1"/>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000000" w:rsidDel="00000000" w:rsidP="00000000" w:rsidRDefault="00000000" w:rsidRPr="00000000" w14:paraId="00000034">
      <w:pPr>
        <w:widowControl w:val="1"/>
        <w:numPr>
          <w:ilvl w:val="4"/>
          <w:numId w:val="1"/>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enter into any arrangement or agreement with any other person that he or the other person(s) shall refrain from submitting a tender or as to the amount of any tenders to be submitted.</w:t>
      </w:r>
    </w:p>
    <w:p w:rsidR="00000000" w:rsidDel="00000000" w:rsidP="00000000" w:rsidRDefault="00000000" w:rsidRPr="00000000" w14:paraId="00000035">
      <w:pPr>
        <w:keepNext w:val="1"/>
        <w:widowControl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No requirement to award</w:t>
      </w:r>
      <w:r w:rsidDel="00000000" w:rsidR="00000000" w:rsidRPr="00000000">
        <w:rPr>
          <w:rtl w:val="0"/>
        </w:rPr>
      </w:r>
    </w:p>
    <w:p w:rsidR="00000000" w:rsidDel="00000000" w:rsidP="00000000" w:rsidRDefault="00000000" w:rsidRPr="00000000" w14:paraId="00000036">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p>
    <w:p w:rsidR="00000000" w:rsidDel="00000000" w:rsidP="00000000" w:rsidRDefault="00000000" w:rsidRPr="00000000" w14:paraId="00000037">
      <w:pPr>
        <w:keepNext w:val="1"/>
        <w:widowControl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Who is responsible for the award</w:t>
      </w:r>
    </w:p>
    <w:p w:rsidR="00000000" w:rsidDel="00000000" w:rsidP="00000000" w:rsidRDefault="00000000" w:rsidRPr="00000000" w14:paraId="00000038">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rsidR="00000000" w:rsidDel="00000000" w:rsidP="00000000" w:rsidRDefault="00000000" w:rsidRPr="00000000" w14:paraId="00000039">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conduct of Buyer in relation to this Contract; or</w:t>
      </w:r>
    </w:p>
    <w:p w:rsidR="00000000" w:rsidDel="00000000" w:rsidP="00000000" w:rsidRDefault="00000000" w:rsidRPr="00000000" w14:paraId="0000003A">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performance or non-performance of any Call-Off Contracts between the Supplier and Buyer entered into pursuant to this Contract.</w:t>
      </w:r>
    </w:p>
    <w:p w:rsidR="00000000" w:rsidDel="00000000" w:rsidP="00000000" w:rsidRDefault="00000000" w:rsidRPr="00000000" w14:paraId="0000003B">
      <w:pPr>
        <w:keepNext w:val="1"/>
        <w:widowControl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Awarding and creating a Call-Off Contract</w:t>
      </w:r>
      <w:r w:rsidDel="00000000" w:rsidR="00000000" w:rsidRPr="00000000">
        <w:rPr>
          <w:rtl w:val="0"/>
        </w:rPr>
      </w:r>
    </w:p>
    <w:p w:rsidR="00000000" w:rsidDel="00000000" w:rsidP="00000000" w:rsidRDefault="00000000" w:rsidRPr="00000000" w14:paraId="0000003C">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Subject to Paragraphs 1 to 5 above and 7, a Buyer may award a Call-Off Contract with the Supplier or the Supplier</w:t>
      </w:r>
      <w:r w:rsidDel="00000000" w:rsidR="00000000" w:rsidRPr="00000000">
        <w:rPr>
          <w:rFonts w:ascii="Arial" w:cs="Arial" w:eastAsia="Arial" w:hAnsi="Arial"/>
          <w:sz w:val="24"/>
          <w:szCs w:val="24"/>
          <w:rtl w:val="0"/>
        </w:rPr>
        <w:t xml:space="preserve">’s appointed dealer</w:t>
      </w:r>
      <w:r w:rsidDel="00000000" w:rsidR="00000000" w:rsidRPr="00000000">
        <w:rPr>
          <w:rFonts w:ascii="Arial" w:cs="Arial" w:eastAsia="Arial" w:hAnsi="Arial"/>
          <w:color w:val="000000"/>
          <w:sz w:val="24"/>
          <w:szCs w:val="24"/>
          <w:rtl w:val="0"/>
        </w:rPr>
        <w:t xml:space="preserve"> by sending (including electronically) a signed order form substantially in the form (as may be amended or refined by the Buyer in accordance with Paragraph 3.1.2 above) of the Order Form Template set out in Framework Schedule 6 (Order Form Template and Call-Off Schedules) </w:t>
      </w:r>
      <w:r w:rsidDel="00000000" w:rsidR="00000000" w:rsidRPr="00000000">
        <w:rPr>
          <w:rFonts w:ascii="Arial" w:cs="Arial" w:eastAsia="Arial" w:hAnsi="Arial"/>
          <w:sz w:val="24"/>
          <w:szCs w:val="24"/>
          <w:rtl w:val="0"/>
        </w:rPr>
        <w:t xml:space="preserve">or Framework Schedule 6A (Simple Order Form).</w:t>
      </w:r>
      <w:r w:rsidDel="00000000" w:rsidR="00000000" w:rsidRPr="00000000">
        <w:rPr>
          <w:rtl w:val="0"/>
        </w:rPr>
      </w:r>
    </w:p>
    <w:p w:rsidR="00000000" w:rsidDel="00000000" w:rsidP="00000000" w:rsidRDefault="00000000" w:rsidRPr="00000000" w14:paraId="0000003D">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agree that any document or communication (including any document or communication in the apparent form of a Call-Off Contract) which is not as described in this Paragraph 6 shall not constitute a Call-Off Contract under this Contract.</w:t>
      </w:r>
    </w:p>
    <w:p w:rsidR="00000000" w:rsidDel="00000000" w:rsidP="00000000" w:rsidRDefault="00000000" w:rsidRPr="00000000" w14:paraId="0000003E">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bookmarkStart w:colFirst="0" w:colLast="0" w:name="_heading=h.1t3h5sf" w:id="7"/>
      <w:bookmarkEnd w:id="7"/>
      <w:r w:rsidDel="00000000" w:rsidR="00000000" w:rsidRPr="00000000">
        <w:rPr>
          <w:rFonts w:ascii="Arial" w:cs="Arial" w:eastAsia="Arial" w:hAnsi="Arial"/>
          <w:color w:val="000000"/>
          <w:sz w:val="24"/>
          <w:szCs w:val="24"/>
          <w:rtl w:val="0"/>
        </w:rPr>
        <w:t xml:space="preserve">On receipt of an order form as described in Paragraph 6.1 from a Buyer the Supplier shall accept the Call-Off Contract by promptly signing and returning (including by electronic means) a copy of the order form to the Buyer concerned.</w:t>
      </w:r>
    </w:p>
    <w:p w:rsidR="00000000" w:rsidDel="00000000" w:rsidP="00000000" w:rsidRDefault="00000000" w:rsidRPr="00000000" w14:paraId="0000003F">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p>
    <w:p w:rsidR="00000000" w:rsidDel="00000000" w:rsidP="00000000" w:rsidRDefault="00000000" w:rsidRPr="00000000" w14:paraId="00000040">
      <w:pPr>
        <w:keepNext w:val="1"/>
        <w:widowControl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41">
      <w:pPr>
        <w:keepNext w:val="1"/>
        <w:widowControl w:val="1"/>
        <w:pBdr>
          <w:top w:space="0" w:sz="0" w:val="nil"/>
          <w:left w:space="0" w:sz="0" w:val="nil"/>
          <w:bottom w:space="0" w:sz="0" w:val="nil"/>
          <w:right w:space="0" w:sz="0" w:val="nil"/>
          <w:between w:space="0" w:sz="0" w:val="nil"/>
        </w:pBdr>
        <w:tabs>
          <w:tab w:val="left" w:pos="142"/>
        </w:tabs>
        <w:spacing w:after="240" w:before="120" w:lineRule="auto"/>
        <w:ind w:left="360" w:firstLine="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How e-auctions work</w:t>
      </w:r>
      <w:r w:rsidDel="00000000" w:rsidR="00000000" w:rsidRPr="00000000">
        <w:rPr>
          <w:rtl w:val="0"/>
        </w:rPr>
      </w:r>
    </w:p>
    <w:p w:rsidR="00000000" w:rsidDel="00000000" w:rsidP="00000000" w:rsidRDefault="00000000" w:rsidRPr="00000000" w14:paraId="00000042">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be entitled to include a reverse auction in the Further Competition Procedure in accordance with the rules laid down by the Buyer and the Regulations.</w:t>
      </w:r>
    </w:p>
    <w:p w:rsidR="00000000" w:rsidDel="00000000" w:rsidP="00000000" w:rsidRDefault="00000000" w:rsidRPr="00000000" w14:paraId="00000043">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bookmarkStart w:colFirst="0" w:colLast="0" w:name="_heading=h.4d34og8" w:id="8"/>
      <w:bookmarkEnd w:id="8"/>
      <w:r w:rsidDel="00000000" w:rsidR="00000000" w:rsidRPr="00000000">
        <w:rPr>
          <w:rFonts w:ascii="Arial" w:cs="Arial" w:eastAsia="Arial" w:hAnsi="Arial"/>
          <w:color w:val="000000"/>
          <w:sz w:val="24"/>
          <w:szCs w:val="24"/>
          <w:rtl w:val="0"/>
        </w:rPr>
        <w:t xml:space="preserve">Where the Buyer wishes to undertake an electronic reverse auction, where Suppliers compete in real time by bidding as the auction unfolds (</w:t>
      </w:r>
      <w:r w:rsidDel="00000000" w:rsidR="00000000" w:rsidRPr="00000000">
        <w:rPr>
          <w:rFonts w:ascii="Arial" w:cs="Arial" w:eastAsia="Arial" w:hAnsi="Arial"/>
          <w:b w:val="1"/>
          <w:color w:val="000000"/>
          <w:sz w:val="24"/>
          <w:szCs w:val="24"/>
          <w:rtl w:val="0"/>
        </w:rPr>
        <w:t xml:space="preserve">"Electronic Reverse Auction"</w:t>
      </w:r>
      <w:r w:rsidDel="00000000" w:rsidR="00000000" w:rsidRPr="00000000">
        <w:rPr>
          <w:rFonts w:ascii="Arial" w:cs="Arial" w:eastAsia="Arial" w:hAnsi="Arial"/>
          <w:color w:val="000000"/>
          <w:sz w:val="24"/>
          <w:szCs w:val="24"/>
          <w:rtl w:val="0"/>
        </w:rPr>
        <w:t xml:space="preserve">)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p>
    <w:p w:rsidR="00000000" w:rsidDel="00000000" w:rsidP="00000000" w:rsidRDefault="00000000" w:rsidRPr="00000000" w14:paraId="00000044">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will inform the Suppliers of the specification for the Electronic Reverse Auction which shall include:</w:t>
      </w:r>
    </w:p>
    <w:p w:rsidR="00000000" w:rsidDel="00000000" w:rsidP="00000000" w:rsidRDefault="00000000" w:rsidRPr="00000000" w14:paraId="00000045">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to be provided at auction, which must be expressed in figures or percentages of the specified quantifiable features;</w:t>
      </w:r>
    </w:p>
    <w:p w:rsidR="00000000" w:rsidDel="00000000" w:rsidP="00000000" w:rsidRDefault="00000000" w:rsidRPr="00000000" w14:paraId="00000046">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mathematical formula to be used to determine automatic ranking of bids on the basis of new prices and/or new values submitted;  </w:t>
      </w:r>
    </w:p>
    <w:p w:rsidR="00000000" w:rsidDel="00000000" w:rsidP="00000000" w:rsidRDefault="00000000" w:rsidRPr="00000000" w14:paraId="00000047">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limits on the values which may be submitted;</w:t>
      </w:r>
    </w:p>
    <w:p w:rsidR="00000000" w:rsidDel="00000000" w:rsidP="00000000" w:rsidRDefault="00000000" w:rsidRPr="00000000" w14:paraId="00000048">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description of any information which will be made available to Suppliers in the course of the Electronic Reverse Auction, and when it will be made available to them;</w:t>
      </w:r>
    </w:p>
    <w:p w:rsidR="00000000" w:rsidDel="00000000" w:rsidP="00000000" w:rsidRDefault="00000000" w:rsidRPr="00000000" w14:paraId="00000049">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bookmarkStart w:colFirst="0" w:colLast="0" w:name="_heading=h.2s8eyo1" w:id="9"/>
      <w:bookmarkEnd w:id="9"/>
      <w:r w:rsidDel="00000000" w:rsidR="00000000" w:rsidRPr="00000000">
        <w:rPr>
          <w:rFonts w:ascii="Arial" w:cs="Arial" w:eastAsia="Arial" w:hAnsi="Arial"/>
          <w:color w:val="000000"/>
          <w:sz w:val="24"/>
          <w:szCs w:val="24"/>
          <w:rtl w:val="0"/>
        </w:rPr>
        <w:t xml:space="preserve">the conditions under which Suppliers will be able to bid and, in particular, the minimum differences which will, where appropriate, be required when bidding;</w:t>
      </w:r>
    </w:p>
    <w:p w:rsidR="00000000" w:rsidDel="00000000" w:rsidP="00000000" w:rsidRDefault="00000000" w:rsidRPr="00000000" w14:paraId="0000004A">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information concerning the electronic equipment used and the arrangements and technical specification for connection;</w:t>
      </w:r>
    </w:p>
    <w:p w:rsidR="00000000" w:rsidDel="00000000" w:rsidP="00000000" w:rsidRDefault="00000000" w:rsidRPr="00000000" w14:paraId="0000004B">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7.5, the date and time of the start of the Electronic Reverse Auction; and</w:t>
      </w:r>
    </w:p>
    <w:p w:rsidR="00000000" w:rsidDel="00000000" w:rsidP="00000000" w:rsidRDefault="00000000" w:rsidRPr="00000000" w14:paraId="0000004C">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when and how the Electronic Reverse Auction will close.</w:t>
      </w:r>
    </w:p>
    <w:p w:rsidR="00000000" w:rsidDel="00000000" w:rsidP="00000000" w:rsidRDefault="00000000" w:rsidRPr="00000000" w14:paraId="0000004D">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The Electronic Reverse Auction may not start sooner than two (2) Working Days after the date on which the specification for the Electronic Reverse Auction has been issued.</w:t>
      </w:r>
    </w:p>
    <w:p w:rsidR="00000000" w:rsidDel="00000000" w:rsidP="00000000" w:rsidRDefault="00000000" w:rsidRPr="00000000" w14:paraId="0000004E">
      <w:pPr>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each phase of the Electronic Reverse Auction the Buyer will communicate to all Suppliers sufficient information to enable them to ascertain their relative ranking.</w:t>
      </w:r>
    </w:p>
    <w:p w:rsidR="00000000" w:rsidDel="00000000" w:rsidP="00000000" w:rsidRDefault="00000000" w:rsidRPr="00000000" w14:paraId="0000004F">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acknowledges and agrees that:</w:t>
      </w:r>
    </w:p>
    <w:p w:rsidR="00000000" w:rsidDel="00000000" w:rsidP="00000000" w:rsidRDefault="00000000" w:rsidRPr="00000000" w14:paraId="00000050">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 its officers, servants, agents, group companies, assignees and customers (including CCS) do not guarantee that its access to the Electronic Reverse Auction will be uninterrupted or error-free;</w:t>
      </w:r>
    </w:p>
    <w:p w:rsidR="00000000" w:rsidDel="00000000" w:rsidP="00000000" w:rsidRDefault="00000000" w:rsidRPr="00000000" w14:paraId="00000051">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its access to the Electronic Reverse Auction may occasionally be restricted to allow for repairs or maintenance; and</w:t>
      </w:r>
    </w:p>
    <w:p w:rsidR="00000000" w:rsidDel="00000000" w:rsidP="00000000" w:rsidRDefault="00000000" w:rsidRPr="00000000" w14:paraId="00000052">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will comply with all such rules that may be imposed by the Buyer in relation to the operation of the Electronic Reverse Auction.</w:t>
      </w:r>
    </w:p>
    <w:p w:rsidR="00000000" w:rsidDel="00000000" w:rsidP="00000000" w:rsidRDefault="00000000" w:rsidRPr="00000000" w14:paraId="00000053">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will close the Electronic Reverse Auction on the basis of:</w:t>
      </w:r>
    </w:p>
    <w:p w:rsidR="00000000" w:rsidDel="00000000" w:rsidP="00000000" w:rsidRDefault="00000000" w:rsidRPr="00000000" w14:paraId="00000054">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date and time fixed in advance;</w:t>
      </w:r>
    </w:p>
    <w:p w:rsidR="00000000" w:rsidDel="00000000" w:rsidP="00000000" w:rsidRDefault="00000000" w:rsidRPr="00000000" w14:paraId="00000055">
      <w:pPr>
        <w:widowControl w:val="1"/>
        <w:numPr>
          <w:ilvl w:val="3"/>
          <w:numId w:val="1"/>
        </w:numPr>
        <w:pBdr>
          <w:top w:space="0" w:sz="0" w:val="nil"/>
          <w:left w:space="0" w:sz="0" w:val="nil"/>
          <w:bottom w:space="0" w:sz="0" w:val="nil"/>
          <w:right w:space="0" w:sz="0" w:val="nil"/>
          <w:between w:space="0" w:sz="0" w:val="nil"/>
        </w:pBdr>
        <w:tabs>
          <w:tab w:val="left" w:pos="3641"/>
        </w:tabs>
        <w:spacing w:after="120" w:before="12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no new prices or values meeting the minimum differences required pursuant to Paragraph 7.3 have been received within the prescribed elapsed time period; or</w:t>
      </w:r>
    </w:p>
    <w:p w:rsidR="00000000" w:rsidDel="00000000" w:rsidP="00000000" w:rsidRDefault="00000000" w:rsidRPr="00000000" w14:paraId="00000056">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all the phases have been completed.]</w:t>
      </w:r>
    </w:p>
    <w:p w:rsidR="00000000" w:rsidDel="00000000" w:rsidP="00000000" w:rsidRDefault="00000000" w:rsidRPr="00000000" w14:paraId="00000057">
      <w:pPr>
        <w:keepNext w:val="1"/>
        <w:widowControl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Awarding and creating an Exempt Call-off Contract</w:t>
      </w:r>
    </w:p>
    <w:p w:rsidR="00000000" w:rsidDel="00000000" w:rsidP="00000000" w:rsidRDefault="00000000" w:rsidRPr="00000000" w14:paraId="00000058">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1 above shall not apply to an Exempt Buyer.</w:t>
      </w:r>
    </w:p>
    <w:p w:rsidR="00000000" w:rsidDel="00000000" w:rsidP="00000000" w:rsidRDefault="00000000" w:rsidRPr="00000000" w14:paraId="00000059">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If a potential Exempt Buyer decides to source Deliverables through this Framework Contract, it will award an Exempt Call-off Contract for Deliverables in accordance with the procedure in this Schedule as modified by this Paragraph 8 and in accordance with any legal requirements applicable to that potential Exempt Buyer.</w:t>
      </w:r>
    </w:p>
    <w:p w:rsidR="00000000" w:rsidDel="00000000" w:rsidP="00000000" w:rsidRDefault="00000000" w:rsidRPr="00000000" w14:paraId="0000005A">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potential Exempt Buyer may award an Exempt Call-off Contract under this Framework Contract without holding a further competition in accordance with Paragraph 2 above as modified by Paragraph 8.4 below or through a Further Competition Procedure in accordance with Paragraph 3 as modified by Paragraph 8.5 below.</w:t>
      </w:r>
    </w:p>
    <w:p w:rsidR="00000000" w:rsidDel="00000000" w:rsidP="00000000" w:rsidRDefault="00000000" w:rsidRPr="00000000" w14:paraId="0000005B">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Notwithstanding the procedure set out in Paragraph 2 above, if the potential Exempt Buyer can determine that:</w:t>
      </w:r>
    </w:p>
    <w:p w:rsidR="00000000" w:rsidDel="00000000" w:rsidP="00000000" w:rsidRDefault="00000000" w:rsidRPr="00000000" w14:paraId="0000005C">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its Deliverables can be met by the Supplier’s catalogues and description of the Deliverables as set out in Framework Schedule 1 (Specification) and Framework Schedule 2 (Framework Tender); and</w:t>
      </w:r>
    </w:p>
    <w:p w:rsidR="00000000" w:rsidDel="00000000" w:rsidP="00000000" w:rsidRDefault="00000000" w:rsidRPr="00000000" w14:paraId="0000005D">
      <w:pPr>
        <w:widowControl w:val="1"/>
        <w:numPr>
          <w:ilvl w:val="2"/>
          <w:numId w:val="1"/>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will accept any required Exempt Procurement Amendments,</w:t>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tabs>
          <w:tab w:val="left" w:pos="3641"/>
        </w:tabs>
        <w:spacing w:after="120" w:before="120" w:lineRule="auto"/>
        <w:ind w:left="189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the Exempt Buyer may award an Exempt Call-off Contract to that Supplier in accordance with Paragraph 6 above.</w:t>
      </w:r>
    </w:p>
    <w:p w:rsidR="00000000" w:rsidDel="00000000" w:rsidP="00000000" w:rsidRDefault="00000000" w:rsidRPr="00000000" w14:paraId="0000005F">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potential Exempt Buyer requires the Supplier to develop proposals or a solution in respect of Deliverables, then the potential Exempt Buyer may at its discretion use the procedure set out in Paragraph 3 above as modified by this Paragraph 8.5. In that case, references to “the Regulations” in Paragraph 3 above shall be read as references to “any legal requirements applicable to that potential Exempt Buyer”, and the Exempt Buyer shall be permitted to modify the Further Competition Procedure in accordance with any legal requirements applicable to the Exempt Buyer.</w:t>
      </w:r>
    </w:p>
    <w:p w:rsidR="00000000" w:rsidDel="00000000" w:rsidP="00000000" w:rsidRDefault="00000000" w:rsidRPr="00000000" w14:paraId="00000060">
      <w:pPr>
        <w:keepNext w:val="1"/>
        <w:widowControl w:val="1"/>
        <w:numPr>
          <w:ilvl w:val="1"/>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bookmarkStart w:colFirst="0" w:colLast="0" w:name="_heading=h.3rdcrjn" w:id="11"/>
      <w:bookmarkEnd w:id="11"/>
      <w:r w:rsidDel="00000000" w:rsidR="00000000" w:rsidRPr="00000000">
        <w:rPr>
          <w:rFonts w:ascii="Arial" w:cs="Arial" w:eastAsia="Arial" w:hAnsi="Arial"/>
          <w:color w:val="000000"/>
          <w:sz w:val="24"/>
          <w:szCs w:val="24"/>
          <w:rtl w:val="0"/>
        </w:rPr>
        <w:t xml:space="preserve">Paragraphs 8.1 to 8.5 above are without prejudice to an Exempt Buyer’s ability to make such further modifications to the Call-Off Procedure as it considers necessary and in accordance with any legal requirements applicable to that potential Exempt Buyer.</w:t>
      </w:r>
    </w:p>
    <w:p w:rsidR="00000000" w:rsidDel="00000000" w:rsidP="00000000" w:rsidRDefault="00000000" w:rsidRPr="00000000" w14:paraId="00000061">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tabs>
          <w:tab w:val="left" w:pos="3054"/>
        </w:tabs>
        <w:spacing w:after="120" w:before="120" w:lineRule="auto"/>
        <w:ind w:left="936" w:hanging="576"/>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tabs>
          <w:tab w:val="left" w:pos="3054"/>
        </w:tabs>
        <w:spacing w:after="120" w:before="120" w:lineRule="auto"/>
        <w:ind w:left="936" w:hanging="576"/>
        <w:rPr>
          <w:rFonts w:ascii="Arial" w:cs="Arial" w:eastAsia="Arial" w:hAnsi="Arial"/>
          <w:color w:val="000000"/>
          <w:sz w:val="36"/>
          <w:szCs w:val="36"/>
        </w:rPr>
      </w:pPr>
      <w:r w:rsidDel="00000000" w:rsidR="00000000" w:rsidRPr="00000000">
        <w:rPr>
          <w:rFonts w:ascii="Arial" w:cs="Arial" w:eastAsia="Arial" w:hAnsi="Arial"/>
          <w:b w:val="1"/>
          <w:color w:val="000000"/>
          <w:sz w:val="36"/>
          <w:szCs w:val="36"/>
          <w:rtl w:val="0"/>
        </w:rPr>
        <w:t xml:space="preserve">Part 2: Award Criteria</w:t>
      </w:r>
      <w:r w:rsidDel="00000000" w:rsidR="00000000" w:rsidRPr="00000000">
        <w:rPr>
          <w:rtl w:val="0"/>
        </w:rPr>
      </w:r>
    </w:p>
    <w:p w:rsidR="00000000" w:rsidDel="00000000" w:rsidP="00000000" w:rsidRDefault="00000000" w:rsidRPr="00000000" w14:paraId="00000064">
      <w:pPr>
        <w:widowControl w:val="1"/>
        <w:numPr>
          <w:ilvl w:val="0"/>
          <w:numId w:val="3"/>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Part 2 lays out award criteria for direct award (Annex A) and for further competition (Annex B) in accordance with the Call-Off Procedure.</w:t>
      </w:r>
    </w:p>
    <w:p w:rsidR="00000000" w:rsidDel="00000000" w:rsidP="00000000" w:rsidRDefault="00000000" w:rsidRPr="00000000" w14:paraId="00000065">
      <w:pPr>
        <w:widowControl w:val="1"/>
        <w:numPr>
          <w:ilvl w:val="0"/>
          <w:numId w:val="3"/>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Call-Off Contract may be awarded on the basis of most economically advantageous tender ("MEAT").</w:t>
      </w:r>
    </w:p>
    <w:p w:rsidR="00000000" w:rsidDel="00000000" w:rsidP="00000000" w:rsidRDefault="00000000" w:rsidRPr="00000000" w14:paraId="00000066">
      <w:pPr>
        <w:rPr>
          <w:rFonts w:ascii="Arial" w:cs="Arial" w:eastAsia="Arial" w:hAnsi="Arial"/>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1"/>
        <w:widowControl w:val="1"/>
        <w:pBdr>
          <w:top w:space="0" w:sz="0" w:val="nil"/>
          <w:left w:space="0" w:sz="0" w:val="nil"/>
          <w:bottom w:space="0" w:sz="0" w:val="nil"/>
          <w:right w:space="0" w:sz="0" w:val="nil"/>
          <w:between w:space="0" w:sz="0" w:val="nil"/>
        </w:pBdr>
        <w:spacing w:after="240" w:before="240" w:lineRule="auto"/>
        <w:ind w:firstLine="426"/>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Annex A: Direct award criteria</w:t>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criteria and weightings shall apply to the evaluation for direct award of each Call-Off.</w:t>
      </w:r>
    </w:p>
    <w:tbl>
      <w:tblPr>
        <w:tblStyle w:val="Table1"/>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5670"/>
        <w:tblGridChange w:id="0">
          <w:tblGrid>
            <w:gridCol w:w="3544"/>
            <w:gridCol w:w="5670"/>
          </w:tblGrid>
        </w:tblGridChange>
      </w:tblGrid>
      <w:tr>
        <w:trPr>
          <w:cantSplit w:val="0"/>
          <w:tblHeader w:val="0"/>
        </w:trPr>
        <w:tc>
          <w:tcPr>
            <w:shd w:fill="e7e6e6" w:val="clear"/>
          </w:tcPr>
          <w:p w:rsidR="00000000" w:rsidDel="00000000" w:rsidP="00000000" w:rsidRDefault="00000000" w:rsidRPr="00000000" w14:paraId="00000069">
            <w:pPr>
              <w:keepNext w:val="1"/>
              <w:widowControl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Criteria </w:t>
            </w:r>
          </w:p>
        </w:tc>
        <w:tc>
          <w:tcPr>
            <w:shd w:fill="e7e6e6" w:val="clear"/>
          </w:tcPr>
          <w:p w:rsidR="00000000" w:rsidDel="00000000" w:rsidP="00000000" w:rsidRDefault="00000000" w:rsidRPr="00000000" w14:paraId="0000006A">
            <w:pPr>
              <w:widowControl w:val="1"/>
              <w:spacing w:after="200" w:before="12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Relative weighting percentage - to be set by the Buyer conducting the direct award</w:t>
            </w:r>
          </w:p>
          <w:p w:rsidR="00000000" w:rsidDel="00000000" w:rsidP="00000000" w:rsidRDefault="00000000" w:rsidRPr="00000000" w14:paraId="0000006B">
            <w:pPr>
              <w:widowControl w:val="1"/>
              <w:spacing w:after="200" w:line="276" w:lineRule="auto"/>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Price (life cycle costs, cost effectiveness &amp; price; price and running costs)</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0 - 100%</w:t>
            </w:r>
          </w:p>
        </w:tc>
      </w:tr>
      <w:tr>
        <w:trPr>
          <w:cantSplit w:val="0"/>
          <w:tblHeader w:val="0"/>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Technical merit; coverage, network capacity and performance as specified in relevant service levels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Quality (​​(including delivery time, after sales service, good value, accessories, service fitness for purpose)</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0 - 100%</w:t>
            </w:r>
          </w:p>
        </w:tc>
      </w:tr>
    </w:tbl>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ind w:left="1080" w:firstLine="0"/>
        <w:jc w:val="both"/>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72">
      <w:pPr>
        <w:keepNext w:val="1"/>
        <w:widowControl w:val="1"/>
        <w:pBdr>
          <w:top w:space="0" w:sz="0" w:val="nil"/>
          <w:left w:space="0" w:sz="0" w:val="nil"/>
          <w:bottom w:space="0" w:sz="0" w:val="nil"/>
          <w:right w:space="0" w:sz="0" w:val="nil"/>
          <w:between w:space="0" w:sz="0" w:val="nil"/>
        </w:pBdr>
        <w:spacing w:after="240" w:before="240" w:lineRule="auto"/>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Annex B: Further Competition Award Criteria</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criteria and weightings shall apply to the evaluation of tenders received through the Further Competition Procedure:</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e7e6e6" w:val="clear"/>
          </w:tcPr>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tabs>
                <w:tab w:val="left" w:pos="851"/>
              </w:tabs>
              <w:spacing w:after="120" w:before="12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Criteria</w:t>
            </w:r>
            <w:r w:rsidDel="00000000" w:rsidR="00000000" w:rsidRPr="00000000">
              <w:rPr>
                <w:rtl w:val="0"/>
              </w:rPr>
            </w:r>
          </w:p>
        </w:tc>
        <w:tc>
          <w:tcPr>
            <w:shd w:fill="e7e6e6" w:val="clear"/>
          </w:tcPr>
          <w:p w:rsidR="00000000" w:rsidDel="00000000" w:rsidP="00000000" w:rsidRDefault="00000000" w:rsidRPr="00000000" w14:paraId="00000075">
            <w:pPr>
              <w:widowControl w:val="1"/>
              <w:spacing w:after="200" w:before="120" w:line="276" w:lineRule="auto"/>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Relative weighting percentage - to be set by the Buyer conducting the direct award</w:t>
            </w:r>
            <w:r w:rsidDel="00000000" w:rsidR="00000000" w:rsidRPr="00000000">
              <w:rPr>
                <w:rtl w:val="0"/>
              </w:rPr>
            </w:r>
          </w:p>
        </w:tc>
      </w:tr>
      <w:tr>
        <w:trPr>
          <w:cantSplit w:val="0"/>
          <w:tblHeader w:val="0"/>
        </w:trPr>
        <w:tc>
          <w:tcPr/>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Price (life cycle costs, cost effectiveness &amp; price; price and running costs)</w:t>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0 - 100%</w:t>
            </w:r>
          </w:p>
        </w:tc>
      </w:tr>
      <w:tr>
        <w:trPr>
          <w:cantSplit w:val="0"/>
          <w:tblHeader w:val="0"/>
        </w:trPr>
        <w:tc>
          <w:tcPr/>
          <w:p w:rsidR="00000000" w:rsidDel="00000000" w:rsidP="00000000" w:rsidRDefault="00000000" w:rsidRPr="00000000" w14:paraId="00000078">
            <w:pPr>
              <w:widowControl w:val="1"/>
              <w:tabs>
                <w:tab w:val="left" w:pos="851"/>
              </w:tabs>
              <w:spacing w:after="120" w:before="120" w:lineRule="auto"/>
              <w:ind w:left="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Technical merit; coverage, network capacity and performance as specified in relevant service levels</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Quality (including delivery time, after sales service, good value, accessories, service fitness for purpose)</w:t>
            </w: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Social Value</w:t>
            </w: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0 - 100%</w:t>
            </w:r>
          </w:p>
        </w:tc>
      </w:tr>
    </w:tbl>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jc w:val="both"/>
        <w:rPr>
          <w:rFonts w:ascii="Arial" w:cs="Arial" w:eastAsia="Arial" w:hAnsi="Arial"/>
          <w:color w:val="ffffff"/>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tabs>
        <w:tab w:val="center" w:pos="4513"/>
        <w:tab w:val="right" w:pos="9026"/>
      </w:tabs>
      <w:jc w:val="both"/>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tabs>
        <w:tab w:val="center" w:pos="4513"/>
        <w:tab w:val="right" w:pos="9026"/>
      </w:tabs>
      <w:jc w:val="both"/>
      <w:rPr>
        <w:color w:val="000000"/>
      </w:rPr>
    </w:pPr>
    <w:r w:rsidDel="00000000" w:rsidR="00000000" w:rsidRPr="00000000">
      <w:rPr>
        <w:rtl w:val="0"/>
      </w:rPr>
    </w:r>
  </w:p>
  <w:p w:rsidR="00000000" w:rsidDel="00000000" w:rsidP="00000000" w:rsidRDefault="00000000" w:rsidRPr="00000000" w14:paraId="00000087">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r>
  </w:p>
  <w:p w:rsidR="00000000" w:rsidDel="00000000" w:rsidP="00000000" w:rsidRDefault="00000000" w:rsidRPr="00000000" w14:paraId="00000088">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tabs>
        <w:tab w:val="left" w:pos="720"/>
        <w:tab w:val="left" w:pos="1440"/>
        <w:tab w:val="left" w:pos="2160"/>
        <w:tab w:val="left" w:pos="2880"/>
        <w:tab w:val="left" w:pos="3600"/>
        <w:tab w:val="center"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RM6244</w:t>
      <w:tab/>
      <w:t xml:space="preserve">                                           </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tabs>
        <w:tab w:val="left" w:pos="720"/>
        <w:tab w:val="left" w:pos="1440"/>
        <w:tab w:val="left" w:pos="2160"/>
        <w:tab w:val="left" w:pos="2880"/>
        <w:tab w:val="left" w:pos="3600"/>
        <w:tab w:val="center" w:pos="4513"/>
      </w:tabs>
      <w:rPr>
        <w:rFonts w:ascii="Arial" w:cs="Arial" w:eastAsia="Arial" w:hAnsi="Arial"/>
        <w:sz w:val="20"/>
        <w:szCs w:val="20"/>
      </w:rPr>
    </w:pPr>
    <w:bookmarkStart w:colFirst="0" w:colLast="0" w:name="_heading=h.gjdgxs" w:id="12"/>
    <w:bookmarkEnd w:id="12"/>
    <w:r w:rsidDel="00000000" w:rsidR="00000000" w:rsidRPr="00000000">
      <w:rPr>
        <w:rFonts w:ascii="Arial" w:cs="Arial" w:eastAsia="Arial" w:hAnsi="Arial"/>
        <w:sz w:val="20"/>
        <w:szCs w:val="20"/>
        <w:rtl w:val="0"/>
      </w:rPr>
      <w:t xml:space="preserve">Model Version : v3.3</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Framework Schedule 7 (Call-Off Award Procedure)</w:t>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tabs>
        <w:tab w:val="center" w:pos="4513"/>
        <w:tab w:val="right" w:pos="9026"/>
      </w:tabs>
      <w:jc w:val="both"/>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Framework Schedule 7 (Call-Off Award Procedure)</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 2018</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tabs>
        <w:tab w:val="center" w:pos="4513"/>
        <w:tab w:val="right" w:pos="9026"/>
      </w:tabs>
      <w:jc w:val="both"/>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4"/>
        <w:szCs w:val="24"/>
        <w:u w:val="none"/>
        <w:vertAlign w:val="baseline"/>
      </w:rPr>
    </w:lvl>
    <w:lvl w:ilvl="2">
      <w:start w:val="1"/>
      <w:numFmt w:val="decimal"/>
      <w:lvlText w:val="%1.%2.%3"/>
      <w:lvlJc w:val="left"/>
      <w:pPr>
        <w:ind w:left="2610" w:hanging="720"/>
      </w:pPr>
      <w:rPr>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32FDD"/>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tandard" w:customStyle="1">
    <w:name w:val="Standard"/>
    <w:pPr>
      <w:widowControl w:val="1"/>
      <w:spacing w:after="240"/>
      <w:jc w:val="both"/>
    </w:pPr>
    <w:rPr>
      <w:rFonts w:cs="Arial" w:eastAsia="Times New Roman"/>
    </w:rPr>
  </w:style>
  <w:style w:type="paragraph" w:styleId="Heading" w:customStyle="1">
    <w:name w:val="Heading"/>
    <w:basedOn w:val="Standard"/>
    <w:next w:val="Textbody"/>
    <w:pPr>
      <w:keepNext w:val="1"/>
      <w:spacing w:after="120" w:before="240"/>
    </w:pPr>
    <w:rPr>
      <w:rFonts w:ascii="Liberation Sans" w:cs="Arial Unicode MS" w:eastAsia="Arial Unicode MS" w:hAnsi="Liberation Sans"/>
      <w:sz w:val="28"/>
      <w:szCs w:val="28"/>
    </w:rPr>
  </w:style>
  <w:style w:type="paragraph" w:styleId="Textbody" w:customStyle="1">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styleId="MarginText" w:customStyle="1">
    <w:name w:val="Margin Text"/>
    <w:basedOn w:val="Standard"/>
    <w:pPr>
      <w:keepNext w:val="1"/>
      <w:overflowPunct w:val="0"/>
      <w:spacing w:after="120" w:before="240"/>
      <w:ind w:left="142"/>
    </w:pPr>
    <w:rPr>
      <w:rFonts w:cs="Times New Roman" w:eastAsia="STZhongsong"/>
      <w:szCs w:val="18"/>
      <w:lang w:eastAsia="zh-CN"/>
    </w:rPr>
  </w:style>
  <w:style w:type="paragraph" w:styleId="GPSL1CLAUSEHEADING" w:customStyle="1">
    <w:name w:val="GPS L1 CLAUSE HEADING"/>
    <w:basedOn w:val="Standard"/>
    <w:next w:val="Standard"/>
    <w:pPr>
      <w:tabs>
        <w:tab w:val="left" w:pos="142"/>
      </w:tabs>
      <w:overflowPunct w:val="0"/>
      <w:spacing w:before="120"/>
      <w:outlineLvl w:val="1"/>
    </w:pPr>
    <w:rPr>
      <w:rFonts w:eastAsia="STZhongsong"/>
      <w:b w:val="1"/>
      <w:caps w:val="1"/>
      <w:lang w:eastAsia="zh-CN"/>
    </w:rPr>
  </w:style>
  <w:style w:type="paragraph" w:styleId="GPSL3numberedclause" w:customStyle="1">
    <w:name w:val="GPS L3 numbered clause"/>
    <w:basedOn w:val="Standard"/>
    <w:pPr>
      <w:tabs>
        <w:tab w:val="left" w:pos="3641"/>
      </w:tabs>
      <w:overflowPunct w:val="0"/>
      <w:spacing w:after="120" w:before="120"/>
      <w:ind w:left="1656"/>
    </w:pPr>
    <w:rPr>
      <w:lang w:eastAsia="zh-CN"/>
    </w:rPr>
  </w:style>
  <w:style w:type="paragraph" w:styleId="GPSL4numberedclause" w:customStyle="1">
    <w:name w:val="GPS L4 numbered clause"/>
    <w:basedOn w:val="GPSL3numberedclause"/>
    <w:pPr>
      <w:tabs>
        <w:tab w:val="clear" w:pos="3641"/>
      </w:tabs>
      <w:ind w:left="2592" w:hanging="936"/>
    </w:pPr>
  </w:style>
  <w:style w:type="paragraph" w:styleId="GPSL5numberedclause" w:customStyle="1">
    <w:name w:val="GPS L5 numbered clause"/>
    <w:basedOn w:val="GPSL4numberedclause"/>
    <w:pPr>
      <w:tabs>
        <w:tab w:val="left" w:pos="6238"/>
      </w:tabs>
      <w:ind w:left="3119" w:hanging="567"/>
    </w:pPr>
  </w:style>
  <w:style w:type="paragraph" w:styleId="GPSL2NumberedBoldHeading" w:customStyle="1">
    <w:name w:val="GPS L2 Numbered Bold Heading"/>
    <w:basedOn w:val="Standard"/>
    <w:pPr>
      <w:tabs>
        <w:tab w:val="left" w:pos="3054"/>
      </w:tabs>
      <w:overflowPunct w:val="0"/>
      <w:spacing w:after="120" w:before="120"/>
      <w:ind w:left="1920"/>
    </w:pPr>
    <w:rPr>
      <w:b w:val="1"/>
      <w:lang w:eastAsia="zh-CN"/>
    </w:rPr>
  </w:style>
  <w:style w:type="paragraph" w:styleId="GPSL6numbered" w:customStyle="1">
    <w:name w:val="GPS L6 numbered"/>
    <w:basedOn w:val="GPSL5numberedclause"/>
    <w:pPr>
      <w:tabs>
        <w:tab w:val="clear" w:pos="6238"/>
        <w:tab w:val="left" w:pos="4046"/>
        <w:tab w:val="left" w:pos="7372"/>
      </w:tabs>
      <w:ind w:left="3686"/>
    </w:pPr>
  </w:style>
  <w:style w:type="paragraph" w:styleId="GPSL1Guidance" w:customStyle="1">
    <w:name w:val="GPS L1 Guidance"/>
    <w:basedOn w:val="Standard"/>
    <w:pPr>
      <w:spacing w:after="120" w:before="240"/>
      <w:ind w:left="426"/>
    </w:pPr>
    <w:rPr>
      <w:b w:val="1"/>
      <w:i w:val="1"/>
    </w:rPr>
  </w:style>
  <w:style w:type="paragraph" w:styleId="GPSL1SCHEDULEHeading" w:customStyle="1">
    <w:name w:val="GPS L1 SCHEDULE Heading"/>
    <w:basedOn w:val="GPSL1CLAUSEHEADING"/>
    <w:pPr>
      <w:tabs>
        <w:tab w:val="clear" w:pos="142"/>
      </w:tabs>
    </w:pPr>
  </w:style>
  <w:style w:type="paragraph" w:styleId="GPSmacrorestart" w:customStyle="1">
    <w:name w:val="GPS macro restart"/>
    <w:basedOn w:val="Standard"/>
    <w:qFormat w:val="1"/>
    <w:pPr>
      <w:spacing w:after="0"/>
    </w:pPr>
    <w:rPr>
      <w:color w:val="ffffff"/>
      <w:sz w:val="16"/>
      <w:szCs w:val="16"/>
    </w:rPr>
  </w:style>
  <w:style w:type="paragraph" w:styleId="GPSSchTitleandNumber" w:customStyle="1">
    <w:name w:val="GPS Sch Title and Number"/>
    <w:basedOn w:val="Standard"/>
    <w:pPr>
      <w:keepNext w:val="1"/>
      <w:overflowPunct w:val="0"/>
      <w:ind w:firstLine="426"/>
      <w:jc w:val="center"/>
      <w:outlineLvl w:val="0"/>
    </w:pPr>
    <w:rPr>
      <w:rFonts w:ascii="Arial Bold" w:cs="Times New Roman" w:eastAsia="STZhongsong" w:hAnsi="Arial Bold"/>
      <w:b w:val="1"/>
      <w:caps w:val="1"/>
      <w:lang w:eastAsia="zh-CN"/>
    </w:rPr>
  </w:style>
  <w:style w:type="paragraph" w:styleId="GPSSchPart" w:customStyle="1">
    <w:name w:val="GPS Sch Part"/>
    <w:basedOn w:val="Standard"/>
    <w:qFormat w:val="1"/>
    <w:pPr>
      <w:keepNext w:val="1"/>
      <w:overflowPunct w:val="0"/>
      <w:spacing w:before="240"/>
      <w:ind w:firstLine="426"/>
      <w:jc w:val="center"/>
    </w:pPr>
    <w:rPr>
      <w:rFonts w:ascii="Arial Bold" w:cs="Times New Roman" w:eastAsia="STZhongsong" w:hAnsi="Arial Bold"/>
      <w:b w:val="1"/>
      <w:caps w:val="1"/>
      <w:lang w:eastAsia="zh-CN"/>
    </w:rPr>
  </w:style>
  <w:style w:type="paragraph" w:styleId="GPSL2Numbered" w:customStyle="1">
    <w:name w:val="GPS L2 Numbered"/>
    <w:basedOn w:val="GPSL2NumberedBoldHeading"/>
    <w:pPr>
      <w:tabs>
        <w:tab w:val="clear" w:pos="3054"/>
      </w:tabs>
      <w:ind w:left="936" w:hanging="576"/>
    </w:pPr>
    <w:rPr>
      <w:b w:val="0"/>
    </w:rPr>
  </w:style>
  <w:style w:type="paragraph" w:styleId="GPSL1Schedulenumbered" w:customStyle="1">
    <w:name w:val="GPS L1 Schedule numbered"/>
    <w:basedOn w:val="Standard"/>
    <w:qFormat w:val="1"/>
    <w:pPr>
      <w:tabs>
        <w:tab w:val="left" w:pos="851"/>
      </w:tabs>
    </w:pPr>
  </w:style>
  <w:style w:type="paragraph" w:styleId="BalloonText">
    <w:name w:val="Balloon Text"/>
    <w:basedOn w:val="Standard"/>
    <w:pPr>
      <w:spacing w:after="0"/>
    </w:pPr>
    <w:rPr>
      <w:rFonts w:ascii="Tahoma" w:cs="Tahoma" w:eastAsia="Tahoma" w:hAnsi="Tahoma"/>
      <w:sz w:val="16"/>
      <w:szCs w:val="16"/>
    </w:rPr>
  </w:style>
  <w:style w:type="paragraph" w:styleId="GPSL2Guidance" w:customStyle="1">
    <w:name w:val="GPS L2 Guidance"/>
    <w:basedOn w:val="Standard"/>
    <w:pPr>
      <w:tabs>
        <w:tab w:val="left" w:pos="2268"/>
      </w:tabs>
      <w:overflowPunct w:val="0"/>
      <w:spacing w:after="120" w:before="120"/>
      <w:ind w:left="1134"/>
    </w:pPr>
    <w:rPr>
      <w:b w:val="1"/>
      <w:i w:val="1"/>
      <w:lang w:eastAsia="zh-CN"/>
    </w:rPr>
  </w:style>
  <w:style w:type="paragraph" w:styleId="GPSL2Indent" w:customStyle="1">
    <w:name w:val="GPS L2 Indent"/>
    <w:basedOn w:val="Standard"/>
    <w:pPr>
      <w:tabs>
        <w:tab w:val="left" w:pos="4536"/>
      </w:tabs>
      <w:spacing w:after="220"/>
      <w:ind w:left="1134"/>
    </w:pPr>
    <w:rPr>
      <w:szCs w:val="24"/>
    </w:rPr>
  </w:style>
  <w:style w:type="paragraph" w:styleId="GPSL4Guidance" w:customStyle="1">
    <w:name w:val="GPS L4 Guidance"/>
    <w:basedOn w:val="Standard"/>
    <w:pPr>
      <w:tabs>
        <w:tab w:val="left" w:pos="3970"/>
      </w:tabs>
      <w:overflowPunct w:val="0"/>
      <w:spacing w:after="120" w:before="120"/>
      <w:ind w:left="1985"/>
    </w:pPr>
    <w:rPr>
      <w:b w:val="1"/>
      <w:i w:val="1"/>
      <w:lang w:eastAsia="zh-CN"/>
    </w:rPr>
  </w:style>
  <w:style w:type="paragraph" w:styleId="GPSL2non-numberboldheading" w:customStyle="1">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character" w:styleId="HeaderChar" w:customStyle="1">
    <w:name w:val="Header Char"/>
    <w:basedOn w:val="DefaultParagraphFont"/>
  </w:style>
  <w:style w:type="character" w:styleId="FooterChar" w:customStyle="1">
    <w:name w:val="Footer Char"/>
    <w:basedOn w:val="DefaultParagraphFont"/>
    <w:uiPriority w:val="99"/>
  </w:style>
  <w:style w:type="character" w:styleId="Emphasis">
    <w:name w:val="Emphasis"/>
    <w:basedOn w:val="DefaultParagraphFont"/>
    <w:rPr>
      <w:i w:val="1"/>
      <w:iCs w:val="1"/>
    </w:rPr>
  </w:style>
  <w:style w:type="character" w:styleId="MarginTextChar" w:customStyle="1">
    <w:name w:val="Margin Text Char"/>
    <w:rPr>
      <w:rFonts w:ascii="Calibri" w:cs="Times New Roman" w:eastAsia="STZhongsong" w:hAnsi="Calibri"/>
      <w:szCs w:val="18"/>
      <w:lang w:eastAsia="zh-CN"/>
    </w:rPr>
  </w:style>
  <w:style w:type="character" w:styleId="GPSL2NumberedChar" w:customStyle="1">
    <w:name w:val="GPS L2 Numbered Char"/>
    <w:rPr>
      <w:rFonts w:ascii="Calibri" w:cs="Arial" w:eastAsia="Times New Roman" w:hAnsi="Calibri"/>
      <w:lang w:eastAsia="zh-CN"/>
    </w:rPr>
  </w:style>
  <w:style w:type="character" w:styleId="GPSL1SCHEDULEHeadingChar" w:customStyle="1">
    <w:name w:val="GPS L1 SCHEDULE Heading Char"/>
    <w:rPr>
      <w:rFonts w:ascii="Calibri" w:cs="Arial" w:eastAsia="STZhongsong" w:hAnsi="Calibri"/>
      <w:b w:val="1"/>
      <w:caps w:val="1"/>
      <w:lang w:eastAsia="zh-CN"/>
    </w:rPr>
  </w:style>
  <w:style w:type="character" w:styleId="GPSL1SchedulenumberedChar1" w:customStyle="1">
    <w:name w:val="GPS L1 Schedule numbered Char1"/>
    <w:rPr>
      <w:rFonts w:ascii="Calibri" w:cs="Arial" w:eastAsia="Times New Roman" w:hAnsi="Calibri"/>
    </w:rPr>
  </w:style>
  <w:style w:type="character" w:styleId="GPSL1GuidanceChar" w:customStyle="1">
    <w:name w:val="GPS L1 Guidance Char"/>
    <w:rPr>
      <w:rFonts w:ascii="Calibri" w:cs="Arial" w:eastAsia="Times New Roman" w:hAnsi="Calibri"/>
      <w:b w:val="1"/>
      <w:i w:val="1"/>
    </w:rPr>
  </w:style>
  <w:style w:type="character" w:styleId="GPSSchTitleandNumberChar" w:customStyle="1">
    <w:name w:val="GPS Sch Title and Number Char"/>
    <w:rPr>
      <w:rFonts w:ascii="Arial Bold" w:cs="Times New Roman" w:eastAsia="STZhongsong" w:hAnsi="Arial Bold"/>
      <w:b w:val="1"/>
      <w:caps w:val="1"/>
      <w:lang w:eastAsia="zh-CN"/>
    </w:rPr>
  </w:style>
  <w:style w:type="character" w:styleId="GPSSchPartChar" w:customStyle="1">
    <w:name w:val="GPS Sch Part Char"/>
    <w:rPr>
      <w:rFonts w:ascii="Arial Bold" w:cs="Times New Roman" w:eastAsia="STZhongsong" w:hAnsi="Arial Bold"/>
      <w:b w:val="1"/>
      <w:caps w:val="1"/>
      <w:lang w:eastAsia="zh-CN"/>
    </w:rPr>
  </w:style>
  <w:style w:type="character" w:styleId="BalloonTextChar" w:customStyle="1">
    <w:name w:val="Balloon Text Char"/>
    <w:basedOn w:val="DefaultParagraphFont"/>
    <w:rPr>
      <w:rFonts w:ascii="Tahoma" w:cs="Tahoma" w:eastAsia="Times New Roman" w:hAnsi="Tahoma"/>
      <w:sz w:val="16"/>
      <w:szCs w:val="16"/>
    </w:rPr>
  </w:style>
  <w:style w:type="character" w:styleId="GPSL4numberedclauseChar" w:customStyle="1">
    <w:name w:val="GPS L4 numbered clause Char"/>
    <w:rPr>
      <w:rFonts w:ascii="Calibri" w:cs="Arial" w:eastAsia="Times New Roman" w:hAnsi="Calibri"/>
      <w:lang w:eastAsia="zh-CN"/>
    </w:rPr>
  </w:style>
  <w:style w:type="character" w:styleId="GPSL3numberedclauseChar" w:customStyle="1">
    <w:name w:val="GPS L3 numbered clause Char"/>
    <w:rPr>
      <w:rFonts w:ascii="Calibri" w:cs="Arial" w:eastAsia="Times New Roman" w:hAnsi="Calibri"/>
      <w:lang w:eastAsia="zh-CN"/>
    </w:rPr>
  </w:style>
  <w:style w:type="character" w:styleId="GPSL5numberedclauseChar" w:customStyle="1">
    <w:name w:val="GPS L5 numbered clause Char"/>
    <w:rPr>
      <w:rFonts w:ascii="Calibri" w:cs="Arial" w:eastAsia="Times New Roman" w:hAnsi="Calibri"/>
      <w:lang w:eastAsia="zh-CN"/>
    </w:rPr>
  </w:style>
  <w:style w:type="character" w:styleId="GPSL4GuidanceChar" w:customStyle="1">
    <w:name w:val="GPS L4 Guidance Char"/>
    <w:rPr>
      <w:rFonts w:ascii="Calibri" w:cs="Arial" w:eastAsia="Times New Roman" w:hAnsi="Calibri"/>
      <w:b w:val="1"/>
      <w:i w:val="1"/>
      <w:lang w:eastAsia="zh-CN"/>
    </w:rPr>
  </w:style>
  <w:style w:type="character" w:styleId="GPSL2non-numberboldheadingChar" w:customStyle="1">
    <w:name w:val="GPS L2 non-number bold heading Char"/>
    <w:rPr>
      <w:rFonts w:ascii="Calibri" w:cs="Arial" w:eastAsia="Times New Roman" w:hAnsi="Calibri"/>
      <w:b w:val="1"/>
      <w:lang w:eastAsia="zh-CN"/>
    </w:rPr>
  </w:style>
  <w:style w:type="character" w:styleId="GPSL2IndentChar" w:customStyle="1">
    <w:name w:val="GPS L2 Indent Char"/>
    <w:rPr>
      <w:rFonts w:ascii="Calibri" w:cs="Arial" w:eastAsia="Times New Roman" w:hAnsi="Calibri"/>
      <w:szCs w:val="24"/>
    </w:rPr>
  </w:style>
  <w:style w:type="character" w:styleId="GPSL2GuidanceChar" w:customStyle="1">
    <w:name w:val="GPS L2 Guidance Char"/>
    <w:rPr>
      <w:rFonts w:ascii="Calibri" w:cs="Arial" w:eastAsia="Times New Roman" w:hAnsi="Calibri"/>
      <w:b w:val="1"/>
      <w:i w:val="1"/>
      <w:lang w:eastAsia="zh-CN"/>
    </w:rPr>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rFonts w:ascii="Calibri" w:cs="Arial" w:eastAsia="Times New Roman" w:hAnsi="Calibri"/>
      <w:sz w:val="20"/>
      <w:szCs w:val="20"/>
    </w:rPr>
  </w:style>
  <w:style w:type="character" w:styleId="CommentSubjectChar" w:customStyle="1">
    <w:name w:val="Comment Subject Char"/>
    <w:basedOn w:val="CommentTextChar"/>
    <w:rPr>
      <w:rFonts w:ascii="Calibri" w:cs="Arial" w:eastAsia="Times New Roman" w:hAnsi="Calibri"/>
      <w:b w:val="1"/>
      <w:bCs w:val="1"/>
      <w:sz w:val="20"/>
      <w:szCs w:val="20"/>
    </w:rPr>
  </w:style>
  <w:style w:type="character" w:styleId="ListLabel1" w:customStyle="1">
    <w:name w:val="ListLabel 1"/>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 w:customStyle="1">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 w:customStyle="1">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 w:customStyle="1">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 w:customStyle="1">
    <w:name w:val="ListLabel 5"/>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 w:customStyle="1">
    <w:name w:val="ListLabel 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 w:customStyle="1">
    <w:name w:val="ListLabel 7"/>
    <w:rPr>
      <w:rFonts w:cs="Times New Roman"/>
    </w:rPr>
  </w:style>
  <w:style w:type="character" w:styleId="ListLabel8" w:customStyle="1">
    <w:name w:val="ListLabel 8"/>
    <w:rPr>
      <w:rFonts w:cs="Times New Roman"/>
    </w:rPr>
  </w:style>
  <w:style w:type="character" w:styleId="ListLabel9" w:customStyle="1">
    <w:name w:val="ListLabel 9"/>
    <w:rPr>
      <w:rFonts w:cs="Times New Roman"/>
    </w:rPr>
  </w:style>
  <w:style w:type="character" w:styleId="ListLabel10" w:customStyle="1">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11" w:customStyle="1">
    <w:name w:val="ListLabel 11"/>
    <w:rPr>
      <w:rFonts w:cs="Times New Roman"/>
    </w:rPr>
  </w:style>
  <w:style w:type="character" w:styleId="ListLabel12" w:customStyle="1">
    <w:name w:val="ListLabel 12"/>
    <w:rPr>
      <w:rFonts w:cs="Times New Roman"/>
    </w:rPr>
  </w:style>
  <w:style w:type="character" w:styleId="ListLabel13" w:customStyle="1">
    <w:name w:val="ListLabel 13"/>
    <w:rPr>
      <w:rFonts w:cs="Times New Roman"/>
    </w:rPr>
  </w:style>
  <w:style w:type="character" w:styleId="ListLabel14" w:customStyle="1">
    <w:name w:val="ListLabel 14"/>
    <w:rPr>
      <w:rFonts w:cs="Times New Roman"/>
    </w:rPr>
  </w:style>
  <w:style w:type="character" w:styleId="ListLabel15" w:customStyle="1">
    <w:name w:val="ListLabel 15"/>
    <w:rPr>
      <w:rFonts w:cs="Times New Roman"/>
    </w:rPr>
  </w:style>
  <w:style w:type="character" w:styleId="ListLabel16" w:customStyle="1">
    <w:name w:val="ListLabel 16"/>
    <w:rPr>
      <w:rFonts w:cs="Times New Roman"/>
    </w:rPr>
  </w:style>
  <w:style w:type="character" w:styleId="ListLabel17" w:customStyle="1">
    <w:name w:val="ListLabel 17"/>
    <w:rPr>
      <w:rFonts w:cs="Times New Roman"/>
    </w:rPr>
  </w:style>
  <w:style w:type="character" w:styleId="ListLabel18" w:customStyle="1">
    <w:name w:val="ListLabel 18"/>
    <w:rPr>
      <w:rFonts w:cs="Times New Roman"/>
    </w:rPr>
  </w:style>
  <w:style w:type="character" w:styleId="ListLabel19" w:customStyle="1">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0" w:customStyle="1">
    <w:name w:val="ListLabel 20"/>
    <w:rPr>
      <w:rFonts w:cs="Times New Roman"/>
    </w:rPr>
  </w:style>
  <w:style w:type="character" w:styleId="ListLabel21" w:customStyle="1">
    <w:name w:val="ListLabel 21"/>
    <w:rPr>
      <w:rFonts w:cs="Times New Roman"/>
    </w:rPr>
  </w:style>
  <w:style w:type="character" w:styleId="ListLabel22" w:customStyle="1">
    <w:name w:val="ListLabel 22"/>
    <w:rPr>
      <w:rFonts w:cs="Times New Roman"/>
    </w:rPr>
  </w:style>
  <w:style w:type="character" w:styleId="ListLabel23" w:customStyle="1">
    <w:name w:val="ListLabel 23"/>
    <w:rPr>
      <w:rFonts w:cs="Times New Roman"/>
    </w:rPr>
  </w:style>
  <w:style w:type="character" w:styleId="ListLabel24" w:customStyle="1">
    <w:name w:val="ListLabel 24"/>
    <w:rPr>
      <w:rFonts w:cs="Times New Roman"/>
    </w:rPr>
  </w:style>
  <w:style w:type="character" w:styleId="ListLabel25" w:customStyle="1">
    <w:name w:val="ListLabel 25"/>
    <w:rPr>
      <w:rFonts w:cs="Times New Roman"/>
    </w:rPr>
  </w:style>
  <w:style w:type="character" w:styleId="ListLabel26" w:customStyle="1">
    <w:name w:val="ListLabel 26"/>
    <w:rPr>
      <w:rFonts w:cs="Times New Roman"/>
    </w:rPr>
  </w:style>
  <w:style w:type="character" w:styleId="ListLabel27" w:customStyle="1">
    <w:name w:val="ListLabel 27"/>
    <w:rPr>
      <w:rFonts w:cs="Times New Roman"/>
    </w:rPr>
  </w:style>
  <w:style w:type="character" w:styleId="ListLabel28" w:customStyle="1">
    <w:name w:val="ListLabel 28"/>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9" w:customStyle="1">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0" w:customStyle="1">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1" w:customStyle="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2" w:customStyle="1">
    <w:name w:val="ListLabel 3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3" w:customStyle="1">
    <w:name w:val="ListLabel 33"/>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4" w:customStyle="1">
    <w:name w:val="ListLabel 34"/>
    <w:rPr>
      <w:rFonts w:cs="Times New Roman"/>
    </w:rPr>
  </w:style>
  <w:style w:type="character" w:styleId="ListLabel35" w:customStyle="1">
    <w:name w:val="ListLabel 35"/>
    <w:rPr>
      <w:rFonts w:cs="Times New Roman"/>
    </w:rPr>
  </w:style>
  <w:style w:type="character" w:styleId="ListLabel36" w:customStyle="1">
    <w:name w:val="ListLabel 36"/>
    <w:rPr>
      <w:rFonts w:cs="Times New Roman"/>
    </w:rPr>
  </w:style>
  <w:style w:type="character" w:styleId="ListLabel37" w:customStyle="1">
    <w:name w:val="ListLabel 37"/>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8" w:customStyle="1">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9" w:customStyle="1">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0" w:customStyle="1">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1" w:customStyle="1">
    <w:name w:val="ListLabel 4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2" w:customStyle="1">
    <w:name w:val="ListLabel 4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3" w:customStyle="1">
    <w:name w:val="ListLabel 43"/>
    <w:rPr>
      <w:rFonts w:cs="Times New Roman"/>
    </w:rPr>
  </w:style>
  <w:style w:type="character" w:styleId="ListLabel44" w:customStyle="1">
    <w:name w:val="ListLabel 44"/>
    <w:rPr>
      <w:rFonts w:cs="Times New Roman"/>
    </w:rPr>
  </w:style>
  <w:style w:type="character" w:styleId="ListLabel45" w:customStyle="1">
    <w:name w:val="ListLabel 45"/>
    <w:rPr>
      <w:rFonts w:cs="Times New Roman"/>
    </w:rPr>
  </w:style>
  <w:style w:type="character" w:styleId="ListLabel46" w:customStyle="1">
    <w:name w:val="ListLabel 46"/>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7" w:customStyle="1">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8" w:customStyle="1">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9" w:customStyle="1">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0" w:customStyle="1">
    <w:name w:val="ListLabel 5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1" w:customStyle="1">
    <w:name w:val="ListLabel 5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2" w:customStyle="1">
    <w:name w:val="ListLabel 52"/>
    <w:rPr>
      <w:rFonts w:cs="Times New Roman"/>
    </w:rPr>
  </w:style>
  <w:style w:type="character" w:styleId="ListLabel53" w:customStyle="1">
    <w:name w:val="ListLabel 53"/>
    <w:rPr>
      <w:rFonts w:cs="Times New Roman"/>
    </w:rPr>
  </w:style>
  <w:style w:type="character" w:styleId="ListLabel54" w:customStyle="1">
    <w:name w:val="ListLabel 54"/>
    <w:rPr>
      <w:rFonts w:cs="Times New Roman"/>
    </w:rPr>
  </w:style>
  <w:style w:type="character" w:styleId="ListLabel55" w:customStyle="1">
    <w:name w:val="ListLabel 55"/>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6" w:customStyle="1">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7" w:customStyle="1">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8" w:customStyle="1">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9" w:customStyle="1">
    <w:name w:val="ListLabel 59"/>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0" w:customStyle="1">
    <w:name w:val="ListLabel 6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1" w:customStyle="1">
    <w:name w:val="ListLabel 61"/>
    <w:rPr>
      <w:rFonts w:cs="Times New Roman"/>
    </w:rPr>
  </w:style>
  <w:style w:type="character" w:styleId="ListLabel62" w:customStyle="1">
    <w:name w:val="ListLabel 62"/>
    <w:rPr>
      <w:rFonts w:cs="Times New Roman"/>
    </w:rPr>
  </w:style>
  <w:style w:type="character" w:styleId="ListLabel63" w:customStyle="1">
    <w:name w:val="ListLabel 63"/>
    <w:rPr>
      <w:rFonts w:cs="Times New Roman"/>
    </w:rPr>
  </w:style>
  <w:style w:type="character" w:styleId="ListLabel64" w:customStyle="1">
    <w:name w:val="ListLabel 64"/>
    <w:rPr>
      <w:rFonts w:cs="Courier New"/>
      <w:b w:val="0"/>
    </w:rPr>
  </w:style>
  <w:style w:type="character" w:styleId="ListLabel65" w:customStyle="1">
    <w:name w:val="ListLabel 65"/>
    <w:rPr>
      <w:rFonts w:cs="Courier New"/>
    </w:rPr>
  </w:style>
  <w:style w:type="character" w:styleId="ListLabel66" w:customStyle="1">
    <w:name w:val="ListLabel 66"/>
    <w:rPr>
      <w:rFonts w:cs="Courier New"/>
    </w:rPr>
  </w:style>
  <w:style w:type="character" w:styleId="ListLabel67" w:customStyle="1">
    <w:name w:val="ListLabel 67"/>
    <w:rPr>
      <w:rFonts w:cs="Courier New"/>
    </w:rPr>
  </w:style>
  <w:style w:type="character" w:styleId="ListLabel68" w:customStyle="1">
    <w:name w:val="ListLabel 68"/>
    <w:rPr>
      <w:rFonts w:cs="Courier New"/>
    </w:rPr>
  </w:style>
  <w:style w:type="character" w:styleId="ListLabel69" w:customStyle="1">
    <w:name w:val="ListLabel 69"/>
    <w:rPr>
      <w:rFonts w:cs="Courier New"/>
    </w:rPr>
  </w:style>
  <w:style w:type="character" w:styleId="ListLabel70" w:customStyle="1">
    <w:name w:val="ListLabel 70"/>
    <w:rPr>
      <w:rFonts w:cs="Courier New"/>
    </w:rPr>
  </w:style>
  <w:style w:type="character" w:styleId="ListLabel71" w:customStyle="1">
    <w:name w:val="ListLabel 71"/>
    <w:rPr>
      <w:rFonts w:cs="Courier New"/>
    </w:rPr>
  </w:style>
  <w:style w:type="character" w:styleId="ListLabel72" w:customStyle="1">
    <w:name w:val="ListLabel 72"/>
    <w:rPr>
      <w:rFonts w:cs="Courier New"/>
    </w:rPr>
  </w:style>
  <w:style w:type="character" w:styleId="ListLabel73" w:customStyle="1">
    <w:name w:val="ListLabel 73"/>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4" w:customStyle="1">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5" w:customStyle="1">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6" w:customStyle="1">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7" w:customStyle="1">
    <w:name w:val="ListLabel 7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8" w:customStyle="1">
    <w:name w:val="ListLabel 78"/>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9" w:customStyle="1">
    <w:name w:val="ListLabel 79"/>
    <w:rPr>
      <w:rFonts w:cs="Times New Roman"/>
    </w:rPr>
  </w:style>
  <w:style w:type="character" w:styleId="ListLabel80" w:customStyle="1">
    <w:name w:val="ListLabel 80"/>
    <w:rPr>
      <w:rFonts w:cs="Times New Roman"/>
    </w:rPr>
  </w:style>
  <w:style w:type="character" w:styleId="ListLabel81" w:customStyle="1">
    <w:name w:val="ListLabel 81"/>
    <w:rPr>
      <w:rFonts w:cs="Times New Roman"/>
    </w:rPr>
  </w:style>
  <w:style w:type="character" w:styleId="ListLabel82" w:customStyle="1">
    <w:name w:val="ListLabel 82"/>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3" w:customStyle="1">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4" w:customStyle="1">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5" w:customStyle="1">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6" w:customStyle="1">
    <w:name w:val="ListLabel 8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7" w:customStyle="1">
    <w:name w:val="ListLabel 8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8" w:customStyle="1">
    <w:name w:val="ListLabel 88"/>
    <w:rPr>
      <w:rFonts w:cs="Times New Roman"/>
    </w:rPr>
  </w:style>
  <w:style w:type="character" w:styleId="ListLabel89" w:customStyle="1">
    <w:name w:val="ListLabel 89"/>
    <w:rPr>
      <w:rFonts w:cs="Times New Roman"/>
    </w:rPr>
  </w:style>
  <w:style w:type="character" w:styleId="ListLabel90" w:customStyle="1">
    <w:name w:val="ListLabel 90"/>
    <w:rPr>
      <w:rFonts w:cs="Times New Roman"/>
    </w:rPr>
  </w:style>
  <w:style w:type="numbering" w:styleId="NoList1" w:customStyle="1">
    <w:name w:val="No List_1"/>
    <w:basedOn w:val="NoList"/>
  </w:style>
  <w:style w:type="numbering" w:styleId="WWNum1" w:customStyle="1">
    <w:name w:val="WWNum1"/>
    <w:basedOn w:val="NoList"/>
  </w:style>
  <w:style w:type="numbering" w:styleId="WWNum2" w:customStyle="1">
    <w:name w:val="WWNum2"/>
    <w:basedOn w:val="NoList"/>
  </w:style>
  <w:style w:type="numbering" w:styleId="WWNum3" w:customStyle="1">
    <w:name w:val="WWNum3"/>
    <w:basedOn w:val="NoList"/>
  </w:style>
  <w:style w:type="numbering" w:styleId="WWNum4" w:customStyle="1">
    <w:name w:val="WWNum4"/>
    <w:basedOn w:val="NoList"/>
  </w:style>
  <w:style w:type="numbering" w:styleId="WWNum5" w:customStyle="1">
    <w:name w:val="WWNum5"/>
    <w:basedOn w:val="NoList"/>
  </w:style>
  <w:style w:type="numbering" w:styleId="WWNum6" w:customStyle="1">
    <w:name w:val="WWNum6"/>
    <w:basedOn w:val="NoList"/>
  </w:style>
  <w:style w:type="numbering" w:styleId="WWNum7" w:customStyle="1">
    <w:name w:val="WWNum7"/>
    <w:basedOn w:val="NoList"/>
  </w:style>
  <w:style w:type="numbering" w:styleId="WWNum8" w:customStyle="1">
    <w:name w:val="WWNum8"/>
    <w:basedOn w:val="NoList"/>
  </w:style>
  <w:style w:type="numbering" w:styleId="WWNum9" w:customStyle="1">
    <w:name w:val="WWNum9"/>
    <w:basedOn w:val="NoList"/>
  </w:style>
  <w:style w:type="numbering" w:styleId="WWNum10" w:customStyle="1">
    <w:name w:val="WWNum10"/>
    <w:basedOn w:val="NoList"/>
  </w:style>
  <w:style w:type="numbering" w:styleId="WWNum11" w:customStyle="1">
    <w:name w:val="WWNum11"/>
    <w:basedOn w:val="NoList"/>
  </w:style>
  <w:style w:type="numbering" w:styleId="WWNum12" w:customStyle="1">
    <w:name w:val="WWNum12"/>
    <w:basedOn w:val="NoList"/>
  </w:style>
  <w:style w:type="numbering" w:styleId="WWNum13" w:customStyle="1">
    <w:name w:val="WWNum13"/>
    <w:basedOn w:val="NoList"/>
  </w:style>
  <w:style w:type="table" w:styleId="TableGrid">
    <w:name w:val="Table Grid"/>
    <w:basedOn w:val="TableNormal"/>
    <w:uiPriority w:val="39"/>
    <w:rsid w:val="007A5C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AMainHeading" w:customStyle="1">
    <w:name w:val="FA: Main Heading"/>
    <w:basedOn w:val="Heading1"/>
    <w:qFormat w:val="1"/>
    <w:rsid w:val="00532FDD"/>
    <w:pPr>
      <w:numPr>
        <w:numId w:val="5"/>
      </w:numPr>
      <w:tabs>
        <w:tab w:val="num" w:pos="360"/>
      </w:tabs>
      <w:spacing w:after="20" w:before="20"/>
      <w:ind w:left="0" w:firstLine="0"/>
    </w:pPr>
    <w:rPr>
      <w:rFonts w:ascii="Arial" w:cs="Arial" w:eastAsia="Calibri" w:hAnsi="Arial"/>
      <w:b w:val="1"/>
      <w:color w:val="auto"/>
      <w:sz w:val="22"/>
      <w:szCs w:val="36"/>
    </w:rPr>
  </w:style>
  <w:style w:type="paragraph" w:styleId="FALevel1" w:customStyle="1">
    <w:name w:val="FA: Level 1"/>
    <w:basedOn w:val="Normal"/>
    <w:link w:val="FALevel1Char"/>
    <w:qFormat w:val="1"/>
    <w:rsid w:val="00532FDD"/>
    <w:pPr>
      <w:widowControl w:val="1"/>
      <w:numPr>
        <w:ilvl w:val="1"/>
        <w:numId w:val="5"/>
      </w:numPr>
      <w:spacing w:after="280" w:before="120" w:line="259" w:lineRule="auto"/>
    </w:pPr>
    <w:rPr>
      <w:rFonts w:ascii="Arial" w:cs="Arial" w:hAnsi="Arial" w:eastAsiaTheme="minorHAnsi"/>
    </w:rPr>
  </w:style>
  <w:style w:type="character" w:styleId="FALevel1Char" w:customStyle="1">
    <w:name w:val="FA: Level 1 Char"/>
    <w:basedOn w:val="DefaultParagraphFont"/>
    <w:link w:val="FALevel1"/>
    <w:rsid w:val="00532FDD"/>
    <w:rPr>
      <w:rFonts w:ascii="Arial" w:cs="Arial" w:hAnsi="Arial" w:eastAsiaTheme="minorHAnsi"/>
    </w:rPr>
  </w:style>
  <w:style w:type="paragraph" w:styleId="FALevel2" w:customStyle="1">
    <w:name w:val="FA: Level 2"/>
    <w:basedOn w:val="Normal"/>
    <w:link w:val="FALevel2Char"/>
    <w:qFormat w:val="1"/>
    <w:rsid w:val="00532FDD"/>
    <w:pPr>
      <w:widowControl w:val="1"/>
      <w:numPr>
        <w:ilvl w:val="2"/>
        <w:numId w:val="5"/>
      </w:numPr>
      <w:spacing w:after="280" w:before="120" w:line="259" w:lineRule="auto"/>
    </w:pPr>
    <w:rPr>
      <w:rFonts w:ascii="Arial" w:cs="Arial" w:hAnsi="Arial" w:eastAsiaTheme="minorHAnsi"/>
    </w:rPr>
  </w:style>
  <w:style w:type="character" w:styleId="FALevel2Char" w:customStyle="1">
    <w:name w:val="FA: Level 2 Char"/>
    <w:basedOn w:val="DefaultParagraphFont"/>
    <w:link w:val="FALevel2"/>
    <w:rsid w:val="00532FDD"/>
    <w:rPr>
      <w:rFonts w:ascii="Arial" w:cs="Arial" w:hAnsi="Arial" w:eastAsiaTheme="minorHAnsi"/>
    </w:rPr>
  </w:style>
  <w:style w:type="character" w:styleId="Heading1Char" w:customStyle="1">
    <w:name w:val="Heading 1 Char"/>
    <w:basedOn w:val="DefaultParagraphFont"/>
    <w:link w:val="Heading1"/>
    <w:uiPriority w:val="9"/>
    <w:rsid w:val="00532FDD"/>
    <w:rPr>
      <w:rFonts w:asciiTheme="majorHAnsi" w:cstheme="majorBidi" w:eastAsiaTheme="majorEastAsia" w:hAnsiTheme="majorHAnsi"/>
      <w:color w:val="2f5496" w:themeColor="accent1" w:themeShade="0000BF"/>
      <w:sz w:val="32"/>
      <w:szCs w:val="32"/>
    </w:rPr>
  </w:style>
  <w:style w:type="paragraph" w:styleId="FABulletPoints" w:customStyle="1">
    <w:name w:val="FA: Bullet Points"/>
    <w:basedOn w:val="Normal"/>
    <w:link w:val="FABulletPointsChar"/>
    <w:qFormat w:val="1"/>
    <w:rsid w:val="00532FDD"/>
    <w:pPr>
      <w:widowControl w:val="1"/>
      <w:tabs>
        <w:tab w:val="num" w:pos="720"/>
      </w:tabs>
      <w:ind w:left="720" w:hanging="720"/>
    </w:pPr>
    <w:rPr>
      <w:rFonts w:ascii="Arial" w:cs="Arial" w:hAnsi="Arial" w:eastAsiaTheme="minorHAnsi"/>
    </w:rPr>
  </w:style>
  <w:style w:type="character" w:styleId="FABulletPointsChar" w:customStyle="1">
    <w:name w:val="FA: Bullet Points Char"/>
    <w:basedOn w:val="DefaultParagraphFont"/>
    <w:link w:val="FABulletPoints"/>
    <w:rsid w:val="00532FDD"/>
    <w:rPr>
      <w:rFonts w:ascii="Arial" w:cs="Arial" w:hAnsi="Arial" w:eastAsiaTheme="minorHAnsi"/>
    </w:rPr>
  </w:style>
  <w:style w:type="paragraph" w:styleId="Revision">
    <w:name w:val="Revision"/>
    <w:hidden w:val="1"/>
    <w:uiPriority w:val="99"/>
    <w:semiHidden w:val="1"/>
    <w:rsid w:val="00CE0EDB"/>
    <w:pPr>
      <w:widowControl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qFHlJW0m61KftWP7S6oSvn8g==">AMUW2mU970qBEN1KePLqrYMBI51QrU2kVEPAdwZ/ThIcwjJizODdg/mKemmADVVZk62Xw2dRqenUbfFSsCnJ3nKKs5lctmuqw85yAmXH6WmrBIu8dMwBIJFuguZiqJOq0HvuVsCZKwXWrsCplE6BIojLMF3qKXUzFtDgFtnM46GQBJoa2n3/GopSWwVfLalvfmpy8z70ut2AbHt1AL26gHGhMljfOHCtPM23jgi0uzmd+Zib4pL7L7ehY+FclsBS3/ZcxavgnJJVEiuS6tBJL3sXUVo/XStWMVucOTHWPb5pUBrVIrMZk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2020-10-15T09:02:00Z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