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1"/>
      <w:bookmarkEnd w:id="1"/>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Framework Schedule 7 (Call-Off Award Procedure</w:t>
      </w:r>
      <w:bookmarkStart w:colFirst="0" w:colLast="0" w:name="bookmark=id.30j0zll"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1: Order Procedure</w:t>
      </w:r>
    </w:p>
    <w:p w:rsidR="00000000" w:rsidDel="00000000" w:rsidP="00000000" w:rsidRDefault="00000000" w:rsidRPr="00000000" w14:paraId="00000003">
      <w:pPr>
        <w:keepNext w:val="1"/>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a Call-Off Contract is awarded</w:t>
      </w:r>
    </w:p>
    <w:p w:rsidR="00000000" w:rsidDel="00000000" w:rsidP="00000000" w:rsidRDefault="00000000" w:rsidRPr="00000000" w14:paraId="0000000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potential Buyer decides to source Deliverables through this Contract then it will award its Deliverables in accordance with the procedure in this Schedule and the requirements of the Regulations.</w:t>
      </w:r>
      <w:r w:rsidDel="00000000" w:rsidR="00000000" w:rsidRPr="00000000">
        <w:rPr>
          <w:rtl w:val="0"/>
        </w:rPr>
      </w:r>
    </w:p>
    <w:p w:rsidR="00000000" w:rsidDel="00000000" w:rsidP="00000000" w:rsidRDefault="00000000" w:rsidRPr="00000000" w14:paraId="00000005">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potential Buyer can determine that:</w:t>
      </w:r>
      <w:r w:rsidDel="00000000" w:rsidR="00000000" w:rsidRPr="00000000">
        <w:rPr>
          <w:rtl w:val="0"/>
        </w:rPr>
      </w:r>
    </w:p>
    <w:p w:rsidR="00000000" w:rsidDel="00000000" w:rsidP="00000000" w:rsidRDefault="00000000" w:rsidRPr="00000000" w14:paraId="00000006">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Deliverables can be met by the Suppliers’ catalogues and description of the Deliverables as set out in Framework Schedule 1 (Specification) and Framework Schedule 2 (Framework Tender); and</w:t>
      </w:r>
      <w:r w:rsidDel="00000000" w:rsidR="00000000" w:rsidRPr="00000000">
        <w:rPr>
          <w:rtl w:val="0"/>
        </w:rPr>
      </w:r>
    </w:p>
    <w:p w:rsidR="00000000" w:rsidDel="00000000" w:rsidP="00000000" w:rsidRDefault="00000000" w:rsidRPr="00000000" w14:paraId="00000007">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 terms of the proposed Call-Off Contract are laid down in this Contract and do not require amendment or any supplementary terms and conditions;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220" w:before="0" w:line="240" w:lineRule="auto"/>
        <w:ind w:left="93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then the Buyer may award a Call-Off Contract in accordance with the procedure set out in Paragraph 2 below.</w:t>
      </w:r>
    </w:p>
    <w:p w:rsidR="00000000" w:rsidDel="00000000" w:rsidP="00000000" w:rsidRDefault="00000000" w:rsidRPr="00000000" w14:paraId="00000009">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all of the terms of the proposed Call-Off Contract are not laid down in this Contract and the potential Buyer:</w:t>
      </w:r>
      <w:r w:rsidDel="00000000" w:rsidR="00000000" w:rsidRPr="00000000">
        <w:rPr>
          <w:rtl w:val="0"/>
        </w:rPr>
      </w:r>
    </w:p>
    <w:p w:rsidR="00000000" w:rsidDel="00000000" w:rsidP="00000000" w:rsidRDefault="00000000" w:rsidRPr="00000000" w14:paraId="0000000A">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requires the Supplier to develop proposals or a solution in respect of such Deliverables; and/or</w:t>
      </w:r>
      <w:r w:rsidDel="00000000" w:rsidR="00000000" w:rsidRPr="00000000">
        <w:rPr>
          <w:rtl w:val="0"/>
        </w:rPr>
      </w:r>
    </w:p>
    <w:p w:rsidR="00000000" w:rsidDel="00000000" w:rsidP="00000000" w:rsidRDefault="00000000" w:rsidRPr="00000000" w14:paraId="0000000B">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needs to amend or refine the terms of the Framework Contract to reflect its Deliverables to the extent permitted by and in accordance with the Regulations;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220" w:before="0" w:line="240" w:lineRule="auto"/>
        <w:ind w:left="90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then the Buyer may award a Call-Off Contract in accordance with the Further Competition Procedure set out in Paragraph 3 below.</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220" w:before="0" w:line="240" w:lineRule="auto"/>
        <w:ind w:left="90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1.4 All Call-Off Contracts must not exceed a maximum five year initial term with two optional one year extensions. There is no minimum contract length. </w:t>
      </w:r>
    </w:p>
    <w:p w:rsidR="00000000" w:rsidDel="00000000" w:rsidP="00000000" w:rsidRDefault="00000000" w:rsidRPr="00000000" w14:paraId="0000000E">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a direct award works</w:t>
      </w:r>
    </w:p>
    <w:p w:rsidR="00000000" w:rsidDel="00000000" w:rsidP="00000000" w:rsidRDefault="00000000" w:rsidRPr="00000000" w14:paraId="0000000F">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sz w:val="24"/>
          <w:szCs w:val="24"/>
          <w:rtl w:val="0"/>
        </w:rPr>
        <w:t xml:space="preserve">Direct award is not applicable for this Framework.</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3641"/>
        </w:tabs>
        <w:spacing w:after="120" w:before="120" w:line="240" w:lineRule="auto"/>
        <w:ind w:left="198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a further competition works</w:t>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tabs>
          <w:tab w:val="left" w:pos="3054"/>
        </w:tabs>
        <w:spacing w:after="120" w:before="120" w:line="240" w:lineRule="auto"/>
        <w:ind w:left="1134" w:right="0" w:hanging="774"/>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the Buyer has to do</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80" w:before="120" w:line="259"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applicable, the Buyer may use the following procedure to shortlist Suppliers before entering into a Further Competition Procedure: </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80" w:before="120" w:line="259" w:lineRule="auto"/>
        <w:ind w:left="261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Filters – The Buyer will produce a Supplier shortlist based on the Service Filters. </w:t>
      </w:r>
      <w:r w:rsidDel="00000000" w:rsidR="00000000" w:rsidRPr="00000000">
        <w:rPr>
          <w:rtl w:val="0"/>
        </w:rPr>
      </w:r>
    </w:p>
    <w:p w:rsidR="00000000" w:rsidDel="00000000" w:rsidP="00000000" w:rsidRDefault="00000000" w:rsidRPr="00000000" w14:paraId="0000001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80" w:before="120" w:line="259" w:lineRule="auto"/>
        <w:ind w:left="261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Expression Of Interest (EOI) – The Buyer may use an EOI process to produce a Supplier shortlist. The EOI may contain the following details but is not limited to: scope, scale, timescales, incumbent supplier, grades, payment terms, capacity and/or budget. </w:t>
      </w:r>
      <w:r w:rsidDel="00000000" w:rsidR="00000000" w:rsidRPr="00000000">
        <w:rPr>
          <w:rtl w:val="0"/>
        </w:rPr>
      </w:r>
    </w:p>
    <w:p w:rsidR="00000000" w:rsidDel="00000000" w:rsidP="00000000" w:rsidRDefault="00000000" w:rsidRPr="00000000" w14:paraId="0000001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80" w:before="120" w:line="259" w:lineRule="auto"/>
        <w:ind w:left="261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Filters and Expression of Interest – The Buyer may use both of the procedures detailed in paragraph 3.1.2 and 3.1.3. </w:t>
      </w:r>
      <w:r w:rsidDel="00000000" w:rsidR="00000000" w:rsidRPr="00000000">
        <w:rPr>
          <w:rtl w:val="0"/>
        </w:rPr>
      </w:r>
    </w:p>
    <w:p w:rsidR="00000000" w:rsidDel="00000000" w:rsidP="00000000" w:rsidRDefault="00000000" w:rsidRPr="00000000" w14:paraId="0000001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80" w:before="120" w:line="259" w:lineRule="auto"/>
        <w:ind w:left="261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Conference call – The Buyer may use this after the EOI. The Buyer will provide further information on its requirement and Suppliers may have the opportunity to raise queries. </w:t>
      </w:r>
      <w:r w:rsidDel="00000000" w:rsidR="00000000" w:rsidRPr="00000000">
        <w:rPr>
          <w:rtl w:val="0"/>
        </w:rPr>
      </w:r>
    </w:p>
    <w:p w:rsidR="00000000" w:rsidDel="00000000" w:rsidP="00000000" w:rsidRDefault="00000000" w:rsidRPr="00000000" w14:paraId="0000001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280" w:before="120" w:line="259" w:lineRule="auto"/>
        <w:ind w:left="2610" w:right="0" w:hanging="72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can deselect themselves through the process after the Service Filters and/or EOI and/or conference call. </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80" w:before="120" w:line="259"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does not respond to the EOI in accordance with any stated timescales they will not be invited to participate in the Further Competition Procedure. </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80" w:before="120" w:line="259"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Supplier is invited to the conference call and they do not attend they may not be invited to participate in the Further Competition Procedure. </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80" w:before="120" w:line="259"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reserves the right to add or change the Services Filters and the EOI template throughout the lifetime of the Framework Agreement. </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80" w:before="120" w:line="259"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update their Service Filters during the lifetime of the Framework Agreement subject to you providing a customer reference. </w:t>
      </w:r>
      <w:r w:rsidDel="00000000" w:rsidR="00000000" w:rsidRPr="00000000">
        <w:rPr>
          <w:rtl w:val="0"/>
        </w:rPr>
      </w:r>
    </w:p>
    <w:p w:rsidR="00000000" w:rsidDel="00000000" w:rsidP="00000000" w:rsidRDefault="00000000" w:rsidRPr="00000000" w14:paraId="0000001D">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awarding a Call-Off Contract under this Contract through a Further Competition Procedure shall:</w:t>
      </w:r>
      <w:r w:rsidDel="00000000" w:rsidR="00000000" w:rsidRPr="00000000">
        <w:rPr>
          <w:rtl w:val="0"/>
        </w:rPr>
      </w:r>
    </w:p>
    <w:p w:rsidR="00000000" w:rsidDel="00000000" w:rsidP="00000000" w:rsidRDefault="00000000" w:rsidRPr="00000000" w14:paraId="0000001E">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a Statement of Requirements setting out its requirements for the Deliverables and identify the Suppliers capable of supplying the them;</w:t>
      </w:r>
      <w:r w:rsidDel="00000000" w:rsidR="00000000" w:rsidRPr="00000000">
        <w:rPr>
          <w:rtl w:val="0"/>
        </w:rPr>
      </w:r>
    </w:p>
    <w:p w:rsidR="00000000" w:rsidDel="00000000" w:rsidP="00000000" w:rsidRDefault="00000000" w:rsidRPr="00000000" w14:paraId="0000001F">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amend or refine the Deliverables to reflect its requirements by using the Order Form only to the extent permitted by and in accordance with the requirements of the Regulations;</w:t>
      </w:r>
      <w:r w:rsidDel="00000000" w:rsidR="00000000" w:rsidRPr="00000000">
        <w:rPr>
          <w:rtl w:val="0"/>
        </w:rPr>
      </w:r>
    </w:p>
    <w:p w:rsidR="00000000" w:rsidDel="00000000" w:rsidP="00000000" w:rsidRDefault="00000000" w:rsidRPr="00000000" w14:paraId="00000020">
      <w:pPr>
        <w:keepNext w:val="1"/>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invite tenders by conducting a Further Competition Procedure for its Deliverables in accordance with the Regulations and in particular:</w:t>
      </w:r>
      <w:r w:rsidDel="00000000" w:rsidR="00000000" w:rsidRPr="00000000">
        <w:rPr>
          <w:rtl w:val="0"/>
        </w:rPr>
      </w:r>
    </w:p>
    <w:p w:rsidR="00000000" w:rsidDel="00000000" w:rsidP="00000000" w:rsidRDefault="00000000" w:rsidRPr="00000000" w14:paraId="00000021">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Electronic Reverse Auction (as defined in Paragraph 7 below) is to be held, the Buyer shall notify the Suppliers identified in accordance with Paragraph 3.1.1 and shall conduct the Further Competition Procedure in accordance with the procedures set out in Paragraph 3; or</w:t>
      </w:r>
    </w:p>
    <w:p w:rsidR="00000000" w:rsidDel="00000000" w:rsidP="00000000" w:rsidRDefault="00000000" w:rsidRPr="00000000" w14:paraId="00000022">
      <w:pPr>
        <w:keepNext w:val="1"/>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Electronic Reverse Auction is not used, the Buyer shall:</w:t>
      </w:r>
    </w:p>
    <w:p w:rsidR="00000000" w:rsidDel="00000000" w:rsidP="00000000" w:rsidRDefault="00000000" w:rsidRPr="00000000" w14:paraId="00000023">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6238"/>
        </w:tabs>
        <w:spacing w:after="120" w:before="120" w:line="240" w:lineRule="auto"/>
        <w:ind w:left="3119"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invite the Suppliers identified in accordance with Paragraph 3.1.1 to submit a tender in writing for each proposed Call-Off Contract to be awarded by giving written notice by email to the relevant Supplier Representative of each Supplier;</w:t>
      </w:r>
    </w:p>
    <w:p w:rsidR="00000000" w:rsidDel="00000000" w:rsidP="00000000" w:rsidRDefault="00000000" w:rsidRPr="00000000" w14:paraId="00000024">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6238"/>
        </w:tabs>
        <w:spacing w:after="120" w:before="120" w:line="240" w:lineRule="auto"/>
        <w:ind w:left="3119"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a time limit for the receipt by it of the tenders which takes into account factors such as the complexity of the subject matter of the proposed Call-Off Contract and the time needed to submit tenders; and</w:t>
      </w:r>
    </w:p>
    <w:p w:rsidR="00000000" w:rsidDel="00000000" w:rsidP="00000000" w:rsidRDefault="00000000" w:rsidRPr="00000000" w14:paraId="00000025">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6238"/>
        </w:tabs>
        <w:spacing w:after="120" w:before="120" w:line="240" w:lineRule="auto"/>
        <w:ind w:left="3119"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each tender confidential until the time limit set out for the return of tenders has expired.</w:t>
      </w:r>
    </w:p>
    <w:p w:rsidR="00000000" w:rsidDel="00000000" w:rsidP="00000000" w:rsidRDefault="00000000" w:rsidRPr="00000000" w14:paraId="00000026">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the further competition award criteria to the Suppliers' compliant tenders submitted through the Further Competition Procedure as the basis of its decision to award a Call-Off Contract for its Deliverables;</w:t>
      </w:r>
      <w:r w:rsidDel="00000000" w:rsidR="00000000" w:rsidRPr="00000000">
        <w:rPr>
          <w:rtl w:val="0"/>
        </w:rPr>
      </w:r>
    </w:p>
    <w:p w:rsidR="00000000" w:rsidDel="00000000" w:rsidP="00000000" w:rsidRDefault="00000000" w:rsidRPr="00000000" w14:paraId="00000027">
      <w:pPr>
        <w:keepNext w:val="1"/>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basis set out above, award its Call-Off Contract to the successful Supplier in accordance with Paragraph 6. The Call-Off Contract shall:</w:t>
      </w:r>
      <w:r w:rsidDel="00000000" w:rsidR="00000000" w:rsidRPr="00000000">
        <w:rPr>
          <w:rtl w:val="0"/>
        </w:rPr>
      </w:r>
    </w:p>
    <w:p w:rsidR="00000000" w:rsidDel="00000000" w:rsidP="00000000" w:rsidRDefault="00000000" w:rsidRPr="00000000" w14:paraId="00000028">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Deliverables;</w:t>
      </w:r>
    </w:p>
    <w:p w:rsidR="00000000" w:rsidDel="00000000" w:rsidP="00000000" w:rsidRDefault="00000000" w:rsidRPr="00000000" w14:paraId="00000029">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tender submitted by the successful Supplier;</w:t>
      </w:r>
    </w:p>
    <w:p w:rsidR="00000000" w:rsidDel="00000000" w:rsidP="00000000" w:rsidRDefault="00000000" w:rsidRPr="00000000" w14:paraId="0000002A">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the Charges payable for the Deliverables in accordance with the tender submitted by the successful Supplier; and</w:t>
      </w:r>
    </w:p>
    <w:p w:rsidR="00000000" w:rsidDel="00000000" w:rsidP="00000000" w:rsidRDefault="00000000" w:rsidRPr="00000000" w14:paraId="0000002B">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incorporate the terms [of the Order Form and Contract] (as may be amended or refined by the Buyer in accordance with Paragraph 3.1.2. above) applicable to the Deliverables,</w:t>
      </w:r>
    </w:p>
    <w:p w:rsidR="00000000" w:rsidDel="00000000" w:rsidP="00000000" w:rsidRDefault="00000000" w:rsidRPr="00000000" w14:paraId="0000002C">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unsuccessful Suppliers with written feedback in relation to the reasons why their tenders were unsuccessful.</w:t>
      </w:r>
      <w:r w:rsidDel="00000000" w:rsidR="00000000" w:rsidRPr="00000000">
        <w:rPr>
          <w:rtl w:val="0"/>
        </w:rPr>
      </w:r>
    </w:p>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tabs>
          <w:tab w:val="left" w:pos="305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the Supplier has to do</w:t>
      </w:r>
    </w:p>
    <w:p w:rsidR="00000000" w:rsidDel="00000000" w:rsidP="00000000" w:rsidRDefault="00000000" w:rsidRPr="00000000" w14:paraId="0000002E">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b w:val="1"/>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in writing, by the time and date specified by the Buyer following an invitation to tender pursuant to Paragraph 3.1.3 above, provide CCS and the Buyer with either:</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3641"/>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to the effect that it does not wish to tender in relation to the Deliverables; or</w:t>
      </w:r>
      <w:r w:rsidDel="00000000" w:rsidR="00000000" w:rsidRPr="00000000">
        <w:rPr>
          <w:rtl w:val="0"/>
        </w:rPr>
      </w:r>
    </w:p>
    <w:p w:rsidR="00000000" w:rsidDel="00000000" w:rsidP="00000000" w:rsidRDefault="00000000" w:rsidRPr="00000000" w14:paraId="00000031">
      <w:pPr>
        <w:keepNext w:val="1"/>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full details of its tender made in respect of the relevant Statement of Requirements. In the event that the Supplier submits such a tender, it should include, as a minimum:</w:t>
      </w:r>
      <w:r w:rsidDel="00000000" w:rsidR="00000000" w:rsidRPr="00000000">
        <w:rPr>
          <w:rtl w:val="0"/>
        </w:rPr>
      </w:r>
    </w:p>
    <w:p w:rsidR="00000000" w:rsidDel="00000000" w:rsidP="00000000" w:rsidRDefault="00000000" w:rsidRPr="00000000" w14:paraId="00000032">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email response subject line to comprise unique reference number and Supplier name, so as to clearly identify the Supplier;</w:t>
      </w:r>
    </w:p>
    <w:p w:rsidR="00000000" w:rsidDel="00000000" w:rsidP="00000000" w:rsidRDefault="00000000" w:rsidRPr="00000000" w14:paraId="00000033">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brief summary, in the email (followed by a confirmation letter), stating that the Supplier is bidding for the Statement of Requirements;</w:t>
      </w:r>
    </w:p>
    <w:p w:rsidR="00000000" w:rsidDel="00000000" w:rsidP="00000000" w:rsidRDefault="00000000" w:rsidRPr="00000000" w14:paraId="00000034">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proposal covering the Deliverables;</w:t>
      </w:r>
    </w:p>
    <w:p w:rsidR="00000000" w:rsidDel="00000000" w:rsidP="00000000" w:rsidRDefault="00000000" w:rsidRPr="00000000" w14:paraId="00000035">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CVs of key staff – as a minimum any lead consultant, with others, as considered appropriate along with required staff levels (if necessary); and</w:t>
      </w:r>
    </w:p>
    <w:p w:rsidR="00000000" w:rsidDel="00000000" w:rsidP="00000000" w:rsidRDefault="00000000" w:rsidRPr="00000000" w14:paraId="00000036">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confirmation of discounts applicable to the Deliverables, as referenced in Framework Schedule 3 (Framework Prices) (if applicable).</w:t>
      </w:r>
    </w:p>
    <w:p w:rsidR="00000000" w:rsidDel="00000000" w:rsidP="00000000" w:rsidRDefault="00000000" w:rsidRPr="00000000" w14:paraId="00000037">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any prices submitted in relation to a Further Competition Procedure held pursuant to this Paragraph 3 shall be based on the charging structure and take into account any discount to which the Buyer may be entitled as set out in Framework Schedule 3 (Framework Prices).</w:t>
      </w:r>
      <w:r w:rsidDel="00000000" w:rsidR="00000000" w:rsidRPr="00000000">
        <w:rPr>
          <w:rtl w:val="0"/>
        </w:rPr>
      </w:r>
    </w:p>
    <w:p w:rsidR="00000000" w:rsidDel="00000000" w:rsidP="00000000" w:rsidRDefault="00000000" w:rsidRPr="00000000" w14:paraId="00000038">
      <w:pPr>
        <w:keepNext w:val="1"/>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that:</w:t>
      </w:r>
      <w:r w:rsidDel="00000000" w:rsidR="00000000" w:rsidRPr="00000000">
        <w:rPr>
          <w:rtl w:val="0"/>
        </w:rPr>
      </w:r>
    </w:p>
    <w:p w:rsidR="00000000" w:rsidDel="00000000" w:rsidP="00000000" w:rsidRDefault="00000000" w:rsidRPr="00000000" w14:paraId="00000039">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tenders submitted by the Supplier in relation to a Further Competition Procedure held pursuant to this Paragraph 3 shall remain open for acceptance by the Buyer for ninety (90) Working Days (or such other period specified in the invitation to tender issued by the Buyer in accordance with the Call-Off Procedure); and</w:t>
      </w:r>
    </w:p>
    <w:p w:rsidR="00000000" w:rsidDel="00000000" w:rsidP="00000000" w:rsidRDefault="00000000" w:rsidRPr="00000000" w14:paraId="0000003A">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rsidR="00000000" w:rsidDel="00000000" w:rsidP="00000000" w:rsidRDefault="00000000" w:rsidRPr="00000000" w14:paraId="0000003B">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6238"/>
        </w:tabs>
        <w:spacing w:after="120" w:before="120" w:line="240" w:lineRule="auto"/>
        <w:ind w:left="3119"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rsidR="00000000" w:rsidDel="00000000" w:rsidP="00000000" w:rsidRDefault="00000000" w:rsidRPr="00000000" w14:paraId="0000003C">
      <w:pPr>
        <w:keepNext w:val="0"/>
        <w:keepLines w:val="0"/>
        <w:widowControl w:val="1"/>
        <w:numPr>
          <w:ilvl w:val="4"/>
          <w:numId w:val="3"/>
        </w:numPr>
        <w:pBdr>
          <w:top w:space="0" w:sz="0" w:val="nil"/>
          <w:left w:space="0" w:sz="0" w:val="nil"/>
          <w:bottom w:space="0" w:sz="0" w:val="nil"/>
          <w:right w:space="0" w:sz="0" w:val="nil"/>
          <w:between w:space="0" w:sz="0" w:val="nil"/>
        </w:pBdr>
        <w:shd w:fill="auto" w:val="clear"/>
        <w:tabs>
          <w:tab w:val="left" w:pos="6238"/>
        </w:tabs>
        <w:spacing w:after="120" w:before="120" w:line="240" w:lineRule="auto"/>
        <w:ind w:left="3119" w:right="0" w:hanging="566.999999999999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into any arrangement or agreement with any other person that he or the other person(s) shall refrain from submitting a tender or as to the amount of any tenders to be submitted.</w:t>
      </w:r>
    </w:p>
    <w:p w:rsidR="00000000" w:rsidDel="00000000" w:rsidP="00000000" w:rsidRDefault="00000000" w:rsidRPr="00000000" w14:paraId="0000003D">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No requirement to award</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the fact that the Buyer has followed a procedure as set out above in Paragraph 2 or 3 (as applicable), the Supplier acknowledges and agrees that the Buyer shall be entitled at all times to decline to make an award for its Deliverables and that nothing in this Contract shall oblige the Buyer to award any Call-Off Contract.</w:t>
      </w:r>
      <w:r w:rsidDel="00000000" w:rsidR="00000000" w:rsidRPr="00000000">
        <w:rPr>
          <w:rtl w:val="0"/>
        </w:rPr>
      </w:r>
    </w:p>
    <w:p w:rsidR="00000000" w:rsidDel="00000000" w:rsidP="00000000" w:rsidRDefault="00000000" w:rsidRPr="00000000" w14:paraId="0000003F">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Who is responsible for the award</w:t>
      </w:r>
    </w:p>
    <w:p w:rsidR="00000000" w:rsidDel="00000000" w:rsidP="00000000" w:rsidRDefault="00000000" w:rsidRPr="00000000" w14:paraId="0000004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the Buyer is independently responsible for the conduct of its award of Call-Off Contracts under this Contract and that CCS is not responsible or accountable for and shall have no liability whatsoever, except where it is the Buyer, in relation to:</w:t>
      </w:r>
      <w:r w:rsidDel="00000000" w:rsidR="00000000" w:rsidRPr="00000000">
        <w:rPr>
          <w:rtl w:val="0"/>
        </w:rPr>
      </w:r>
    </w:p>
    <w:p w:rsidR="00000000" w:rsidDel="00000000" w:rsidP="00000000" w:rsidRDefault="00000000" w:rsidRPr="00000000" w14:paraId="0000004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conduct of Buyer in relation to this Contract; or</w:t>
      </w:r>
      <w:r w:rsidDel="00000000" w:rsidR="00000000" w:rsidRPr="00000000">
        <w:rPr>
          <w:rtl w:val="0"/>
        </w:rPr>
      </w:r>
    </w:p>
    <w:p w:rsidR="00000000" w:rsidDel="00000000" w:rsidP="00000000" w:rsidRDefault="00000000" w:rsidRPr="00000000" w14:paraId="0000004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performance or non-performance of any Call-Off Contracts between the Supplier and Buyer entered into pursuant to this Contract.</w:t>
      </w:r>
      <w:r w:rsidDel="00000000" w:rsidR="00000000" w:rsidRPr="00000000">
        <w:rPr>
          <w:rtl w:val="0"/>
        </w:rPr>
      </w:r>
    </w:p>
    <w:p w:rsidR="00000000" w:rsidDel="00000000" w:rsidP="00000000" w:rsidRDefault="00000000" w:rsidRPr="00000000" w14:paraId="00000043">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Awarding and creating a Call-Off Contract</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Paragraphs 1 to 5 above and 7, a Buyer may award a Call-Off Contract with the Supplier by sending (including electronically) a signed order form substantially in the form (as may be amended or refined by the Buyer in accordance with Paragraph 3.1.2 above) of the Order Form Template set out in Framework Schedule 6 (Order Form Template and Call-Off Schedules).</w:t>
      </w:r>
      <w:r w:rsidDel="00000000" w:rsidR="00000000" w:rsidRPr="00000000">
        <w:rPr>
          <w:rtl w:val="0"/>
        </w:rPr>
      </w:r>
    </w:p>
    <w:p w:rsidR="00000000" w:rsidDel="00000000" w:rsidP="00000000" w:rsidRDefault="00000000" w:rsidRPr="00000000" w14:paraId="0000004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that any document or communication (including any document or communication in the apparent form of a Call-Off Contract) which is not as described in this Paragraph 6 shall not constitute a Call-Off Contract under this Contract.</w:t>
      </w:r>
      <w:r w:rsidDel="00000000" w:rsidR="00000000" w:rsidRPr="00000000">
        <w:rPr>
          <w:rtl w:val="0"/>
        </w:rPr>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receipt of an order form as described in Paragraph 6.1 from a Buyer the Supplier shall accept the Call-Off Contract by promptly signing and returning (including by electronic means) a copy of the order form to the Buyer concerned.</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receipt of the countersigned Order Form from the Supplier, the Buyer shall send (including by electronic means) a written notice of receipt to the Supplier within two (2) Working Days and the Call Off Contract shall be formed with effect from the Call Off Start Date stated in the Order Form.</w:t>
      </w:r>
      <w:r w:rsidDel="00000000" w:rsidR="00000000" w:rsidRPr="00000000">
        <w:rPr>
          <w:rtl w:val="0"/>
        </w:rPr>
      </w:r>
    </w:p>
    <w:p w:rsidR="00000000" w:rsidDel="00000000" w:rsidP="00000000" w:rsidRDefault="00000000" w:rsidRPr="00000000" w14:paraId="00000048">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e-auctions work</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be entitled to include a reverse auction in the Further Competition Procedure in accordance with the rules laid down by the Buyer and the Regulations.</w:t>
      </w:r>
      <w:r w:rsidDel="00000000" w:rsidR="00000000" w:rsidRPr="00000000">
        <w:rPr>
          <w:rtl w:val="0"/>
        </w:rPr>
      </w:r>
    </w:p>
    <w:p w:rsidR="00000000" w:rsidDel="00000000" w:rsidP="00000000" w:rsidRDefault="00000000" w:rsidRPr="00000000" w14:paraId="0000004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wishes to undertake an electronic reverse auction, where Suppliers compete in real time by bidding as the auction unfolds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"Electronic Reverse Auction"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then before undertaking it, the Buyer will make an initial full evaluation of all tenders received in response to its Statement of Requirements. The Buyer will then invite to the Electronic Reverse Auction only those tenders that are admissible in accordance with the Regulations. The invitation shall be accompanied by the outcome of the full initial evaluation of the relevant tenders.</w:t>
      </w:r>
      <w:r w:rsidDel="00000000" w:rsidR="00000000" w:rsidRPr="00000000">
        <w:rPr>
          <w:rtl w:val="0"/>
        </w:rPr>
      </w:r>
    </w:p>
    <w:p w:rsidR="00000000" w:rsidDel="00000000" w:rsidP="00000000" w:rsidRDefault="00000000" w:rsidRPr="00000000" w14:paraId="0000004B">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inform the Suppliers of the specification for the Electronic Reverse Auction which shall include:</w:t>
      </w:r>
      <w:r w:rsidDel="00000000" w:rsidR="00000000" w:rsidRPr="00000000">
        <w:rPr>
          <w:rtl w:val="0"/>
        </w:rPr>
      </w:r>
    </w:p>
    <w:p w:rsidR="00000000" w:rsidDel="00000000" w:rsidP="00000000" w:rsidRDefault="00000000" w:rsidRPr="00000000" w14:paraId="0000004C">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information to be provided at auction, which must be expressed in figures or percentages of the specified quantifiable features;</w:t>
      </w:r>
    </w:p>
    <w:p w:rsidR="00000000" w:rsidDel="00000000" w:rsidP="00000000" w:rsidRDefault="00000000" w:rsidRPr="00000000" w14:paraId="0000004D">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mathematical formula to be used to determine automatic ranking of bids on the basis of new prices and/or new values submitted;  </w:t>
      </w:r>
    </w:p>
    <w:p w:rsidR="00000000" w:rsidDel="00000000" w:rsidP="00000000" w:rsidRDefault="00000000" w:rsidRPr="00000000" w14:paraId="0000004E">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limits on the values which may be submitted;</w:t>
      </w:r>
    </w:p>
    <w:p w:rsidR="00000000" w:rsidDel="00000000" w:rsidP="00000000" w:rsidRDefault="00000000" w:rsidRPr="00000000" w14:paraId="0000004F">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any information which will be made available to Suppliers in the course of the Electronic Reverse Auction, and when it will be made available to them;</w:t>
      </w:r>
    </w:p>
    <w:p w:rsidR="00000000" w:rsidDel="00000000" w:rsidP="00000000" w:rsidRDefault="00000000" w:rsidRPr="00000000" w14:paraId="00000050">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conditions under which Suppliers will be able to bid and, in particular, the minimum differences which will, where appropriate, be required when bidding;</w:t>
      </w:r>
    </w:p>
    <w:p w:rsidR="00000000" w:rsidDel="00000000" w:rsidP="00000000" w:rsidRDefault="00000000" w:rsidRPr="00000000" w14:paraId="00000051">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information concerning the electronic equipment used and the arrangements and technical specification for connection;</w:t>
      </w:r>
    </w:p>
    <w:p w:rsidR="00000000" w:rsidDel="00000000" w:rsidP="00000000" w:rsidRDefault="00000000" w:rsidRPr="00000000" w14:paraId="00000052">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to Paragraph 7.</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date and time of the start of the Electronic Reverse Auction; and</w:t>
      </w:r>
    </w:p>
    <w:p w:rsidR="00000000" w:rsidDel="00000000" w:rsidP="00000000" w:rsidRDefault="00000000" w:rsidRPr="00000000" w14:paraId="00000053">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when and how the Electronic Reverse Auction will close.</w:t>
      </w:r>
    </w:p>
    <w:p w:rsidR="00000000" w:rsidDel="00000000" w:rsidP="00000000" w:rsidRDefault="00000000" w:rsidRPr="00000000" w14:paraId="0000005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Electronic Reverse Auction may not start sooner than two (2) Working Days after the date on which the specification for the Electronic Reverse Auction has been issued.</w:t>
      </w:r>
      <w:r w:rsidDel="00000000" w:rsidR="00000000" w:rsidRPr="00000000">
        <w:rPr>
          <w:rtl w:val="0"/>
        </w:rPr>
      </w:r>
    </w:p>
    <w:p w:rsidR="00000000" w:rsidDel="00000000" w:rsidP="00000000" w:rsidRDefault="00000000" w:rsidRPr="00000000" w14:paraId="0000005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Throughout each phase of the Electronic Reverse Auction the Buyer will communicate to all Suppliers sufficient information to enable them to ascertain their relative ranking.</w:t>
      </w:r>
      <w:r w:rsidDel="00000000" w:rsidR="00000000" w:rsidRPr="00000000">
        <w:rPr>
          <w:rtl w:val="0"/>
        </w:rPr>
      </w:r>
    </w:p>
    <w:p w:rsidR="00000000" w:rsidDel="00000000" w:rsidP="00000000" w:rsidRDefault="00000000" w:rsidRPr="00000000" w14:paraId="00000056">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and agrees that:</w:t>
      </w:r>
      <w:r w:rsidDel="00000000" w:rsidR="00000000" w:rsidRPr="00000000">
        <w:rPr>
          <w:rtl w:val="0"/>
        </w:rPr>
      </w:r>
    </w:p>
    <w:p w:rsidR="00000000" w:rsidDel="00000000" w:rsidP="00000000" w:rsidRDefault="00000000" w:rsidRPr="00000000" w14:paraId="00000057">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and its officers, servants, agents, group companies, assignees and customers (including CCS) do not guarantee that its access to the Electronic Reverse Auction will be uninterrupted or error-free;</w:t>
      </w:r>
    </w:p>
    <w:p w:rsidR="00000000" w:rsidDel="00000000" w:rsidP="00000000" w:rsidRDefault="00000000" w:rsidRPr="00000000" w14:paraId="00000058">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access to the Electronic Reverse Auction may occasionally be restricted to allow for repairs or maintenance; and</w:t>
      </w:r>
    </w:p>
    <w:p w:rsidR="00000000" w:rsidDel="00000000" w:rsidP="00000000" w:rsidRDefault="00000000" w:rsidRPr="00000000" w14:paraId="00000059">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comply with all such rules that may be imposed by the Buyer in relation to the operation of the Electronic Reverse Auction.</w:t>
      </w:r>
    </w:p>
    <w:p w:rsidR="00000000" w:rsidDel="00000000" w:rsidP="00000000" w:rsidRDefault="00000000" w:rsidRPr="00000000" w14:paraId="0000005A">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will close the Electronic Reverse Auction on the basis of:</w:t>
      </w:r>
      <w:r w:rsidDel="00000000" w:rsidR="00000000" w:rsidRPr="00000000">
        <w:rPr>
          <w:rtl w:val="0"/>
        </w:rPr>
      </w:r>
    </w:p>
    <w:p w:rsidR="00000000" w:rsidDel="00000000" w:rsidP="00000000" w:rsidRDefault="00000000" w:rsidRPr="00000000" w14:paraId="0000005B">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date and time fixed in advance;</w:t>
      </w:r>
    </w:p>
    <w:p w:rsidR="00000000" w:rsidDel="00000000" w:rsidP="00000000" w:rsidRDefault="00000000" w:rsidRPr="00000000" w14:paraId="0000005C">
      <w:pPr>
        <w:keepNext w:val="0"/>
        <w:keepLines w:val="0"/>
        <w:widowControl w:val="1"/>
        <w:numPr>
          <w:ilvl w:val="3"/>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84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no new prices or values meeting the minimum differences required pursuant to Paragraph 7.3 have been received within the prescribed elapsed time period; or</w:t>
      </w:r>
    </w:p>
    <w:p w:rsidR="00000000" w:rsidDel="00000000" w:rsidP="00000000" w:rsidRDefault="00000000" w:rsidRPr="00000000" w14:paraId="0000005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all the phases have been completed.]</w:t>
      </w:r>
      <w:r w:rsidDel="00000000" w:rsidR="00000000" w:rsidRPr="00000000">
        <w:rPr>
          <w:rtl w:val="0"/>
        </w:rPr>
      </w:r>
    </w:p>
    <w:p w:rsidR="00000000" w:rsidDel="00000000" w:rsidP="00000000" w:rsidRDefault="00000000" w:rsidRPr="00000000" w14:paraId="0000005E">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Awarding and creating an Exempt Call-off Contract</w:t>
      </w:r>
    </w:p>
    <w:p w:rsidR="00000000" w:rsidDel="00000000" w:rsidP="00000000" w:rsidRDefault="00000000" w:rsidRPr="00000000" w14:paraId="0000005F">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Paragraph 1 above shall not apply to an Exempt Buyer.</w:t>
      </w:r>
      <w:r w:rsidDel="00000000" w:rsidR="00000000" w:rsidRPr="00000000">
        <w:rPr>
          <w:rtl w:val="0"/>
        </w:rPr>
      </w:r>
    </w:p>
    <w:p w:rsidR="00000000" w:rsidDel="00000000" w:rsidP="00000000" w:rsidRDefault="00000000" w:rsidRPr="00000000" w14:paraId="00000060">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 potential Exempt Buyer decides to source Deliverables through this Framework Contract, it will award an Exempt Call-off Contract for Deliverables in accordance with the procedure in this Schedule as modified by this Paragraph 8 and in accordance with any legal requirements applicable to that potential Exempt Buyer.</w:t>
      </w:r>
      <w:r w:rsidDel="00000000" w:rsidR="00000000" w:rsidRPr="00000000">
        <w:rPr>
          <w:rtl w:val="0"/>
        </w:rPr>
      </w:r>
    </w:p>
    <w:p w:rsidR="00000000" w:rsidDel="00000000" w:rsidP="00000000" w:rsidRDefault="00000000" w:rsidRPr="00000000" w14:paraId="00000061">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potential Exempt Buyer may award an Exempt Call-off Contract under this Framework Contract without holding a further competition in accordance with Paragraph 2 above as modified by Paragraph 8.4 below or through a Further Competition Procedure in accordance with Paragraph 3 as modified by Paragraph 8.5 below.</w:t>
      </w:r>
      <w:r w:rsidDel="00000000" w:rsidR="00000000" w:rsidRPr="00000000">
        <w:rPr>
          <w:rtl w:val="0"/>
        </w:rPr>
      </w:r>
    </w:p>
    <w:p w:rsidR="00000000" w:rsidDel="00000000" w:rsidP="00000000" w:rsidRDefault="00000000" w:rsidRPr="00000000" w14:paraId="00000062">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Notwithstanding the procedure set out in Paragraph 2 above, if the potential Exempt Buyer can determine that:</w:t>
      </w:r>
      <w:r w:rsidDel="00000000" w:rsidR="00000000" w:rsidRPr="00000000">
        <w:rPr>
          <w:rtl w:val="0"/>
        </w:rPr>
      </w:r>
    </w:p>
    <w:p w:rsidR="00000000" w:rsidDel="00000000" w:rsidP="00000000" w:rsidRDefault="00000000" w:rsidRPr="00000000" w14:paraId="0000006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its Deliverables can be met by the Supplier’s catalogues and description of the Deliverables as set out in Framework Schedule 1 (Specification) and Framework Schedule 2 (Framework Tender); and</w:t>
      </w:r>
      <w:r w:rsidDel="00000000" w:rsidR="00000000" w:rsidRPr="00000000">
        <w:rPr>
          <w:rtl w:val="0"/>
        </w:rPr>
      </w:r>
    </w:p>
    <w:p w:rsidR="00000000" w:rsidDel="00000000" w:rsidP="00000000" w:rsidRDefault="00000000" w:rsidRPr="00000000" w14:paraId="00000064">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3641"/>
        </w:tabs>
        <w:spacing w:after="120" w:before="120" w:line="240" w:lineRule="auto"/>
        <w:ind w:left="2610" w:right="0" w:hanging="72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will accept any required Exempt Procurement Amendments,</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3641"/>
        </w:tabs>
        <w:spacing w:after="120" w:before="120" w:line="240" w:lineRule="auto"/>
        <w:ind w:left="189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then the Exempt Buyer may award an Exempt Call-off Contract to that Supplier in accordance with Paragraph 6 above.</w:t>
      </w:r>
    </w:p>
    <w:p w:rsidR="00000000" w:rsidDel="00000000" w:rsidP="00000000" w:rsidRDefault="00000000" w:rsidRPr="00000000" w14:paraId="00000066">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potential Exempt Buyer requires the Supplier to develop proposals or a solution in respect of Deliverables, then the potential Exempt Buyer may at its discretion use the procedure set out in Paragraph 3 above as modified by this Paragraph 8.5. In that case, references to “the Regulations” in Paragraph 3 above shall be read as references to “any legal requirements applicable to that potential Exempt Buyer”, and the Exempt Buyer shall be permitted to modify the Further Competition Procedure in accordance with any legal requirements applicable to the Exempt Buyer.</w:t>
      </w:r>
      <w:r w:rsidDel="00000000" w:rsidR="00000000" w:rsidRPr="00000000">
        <w:rPr>
          <w:rtl w:val="0"/>
        </w:rPr>
      </w:r>
    </w:p>
    <w:p w:rsidR="00000000" w:rsidDel="00000000" w:rsidP="00000000" w:rsidRDefault="00000000" w:rsidRPr="00000000" w14:paraId="00000067">
      <w:pPr>
        <w:keepNext w:val="1"/>
        <w:keepLines w:val="0"/>
        <w:widowControl w:val="1"/>
        <w:numPr>
          <w:ilvl w:val="1"/>
          <w:numId w:val="3"/>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Paragraphs 8.1 to 8.5 above are without prejudice to an Exempt Buyer’s ability to make such further modifications to the Call-Off Procedure as it considers necessary and in accordance with any legal requirements applicable to that potential Exempt Buyer.</w:t>
      </w:r>
      <w:r w:rsidDel="00000000" w:rsidR="00000000" w:rsidRPr="00000000">
        <w:rPr>
          <w:rtl w:val="0"/>
        </w:rPr>
      </w:r>
    </w:p>
    <w:p w:rsidR="00000000" w:rsidDel="00000000" w:rsidP="00000000" w:rsidRDefault="00000000" w:rsidRPr="00000000" w14:paraId="00000068">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305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3054"/>
        </w:tabs>
        <w:spacing w:after="120" w:before="120" w:line="240" w:lineRule="auto"/>
        <w:ind w:left="936" w:right="0" w:hanging="576"/>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Part 2: Award Criteria</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Part 2 lays out award criteria for further competition (Annex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the Call-Off Procedure.</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Call-Off Contract may be awarded on the basis of most economically advantageous tender ("MEAT"). </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54"/>
        </w:tabs>
        <w:spacing w:after="120" w:before="12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This Schedule includes details of the evaluation criteria and any weightings that will be applied to that criteria. Criteria applicable to a Further Competition Procedure are set out in Annex A to this Schedule.</w:t>
      </w:r>
      <w:r w:rsidDel="00000000" w:rsidR="00000000" w:rsidRPr="00000000">
        <w:rPr>
          <w:rtl w:val="0"/>
        </w:rPr>
      </w:r>
    </w:p>
    <w:p w:rsidR="00000000" w:rsidDel="00000000" w:rsidP="00000000" w:rsidRDefault="00000000" w:rsidRPr="00000000" w14:paraId="0000006E">
      <w:pPr>
        <w:rPr>
          <w:rFonts w:ascii="Arial" w:cs="Arial" w:eastAsia="Arial" w:hAnsi="Arial"/>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F">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w:t>
      </w:r>
      <w:r w:rsidDel="00000000" w:rsidR="00000000" w:rsidRPr="00000000">
        <w:rPr>
          <w:rFonts w:ascii="Arial Bold" w:cs="Arial Bold" w:eastAsia="Arial Bold" w:hAnsi="Arial Bold"/>
          <w:b w:val="1"/>
          <w:sz w:val="36"/>
          <w:szCs w:val="36"/>
          <w:rtl w:val="0"/>
        </w:rPr>
        <w:t xml:space="preserve">A</w:t>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 Further Competition Award Criteria</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4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criteria and weightings shall apply to the evaluation of tenders received through the Further Competition Procedure:</w:t>
      </w: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shd w:fill="e7e6e6" w:val="clear"/>
          </w:tcPr>
          <w:p w:rsidR="00000000" w:rsidDel="00000000" w:rsidP="00000000" w:rsidRDefault="00000000" w:rsidRPr="00000000" w14:paraId="00000071">
            <w:pPr>
              <w:widowControl w:val="1"/>
              <w:tabs>
                <w:tab w:val="left" w:pos="851"/>
              </w:tabs>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Criteria</w:t>
            </w:r>
            <w:r w:rsidDel="00000000" w:rsidR="00000000" w:rsidRPr="00000000">
              <w:rPr>
                <w:rtl w:val="0"/>
              </w:rPr>
            </w:r>
          </w:p>
        </w:tc>
        <w:tc>
          <w:tcPr>
            <w:shd w:fill="e7e6e6" w:val="clear"/>
          </w:tcPr>
          <w:p w:rsidR="00000000" w:rsidDel="00000000" w:rsidP="00000000" w:rsidRDefault="00000000" w:rsidRPr="00000000" w14:paraId="00000072">
            <w:pPr>
              <w:widowControl w:val="1"/>
              <w:spacing w:after="200" w:before="12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Relative weighting percentage </w:t>
            </w:r>
          </w:p>
          <w:p w:rsidR="00000000" w:rsidDel="00000000" w:rsidP="00000000" w:rsidRDefault="00000000" w:rsidRPr="00000000" w14:paraId="00000073">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be set by the Buyer conducting the further competition</w:t>
            </w:r>
          </w:p>
        </w:tc>
      </w:tr>
      <w:tr>
        <w:tc>
          <w:tcPr/>
          <w:p w:rsidR="00000000" w:rsidDel="00000000" w:rsidP="00000000" w:rsidRDefault="00000000" w:rsidRPr="00000000" w14:paraId="00000074">
            <w:pPr>
              <w:keepNext w:val="1"/>
              <w:widowControl w:val="1"/>
              <w:spacing w:after="120" w:before="120" w:lineRule="auto"/>
              <w:ind w:left="1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Quality</w:t>
            </w:r>
          </w:p>
          <w:p w:rsidR="00000000" w:rsidDel="00000000" w:rsidP="00000000" w:rsidRDefault="00000000" w:rsidRPr="00000000" w14:paraId="00000075">
            <w:pPr>
              <w:keepNext w:val="1"/>
              <w:widowControl w:val="1"/>
              <w:spacing w:after="120" w:before="240" w:lineRule="auto"/>
              <w:ind w:left="1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Which may consist of the following criteria:</w:t>
            </w:r>
          </w:p>
          <w:p w:rsidR="00000000" w:rsidDel="00000000" w:rsidP="00000000" w:rsidRDefault="00000000" w:rsidRPr="00000000" w14:paraId="00000076">
            <w:pPr>
              <w:keepNext w:val="1"/>
              <w:widowControl w:val="1"/>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Added Value / Innovation</w:t>
            </w:r>
          </w:p>
          <w:p w:rsidR="00000000" w:rsidDel="00000000" w:rsidP="00000000" w:rsidRDefault="00000000" w:rsidRPr="00000000" w14:paraId="00000077">
            <w:pPr>
              <w:keepNext w:val="1"/>
              <w:widowControl w:val="1"/>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Approach To Delivery Of The Services</w:t>
            </w:r>
          </w:p>
          <w:p w:rsidR="00000000" w:rsidDel="00000000" w:rsidP="00000000" w:rsidRDefault="00000000" w:rsidRPr="00000000" w14:paraId="00000078">
            <w:pPr>
              <w:keepNext w:val="1"/>
              <w:widowControl w:val="1"/>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Implementation</w:t>
            </w:r>
          </w:p>
          <w:p w:rsidR="00000000" w:rsidDel="00000000" w:rsidP="00000000" w:rsidRDefault="00000000" w:rsidRPr="00000000" w14:paraId="00000079">
            <w:pPr>
              <w:keepNext w:val="1"/>
              <w:widowControl w:val="1"/>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Use Of Supply Chain / Partners</w:t>
            </w:r>
          </w:p>
        </w:tc>
        <w:tc>
          <w:tcPr/>
          <w:p w:rsidR="00000000" w:rsidDel="00000000" w:rsidP="00000000" w:rsidRDefault="00000000" w:rsidRPr="00000000" w14:paraId="0000007A">
            <w:pPr>
              <w:widowControl w:val="1"/>
              <w:tabs>
                <w:tab w:val="left" w:pos="851"/>
              </w:tabs>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30-60%</w:t>
            </w:r>
          </w:p>
        </w:tc>
      </w:tr>
      <w:tr>
        <w:tc>
          <w:tcPr/>
          <w:p w:rsidR="00000000" w:rsidDel="00000000" w:rsidP="00000000" w:rsidRDefault="00000000" w:rsidRPr="00000000" w14:paraId="0000007B">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07C">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0-30% </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tl w:val="0"/>
              </w:rPr>
            </w:r>
          </w:p>
        </w:tc>
      </w:tr>
      <w:tr>
        <w:tc>
          <w:tcPr/>
          <w:p w:rsidR="00000000" w:rsidDel="00000000" w:rsidP="00000000" w:rsidRDefault="00000000" w:rsidRPr="00000000" w14:paraId="0000007D">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effectiveness</w:t>
            </w:r>
          </w:p>
        </w:tc>
        <w:tc>
          <w:tcPr/>
          <w:p w:rsidR="00000000" w:rsidDel="00000000" w:rsidP="00000000" w:rsidRDefault="00000000" w:rsidRPr="00000000" w14:paraId="0000007E">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w:t>
            </w:r>
          </w:p>
        </w:tc>
      </w:tr>
      <w:tr>
        <w:tc>
          <w:tcPr/>
          <w:p w:rsidR="00000000" w:rsidDel="00000000" w:rsidP="00000000" w:rsidRDefault="00000000" w:rsidRPr="00000000" w14:paraId="0000007F">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Technical merit</w:t>
            </w:r>
          </w:p>
        </w:tc>
        <w:tc>
          <w:tcPr/>
          <w:p w:rsidR="00000000" w:rsidDel="00000000" w:rsidP="00000000" w:rsidRDefault="00000000" w:rsidRPr="00000000" w14:paraId="00000080">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0-20%</w:t>
            </w:r>
          </w:p>
        </w:tc>
      </w:tr>
      <w:tr>
        <w:tc>
          <w:tcPr/>
          <w:p w:rsidR="00000000" w:rsidDel="00000000" w:rsidP="00000000" w:rsidRDefault="00000000" w:rsidRPr="00000000" w14:paraId="00000081">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Technical assistance</w:t>
            </w:r>
          </w:p>
        </w:tc>
        <w:tc>
          <w:tcPr/>
          <w:p w:rsidR="00000000" w:rsidDel="00000000" w:rsidP="00000000" w:rsidRDefault="00000000" w:rsidRPr="00000000" w14:paraId="00000082">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0-15%</w:t>
            </w:r>
          </w:p>
        </w:tc>
      </w:tr>
      <w:tr>
        <w:tc>
          <w:tcPr/>
          <w:p w:rsidR="00000000" w:rsidDel="00000000" w:rsidP="00000000" w:rsidRDefault="00000000" w:rsidRPr="00000000" w14:paraId="00000083">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sales service</w:t>
            </w:r>
          </w:p>
        </w:tc>
        <w:tc>
          <w:tcPr/>
          <w:p w:rsidR="00000000" w:rsidDel="00000000" w:rsidP="00000000" w:rsidRDefault="00000000" w:rsidRPr="00000000" w14:paraId="00000084">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w:t>
            </w:r>
          </w:p>
        </w:tc>
      </w:tr>
      <w:tr>
        <w:tc>
          <w:tcPr/>
          <w:p w:rsidR="00000000" w:rsidDel="00000000" w:rsidP="00000000" w:rsidRDefault="00000000" w:rsidRPr="00000000" w14:paraId="00000085">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Price</w:t>
            </w:r>
          </w:p>
        </w:tc>
        <w:tc>
          <w:tcPr/>
          <w:p w:rsidR="00000000" w:rsidDel="00000000" w:rsidP="00000000" w:rsidRDefault="00000000" w:rsidRPr="00000000" w14:paraId="00000086">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30-60%</w:t>
            </w:r>
          </w:p>
        </w:tc>
      </w:tr>
      <w:tr>
        <w:tc>
          <w:tcPr/>
          <w:p w:rsidR="00000000" w:rsidDel="00000000" w:rsidP="00000000" w:rsidRDefault="00000000" w:rsidRPr="00000000" w14:paraId="00000087">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Aesthetic and functional characteristics</w:t>
            </w:r>
          </w:p>
        </w:tc>
        <w:tc>
          <w:tcPr/>
          <w:p w:rsidR="00000000" w:rsidDel="00000000" w:rsidP="00000000" w:rsidRDefault="00000000" w:rsidRPr="00000000" w14:paraId="00000088">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w:t>
            </w:r>
          </w:p>
        </w:tc>
      </w:tr>
      <w:tr>
        <w:tc>
          <w:tcPr/>
          <w:p w:rsidR="00000000" w:rsidDel="00000000" w:rsidP="00000000" w:rsidRDefault="00000000" w:rsidRPr="00000000" w14:paraId="00000089">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Running costs</w:t>
            </w:r>
          </w:p>
        </w:tc>
        <w:tc>
          <w:tcPr/>
          <w:p w:rsidR="00000000" w:rsidDel="00000000" w:rsidP="00000000" w:rsidRDefault="00000000" w:rsidRPr="00000000" w14:paraId="0000008A">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w:t>
            </w:r>
          </w:p>
        </w:tc>
      </w:tr>
      <w:tr>
        <w:tc>
          <w:tcPr/>
          <w:p w:rsidR="00000000" w:rsidDel="00000000" w:rsidP="00000000" w:rsidRDefault="00000000" w:rsidRPr="00000000" w14:paraId="0000008B">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Environmental characteristics</w:t>
            </w:r>
          </w:p>
        </w:tc>
        <w:tc>
          <w:tcPr/>
          <w:p w:rsidR="00000000" w:rsidDel="00000000" w:rsidP="00000000" w:rsidRDefault="00000000" w:rsidRPr="00000000" w14:paraId="0000008C">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w:t>
            </w:r>
          </w:p>
        </w:tc>
      </w:tr>
      <w:tr>
        <w:tc>
          <w:tcPr/>
          <w:p w:rsidR="00000000" w:rsidDel="00000000" w:rsidP="00000000" w:rsidRDefault="00000000" w:rsidRPr="00000000" w14:paraId="0000008D">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Delivery date and delivery period</w:t>
            </w:r>
          </w:p>
        </w:tc>
        <w:tc>
          <w:tcPr/>
          <w:p w:rsidR="00000000" w:rsidDel="00000000" w:rsidP="00000000" w:rsidRDefault="00000000" w:rsidRPr="00000000" w14:paraId="0000008E">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w:t>
            </w:r>
          </w:p>
        </w:tc>
      </w:tr>
      <w:tr>
        <w:tc>
          <w:tcPr/>
          <w:p w:rsidR="00000000" w:rsidDel="00000000" w:rsidP="00000000" w:rsidRDefault="00000000" w:rsidRPr="00000000" w14:paraId="0000008F">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Period of completion</w:t>
            </w:r>
          </w:p>
        </w:tc>
        <w:tc>
          <w:tcPr/>
          <w:p w:rsidR="00000000" w:rsidDel="00000000" w:rsidP="00000000" w:rsidRDefault="00000000" w:rsidRPr="00000000" w14:paraId="00000090">
            <w:pPr>
              <w:widowControl w:val="1"/>
              <w:tabs>
                <w:tab w:val="left" w:pos="851"/>
              </w:tabs>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0-10%</w:t>
            </w:r>
          </w:p>
        </w:tc>
      </w:tr>
    </w:tbl>
    <w:p w:rsidR="00000000" w:rsidDel="00000000" w:rsidP="00000000" w:rsidRDefault="00000000" w:rsidRPr="00000000" w14:paraId="00000091">
      <w:pPr>
        <w:widowControl w:val="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4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tabs>
        <w:tab w:val="center" w:pos="4513"/>
        <w:tab w:val="right"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r>
  </w:p>
  <w:p w:rsidR="00000000" w:rsidDel="00000000" w:rsidP="00000000" w:rsidRDefault="00000000" w:rsidRPr="00000000" w14:paraId="0000009B">
    <w:pPr>
      <w:tabs>
        <w:tab w:val="center" w:pos="4513"/>
        <w:tab w:val="right"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tabs>
        <w:tab w:val="left" w:pos="720"/>
        <w:tab w:val="left" w:pos="1440"/>
        <w:tab w:val="left" w:pos="2160"/>
        <w:tab w:val="left" w:pos="2880"/>
        <w:tab w:val="left" w:pos="3600"/>
        <w:tab w:val="center" w:pos="4513"/>
      </w:tabs>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v3.0</w:t>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center" w:pos="4513"/>
        <w:tab w:val="right" w:pos="9026"/>
      </w:tabs>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RM6193</w:t>
      <w:tab/>
      <w:t xml:space="preserv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F">
    <w:pPr>
      <w:tabs>
        <w:tab w:val="left" w:pos="720"/>
        <w:tab w:val="left" w:pos="1440"/>
        <w:tab w:val="left" w:pos="2160"/>
        <w:tab w:val="left" w:pos="2880"/>
        <w:tab w:val="left" w:pos="3600"/>
        <w:tab w:val="center" w:pos="4513"/>
      </w:tabs>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v3.1</w:t>
      <w:tab/>
      <w:tab/>
      <w:tab/>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Please apply the relevant weighting for the call-off, as per PPN 06/20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Framework Schedule 7 (Call-Off Award Procedure)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 2018</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7 (Call-Off Award Procedure)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b w:val="0"/>
        <w:i w:val="0"/>
        <w:smallCaps w:val="0"/>
        <w:strike w:val="0"/>
        <w:color w:val="00000a"/>
        <w:sz w:val="24"/>
        <w:szCs w:val="24"/>
        <w:u w:val="none"/>
        <w:vertAlign w:val="baseline"/>
      </w:rPr>
    </w:lvl>
    <w:lvl w:ilvl="1">
      <w:start w:val="1"/>
      <w:numFmt w:val="decimal"/>
      <w:lvlText w:val="%1.%2"/>
      <w:lvlJc w:val="left"/>
      <w:pPr>
        <w:ind w:left="1800" w:hanging="360"/>
      </w:pPr>
      <w:rPr>
        <w:b w:val="0"/>
        <w:i w:val="0"/>
        <w:smallCaps w:val="0"/>
        <w:strike w:val="0"/>
        <w:color w:val="00000a"/>
        <w:sz w:val="22"/>
        <w:szCs w:val="22"/>
        <w:u w:val="none"/>
        <w:vertAlign w:val="baseline"/>
      </w:rPr>
    </w:lvl>
    <w:lvl w:ilvl="2">
      <w:start w:val="1"/>
      <w:numFmt w:val="decimal"/>
      <w:lvlText w:val="%1.%2.%3"/>
      <w:lvlJc w:val="left"/>
      <w:pPr>
        <w:ind w:left="3330" w:hanging="720"/>
      </w:pPr>
      <w:rPr>
        <w:b w:val="0"/>
        <w:i w:val="0"/>
        <w:smallCaps w:val="0"/>
        <w:strike w:val="0"/>
        <w:color w:val="00000a"/>
        <w:sz w:val="22"/>
        <w:szCs w:val="22"/>
        <w:u w:val="none"/>
        <w:vertAlign w:val="baseline"/>
      </w:rPr>
    </w:lvl>
    <w:lvl w:ilvl="3">
      <w:start w:val="1"/>
      <w:numFmt w:val="lowerLetter"/>
      <w:lvlText w:val="(%4)"/>
      <w:lvlJc w:val="left"/>
      <w:pPr>
        <w:ind w:left="3567" w:hanging="720"/>
      </w:pPr>
      <w:rPr>
        <w:b w:val="0"/>
        <w:i w:val="0"/>
        <w:smallCaps w:val="0"/>
        <w:strike w:val="0"/>
        <w:color w:val="00000a"/>
        <w:sz w:val="22"/>
        <w:szCs w:val="22"/>
        <w:u w:val="none"/>
        <w:vertAlign w:val="baseline"/>
      </w:rPr>
    </w:lvl>
    <w:lvl w:ilvl="4">
      <w:start w:val="1"/>
      <w:numFmt w:val="lowerRoman"/>
      <w:lvlText w:val="(%5)"/>
      <w:lvlJc w:val="left"/>
      <w:pPr>
        <w:ind w:left="2160" w:hanging="1080"/>
      </w:pPr>
      <w:rPr>
        <w:b w:val="0"/>
        <w:i w:val="0"/>
        <w:smallCaps w:val="0"/>
        <w:strike w:val="0"/>
        <w:color w:val="000000"/>
        <w:u w:val="none"/>
        <w:vertAlign w:val="baseline"/>
      </w:rPr>
    </w:lvl>
    <w:lvl w:ilvl="5">
      <w:start w:val="1"/>
      <w:numFmt w:val="upperLetter"/>
      <w:lvlText w:val="(%6)"/>
      <w:lvlJc w:val="left"/>
      <w:pPr>
        <w:ind w:left="2160" w:hanging="1080"/>
      </w:pPr>
      <w:rPr>
        <w:b w:val="0"/>
        <w:i w:val="0"/>
        <w:smallCaps w:val="0"/>
        <w:strike w:val="0"/>
        <w:color w:val="000000"/>
        <w:u w:val="none"/>
        <w:vertAlign w:val="baseline"/>
      </w:rPr>
    </w:lvl>
    <w:lvl w:ilvl="6">
      <w:start w:val="1"/>
      <w:numFmt w:val="decimal"/>
      <w:lvlText w:val="%1.%2.%3.%4.%5.%6.%7"/>
      <w:lvlJc w:val="left"/>
      <w:pPr>
        <w:ind w:left="2520" w:hanging="1440"/>
      </w:pPr>
      <w:rPr/>
    </w:lvl>
    <w:lvl w:ilvl="7">
      <w:start w:val="1"/>
      <w:numFmt w:val="decimal"/>
      <w:lvlText w:val="%1.%2.%3.%4.%5.%6.%7.%8"/>
      <w:lvlJc w:val="left"/>
      <w:pPr>
        <w:ind w:left="2520" w:hanging="1440"/>
      </w:pPr>
      <w:rPr/>
    </w:lvl>
    <w:lvl w:ilvl="8">
      <w:start w:val="1"/>
      <w:numFmt w:val="decimal"/>
      <w:lvlText w:val="%1.%2.%3.%4.%5.%6.%7.%8.%9"/>
      <w:lvlJc w:val="left"/>
      <w:pPr>
        <w:ind w:left="288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1"/>
        <w:i w:val="0"/>
        <w:smallCaps w:val="0"/>
        <w:strike w:val="0"/>
        <w:color w:val="00000a"/>
        <w:sz w:val="24"/>
        <w:szCs w:val="24"/>
        <w:u w:val="none"/>
        <w:vertAlign w:val="baseline"/>
      </w:rPr>
    </w:lvl>
    <w:lvl w:ilvl="1">
      <w:start w:val="1"/>
      <w:numFmt w:val="decimal"/>
      <w:lvlText w:val="%1.%2"/>
      <w:lvlJc w:val="left"/>
      <w:pPr>
        <w:ind w:left="1080" w:hanging="360"/>
      </w:pPr>
      <w:rPr>
        <w:rFonts w:ascii="Arial" w:cs="Arial" w:eastAsia="Arial" w:hAnsi="Arial"/>
        <w:b w:val="0"/>
        <w:i w:val="0"/>
        <w:smallCaps w:val="0"/>
        <w:strike w:val="0"/>
        <w:color w:val="00000a"/>
        <w:sz w:val="24"/>
        <w:szCs w:val="24"/>
        <w:u w:val="none"/>
        <w:vertAlign w:val="baseline"/>
      </w:rPr>
    </w:lvl>
    <w:lvl w:ilvl="2">
      <w:start w:val="1"/>
      <w:numFmt w:val="decimal"/>
      <w:lvlText w:val="%1.%2.%3"/>
      <w:lvlJc w:val="left"/>
      <w:pPr>
        <w:ind w:left="2610" w:hanging="720"/>
      </w:pPr>
      <w:rPr>
        <w:rFonts w:ascii="Arial" w:cs="Arial" w:eastAsia="Arial" w:hAnsi="Arial"/>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decimal"/>
      <w:lvlText w:val="%1."/>
      <w:lvlJc w:val="left"/>
      <w:pPr>
        <w:ind w:left="360" w:hanging="360"/>
      </w:pPr>
      <w:rPr>
        <w:b w:val="1"/>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2"/>
        <w:szCs w:val="22"/>
        <w:u w:val="none"/>
        <w:vertAlign w:val="baseline"/>
      </w:rPr>
    </w:lvl>
    <w:lvl w:ilvl="2">
      <w:start w:val="1"/>
      <w:numFmt w:val="decimal"/>
      <w:lvlText w:val="%1.%2.%3"/>
      <w:lvlJc w:val="left"/>
      <w:pPr>
        <w:ind w:left="2610" w:hanging="720"/>
      </w:pPr>
      <w:rPr>
        <w:b w:val="0"/>
        <w:i w:val="0"/>
        <w:smallCaps w:val="0"/>
        <w:strike w:val="0"/>
        <w:color w:val="00000a"/>
        <w:sz w:val="22"/>
        <w:szCs w:val="22"/>
        <w:u w:val="none"/>
        <w:vertAlign w:val="baseline"/>
      </w:rPr>
    </w:lvl>
    <w:lvl w:ilvl="3">
      <w:start w:val="1"/>
      <w:numFmt w:val="lowerLetter"/>
      <w:lvlText w:val="(%4)"/>
      <w:lvlJc w:val="left"/>
      <w:pPr>
        <w:ind w:left="2847" w:hanging="720"/>
      </w:pPr>
      <w:rPr>
        <w:b w:val="0"/>
        <w:i w:val="0"/>
        <w:smallCaps w:val="0"/>
        <w:strike w:val="0"/>
        <w:color w:val="00000a"/>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32FDD"/>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pPr>
      <w:widowControl w:val="1"/>
      <w:spacing w:after="240"/>
      <w:jc w:val="both"/>
    </w:pPr>
    <w:rPr>
      <w:rFonts w:cs="Arial" w:eastAsia="Times New Roman"/>
    </w:rPr>
  </w:style>
  <w:style w:type="paragraph" w:styleId="Heading" w:customStyle="1">
    <w:name w:val="Heading"/>
    <w:basedOn w:val="Standard"/>
    <w:next w:val="Textbody"/>
    <w:pPr>
      <w:keepNext w:val="1"/>
      <w:spacing w:after="120" w:before="240"/>
    </w:pPr>
    <w:rPr>
      <w:rFonts w:ascii="Liberation Sans" w:cs="Arial Unicode MS" w:eastAsia="Arial Unicode MS" w:hAnsi="Liberation Sans"/>
      <w:sz w:val="28"/>
      <w:szCs w:val="28"/>
    </w:rPr>
  </w:style>
  <w:style w:type="paragraph" w:styleId="Textbody" w:customStyle="1">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val="1"/>
      <w:spacing w:after="120" w:before="120"/>
    </w:pPr>
    <w:rPr>
      <w:i w:val="1"/>
      <w:iCs w:val="1"/>
      <w:sz w:val="24"/>
      <w:szCs w:val="24"/>
    </w:rPr>
  </w:style>
  <w:style w:type="paragraph" w:styleId="Index" w:customStyle="1">
    <w:name w:val="Index"/>
    <w:basedOn w:val="Standard"/>
    <w:pPr>
      <w:suppressLineNumbers w:val="1"/>
    </w:pPr>
    <w:rPr>
      <w:sz w:val="24"/>
    </w:rPr>
  </w:style>
  <w:style w:type="paragraph" w:styleId="Header">
    <w:name w:val="header"/>
    <w:basedOn w:val="Standard"/>
    <w:pPr>
      <w:tabs>
        <w:tab w:val="center" w:pos="4513"/>
        <w:tab w:val="right" w:pos="9026"/>
      </w:tabs>
      <w:spacing w:after="0"/>
    </w:pPr>
  </w:style>
  <w:style w:type="paragraph" w:styleId="Footer">
    <w:name w:val="footer"/>
    <w:basedOn w:val="Standard"/>
    <w:uiPriority w:val="99"/>
    <w:pPr>
      <w:tabs>
        <w:tab w:val="center" w:pos="4513"/>
        <w:tab w:val="right" w:pos="9026"/>
      </w:tabs>
      <w:spacing w:after="0"/>
    </w:pPr>
  </w:style>
  <w:style w:type="paragraph" w:styleId="MarginText" w:customStyle="1">
    <w:name w:val="Margin Text"/>
    <w:basedOn w:val="Standard"/>
    <w:pPr>
      <w:keepNext w:val="1"/>
      <w:overflowPunct w:val="0"/>
      <w:spacing w:after="120" w:before="240"/>
      <w:ind w:left="142"/>
      <w:textAlignment w:val="auto"/>
    </w:pPr>
    <w:rPr>
      <w:rFonts w:cs="Times New Roman" w:eastAsia="STZhongsong"/>
      <w:szCs w:val="18"/>
      <w:lang w:eastAsia="zh-CN"/>
    </w:rPr>
  </w:style>
  <w:style w:type="paragraph" w:styleId="GPSL1CLAUSEHEADING" w:customStyle="1">
    <w:name w:val="GPS L1 CLAUSE HEADING"/>
    <w:basedOn w:val="Standard"/>
    <w:next w:val="Standard"/>
    <w:pPr>
      <w:tabs>
        <w:tab w:val="left" w:pos="142"/>
      </w:tabs>
      <w:overflowPunct w:val="0"/>
      <w:spacing w:before="120"/>
      <w:textAlignment w:val="auto"/>
      <w:outlineLvl w:val="1"/>
    </w:pPr>
    <w:rPr>
      <w:rFonts w:eastAsia="STZhongsong"/>
      <w:b w:val="1"/>
      <w:caps w:val="1"/>
      <w:lang w:eastAsia="zh-CN"/>
    </w:rPr>
  </w:style>
  <w:style w:type="paragraph" w:styleId="GPSL3numberedclause" w:customStyle="1">
    <w:name w:val="GPS L3 numbered clause"/>
    <w:basedOn w:val="Standard"/>
    <w:pPr>
      <w:tabs>
        <w:tab w:val="left" w:pos="3641"/>
      </w:tabs>
      <w:overflowPunct w:val="0"/>
      <w:spacing w:after="120" w:before="120"/>
      <w:ind w:left="1656"/>
      <w:textAlignment w:val="auto"/>
    </w:pPr>
    <w:rPr>
      <w:lang w:eastAsia="zh-CN"/>
    </w:rPr>
  </w:style>
  <w:style w:type="paragraph" w:styleId="GPSL4numberedclause" w:customStyle="1">
    <w:name w:val="GPS L4 numbered clause"/>
    <w:basedOn w:val="GPSL3numberedclause"/>
    <w:pPr>
      <w:tabs>
        <w:tab w:val="clear" w:pos="3641"/>
      </w:tabs>
      <w:ind w:left="2592" w:hanging="936"/>
    </w:pPr>
  </w:style>
  <w:style w:type="paragraph" w:styleId="GPSL5numberedclause" w:customStyle="1">
    <w:name w:val="GPS L5 numbered clause"/>
    <w:basedOn w:val="GPSL4numberedclause"/>
    <w:pPr>
      <w:tabs>
        <w:tab w:val="left" w:pos="6238"/>
      </w:tabs>
      <w:ind w:left="3119" w:hanging="567"/>
    </w:pPr>
  </w:style>
  <w:style w:type="paragraph" w:styleId="GPSL2NumberedBoldHeading" w:customStyle="1">
    <w:name w:val="GPS L2 Numbered Bold Heading"/>
    <w:basedOn w:val="Standard"/>
    <w:pPr>
      <w:tabs>
        <w:tab w:val="left" w:pos="3054"/>
      </w:tabs>
      <w:overflowPunct w:val="0"/>
      <w:spacing w:after="120" w:before="120"/>
      <w:ind w:left="1920"/>
      <w:textAlignment w:val="auto"/>
    </w:pPr>
    <w:rPr>
      <w:b w:val="1"/>
      <w:lang w:eastAsia="zh-CN"/>
    </w:rPr>
  </w:style>
  <w:style w:type="paragraph" w:styleId="GPSL6numbered" w:customStyle="1">
    <w:name w:val="GPS L6 numbered"/>
    <w:basedOn w:val="GPSL5numberedclause"/>
    <w:pPr>
      <w:tabs>
        <w:tab w:val="clear" w:pos="6238"/>
        <w:tab w:val="left" w:pos="4046"/>
        <w:tab w:val="left" w:pos="7372"/>
      </w:tabs>
      <w:ind w:left="3686"/>
    </w:pPr>
  </w:style>
  <w:style w:type="paragraph" w:styleId="GPSL1Guidance" w:customStyle="1">
    <w:name w:val="GPS L1 Guidance"/>
    <w:basedOn w:val="Standard"/>
    <w:pPr>
      <w:spacing w:after="120" w:before="240"/>
      <w:ind w:left="426"/>
    </w:pPr>
    <w:rPr>
      <w:b w:val="1"/>
      <w:i w:val="1"/>
    </w:rPr>
  </w:style>
  <w:style w:type="paragraph" w:styleId="GPSL1SCHEDULEHeading" w:customStyle="1">
    <w:name w:val="GPS L1 SCHEDULE Heading"/>
    <w:basedOn w:val="GPSL1CLAUSEHEADING"/>
    <w:pPr>
      <w:tabs>
        <w:tab w:val="clear" w:pos="142"/>
      </w:tabs>
    </w:pPr>
  </w:style>
  <w:style w:type="paragraph" w:styleId="GPSmacrorestart" w:customStyle="1">
    <w:name w:val="GPS macro restart"/>
    <w:basedOn w:val="Standard"/>
    <w:qFormat w:val="1"/>
    <w:pPr>
      <w:spacing w:after="0"/>
    </w:pPr>
    <w:rPr>
      <w:color w:val="ffffff"/>
      <w:sz w:val="16"/>
      <w:szCs w:val="16"/>
    </w:rPr>
  </w:style>
  <w:style w:type="paragraph" w:styleId="GPSSchTitleandNumber" w:customStyle="1">
    <w:name w:val="GPS Sch Title and Number"/>
    <w:basedOn w:val="Standard"/>
    <w:pPr>
      <w:keepNext w:val="1"/>
      <w:overflowPunct w:val="0"/>
      <w:ind w:firstLine="426"/>
      <w:jc w:val="center"/>
      <w:textAlignment w:val="auto"/>
      <w:outlineLvl w:val="0"/>
    </w:pPr>
    <w:rPr>
      <w:rFonts w:ascii="Arial Bold" w:cs="Times New Roman" w:eastAsia="STZhongsong" w:hAnsi="Arial Bold"/>
      <w:b w:val="1"/>
      <w:caps w:val="1"/>
      <w:lang w:eastAsia="zh-CN"/>
    </w:rPr>
  </w:style>
  <w:style w:type="paragraph" w:styleId="GPSSchPart" w:customStyle="1">
    <w:name w:val="GPS Sch Part"/>
    <w:basedOn w:val="Standard"/>
    <w:qFormat w:val="1"/>
    <w:pPr>
      <w:keepNext w:val="1"/>
      <w:overflowPunct w:val="0"/>
      <w:spacing w:before="240"/>
      <w:ind w:firstLine="426"/>
      <w:jc w:val="center"/>
      <w:textAlignment w:val="auto"/>
    </w:pPr>
    <w:rPr>
      <w:rFonts w:ascii="Arial Bold" w:cs="Times New Roman" w:eastAsia="STZhongsong" w:hAnsi="Arial Bold"/>
      <w:b w:val="1"/>
      <w:caps w:val="1"/>
      <w:lang w:eastAsia="zh-CN"/>
    </w:rPr>
  </w:style>
  <w:style w:type="paragraph" w:styleId="GPSL2Numbered" w:customStyle="1">
    <w:name w:val="GPS L2 Numbered"/>
    <w:basedOn w:val="GPSL2NumberedBoldHeading"/>
    <w:pPr>
      <w:tabs>
        <w:tab w:val="clear" w:pos="3054"/>
      </w:tabs>
      <w:ind w:left="936" w:hanging="576"/>
    </w:pPr>
    <w:rPr>
      <w:b w:val="0"/>
    </w:rPr>
  </w:style>
  <w:style w:type="paragraph" w:styleId="GPSL1Schedulenumbered" w:customStyle="1">
    <w:name w:val="GPS L1 Schedule numbered"/>
    <w:basedOn w:val="Standard"/>
    <w:qFormat w:val="1"/>
    <w:pPr>
      <w:tabs>
        <w:tab w:val="left" w:pos="851"/>
      </w:tabs>
    </w:pPr>
  </w:style>
  <w:style w:type="paragraph" w:styleId="BalloonText">
    <w:name w:val="Balloon Text"/>
    <w:basedOn w:val="Standard"/>
    <w:pPr>
      <w:spacing w:after="0"/>
    </w:pPr>
    <w:rPr>
      <w:rFonts w:ascii="Tahoma" w:cs="Tahoma" w:eastAsia="Tahoma" w:hAnsi="Tahoma"/>
      <w:sz w:val="16"/>
      <w:szCs w:val="16"/>
    </w:rPr>
  </w:style>
  <w:style w:type="paragraph" w:styleId="GPSL2Guidance" w:customStyle="1">
    <w:name w:val="GPS L2 Guidance"/>
    <w:basedOn w:val="Standard"/>
    <w:pPr>
      <w:tabs>
        <w:tab w:val="left" w:pos="2268"/>
      </w:tabs>
      <w:overflowPunct w:val="0"/>
      <w:spacing w:after="120" w:before="120"/>
      <w:ind w:left="1134"/>
      <w:textAlignment w:val="auto"/>
    </w:pPr>
    <w:rPr>
      <w:b w:val="1"/>
      <w:i w:val="1"/>
      <w:lang w:eastAsia="zh-CN"/>
    </w:rPr>
  </w:style>
  <w:style w:type="paragraph" w:styleId="GPSL2Indent" w:customStyle="1">
    <w:name w:val="GPS L2 Indent"/>
    <w:basedOn w:val="Standard"/>
    <w:pPr>
      <w:tabs>
        <w:tab w:val="left" w:pos="4536"/>
      </w:tabs>
      <w:spacing w:after="220"/>
      <w:ind w:left="1134"/>
    </w:pPr>
    <w:rPr>
      <w:szCs w:val="24"/>
    </w:rPr>
  </w:style>
  <w:style w:type="paragraph" w:styleId="GPSL4Guidance" w:customStyle="1">
    <w:name w:val="GPS L4 Guidance"/>
    <w:basedOn w:val="Standard"/>
    <w:pPr>
      <w:tabs>
        <w:tab w:val="left" w:pos="3970"/>
      </w:tabs>
      <w:overflowPunct w:val="0"/>
      <w:spacing w:after="120" w:before="120"/>
      <w:ind w:left="1985"/>
      <w:textAlignment w:val="auto"/>
    </w:pPr>
    <w:rPr>
      <w:b w:val="1"/>
      <w:i w:val="1"/>
      <w:lang w:eastAsia="zh-CN"/>
    </w:rPr>
  </w:style>
  <w:style w:type="paragraph" w:styleId="GPSL2non-numberboldheading" w:customStyle="1">
    <w:name w:val="GPS L2 non-number bold heading"/>
    <w:basedOn w:val="GPSL2NumberedBoldHeading"/>
    <w:pPr>
      <w:ind w:left="1134"/>
    </w:pPr>
  </w:style>
  <w:style w:type="paragraph" w:styleId="CommentText">
    <w:name w:val="annotation text"/>
    <w:basedOn w:val="Standard"/>
    <w:rPr>
      <w:sz w:val="20"/>
      <w:szCs w:val="20"/>
    </w:rPr>
  </w:style>
  <w:style w:type="paragraph" w:styleId="CommentSubject">
    <w:name w:val="annotation subject"/>
    <w:basedOn w:val="CommentText"/>
    <w:rPr>
      <w:b w:val="1"/>
      <w:bCs w:val="1"/>
    </w:rPr>
  </w:style>
  <w:style w:type="character" w:styleId="HeaderChar" w:customStyle="1">
    <w:name w:val="Header Char"/>
    <w:basedOn w:val="DefaultParagraphFont"/>
  </w:style>
  <w:style w:type="character" w:styleId="FooterChar" w:customStyle="1">
    <w:name w:val="Footer Char"/>
    <w:basedOn w:val="DefaultParagraphFont"/>
    <w:uiPriority w:val="99"/>
  </w:style>
  <w:style w:type="character" w:styleId="Emphasis">
    <w:name w:val="Emphasis"/>
    <w:basedOn w:val="DefaultParagraphFont"/>
    <w:rPr>
      <w:i w:val="1"/>
      <w:iCs w:val="1"/>
    </w:rPr>
  </w:style>
  <w:style w:type="character" w:styleId="MarginTextChar" w:customStyle="1">
    <w:name w:val="Margin Text Char"/>
    <w:rPr>
      <w:rFonts w:ascii="Calibri" w:cs="Times New Roman" w:eastAsia="STZhongsong" w:hAnsi="Calibri"/>
      <w:szCs w:val="18"/>
      <w:lang w:eastAsia="zh-CN"/>
    </w:rPr>
  </w:style>
  <w:style w:type="character" w:styleId="GPSL2NumberedChar" w:customStyle="1">
    <w:name w:val="GPS L2 Numbered Char"/>
    <w:rPr>
      <w:rFonts w:ascii="Calibri" w:cs="Arial" w:eastAsia="Times New Roman" w:hAnsi="Calibri"/>
      <w:lang w:eastAsia="zh-CN"/>
    </w:rPr>
  </w:style>
  <w:style w:type="character" w:styleId="GPSL1SCHEDULEHeadingChar" w:customStyle="1">
    <w:name w:val="GPS L1 SCHEDULE Heading Char"/>
    <w:rPr>
      <w:rFonts w:ascii="Calibri" w:cs="Arial" w:eastAsia="STZhongsong" w:hAnsi="Calibri"/>
      <w:b w:val="1"/>
      <w:caps w:val="1"/>
      <w:lang w:eastAsia="zh-CN"/>
    </w:rPr>
  </w:style>
  <w:style w:type="character" w:styleId="GPSL1SchedulenumberedChar1" w:customStyle="1">
    <w:name w:val="GPS L1 Schedule numbered Char1"/>
    <w:rPr>
      <w:rFonts w:ascii="Calibri" w:cs="Arial" w:eastAsia="Times New Roman" w:hAnsi="Calibri"/>
    </w:rPr>
  </w:style>
  <w:style w:type="character" w:styleId="GPSL1GuidanceChar" w:customStyle="1">
    <w:name w:val="GPS L1 Guidance Char"/>
    <w:rPr>
      <w:rFonts w:ascii="Calibri" w:cs="Arial" w:eastAsia="Times New Roman" w:hAnsi="Calibri"/>
      <w:b w:val="1"/>
      <w:i w:val="1"/>
    </w:rPr>
  </w:style>
  <w:style w:type="character" w:styleId="GPSSchTitleandNumberChar" w:customStyle="1">
    <w:name w:val="GPS Sch Title and Number Char"/>
    <w:rPr>
      <w:rFonts w:ascii="Arial Bold" w:cs="Times New Roman" w:eastAsia="STZhongsong" w:hAnsi="Arial Bold"/>
      <w:b w:val="1"/>
      <w:caps w:val="1"/>
      <w:lang w:eastAsia="zh-CN"/>
    </w:rPr>
  </w:style>
  <w:style w:type="character" w:styleId="GPSSchPartChar" w:customStyle="1">
    <w:name w:val="GPS Sch Part Char"/>
    <w:rPr>
      <w:rFonts w:ascii="Arial Bold" w:cs="Times New Roman" w:eastAsia="STZhongsong" w:hAnsi="Arial Bold"/>
      <w:b w:val="1"/>
      <w:caps w:val="1"/>
      <w:lang w:eastAsia="zh-CN"/>
    </w:rPr>
  </w:style>
  <w:style w:type="character" w:styleId="BalloonTextChar" w:customStyle="1">
    <w:name w:val="Balloon Text Char"/>
    <w:basedOn w:val="DefaultParagraphFont"/>
    <w:rPr>
      <w:rFonts w:ascii="Tahoma" w:cs="Tahoma" w:eastAsia="Times New Roman" w:hAnsi="Tahoma"/>
      <w:sz w:val="16"/>
      <w:szCs w:val="16"/>
    </w:rPr>
  </w:style>
  <w:style w:type="character" w:styleId="GPSL4numberedclauseChar" w:customStyle="1">
    <w:name w:val="GPS L4 numbered clause Char"/>
    <w:rPr>
      <w:rFonts w:ascii="Calibri" w:cs="Arial" w:eastAsia="Times New Roman" w:hAnsi="Calibri"/>
      <w:lang w:eastAsia="zh-CN"/>
    </w:rPr>
  </w:style>
  <w:style w:type="character" w:styleId="GPSL3numberedclauseChar" w:customStyle="1">
    <w:name w:val="GPS L3 numbered clause Char"/>
    <w:rPr>
      <w:rFonts w:ascii="Calibri" w:cs="Arial" w:eastAsia="Times New Roman" w:hAnsi="Calibri"/>
      <w:lang w:eastAsia="zh-CN"/>
    </w:rPr>
  </w:style>
  <w:style w:type="character" w:styleId="GPSL5numberedclauseChar" w:customStyle="1">
    <w:name w:val="GPS L5 numbered clause Char"/>
    <w:rPr>
      <w:rFonts w:ascii="Calibri" w:cs="Arial" w:eastAsia="Times New Roman" w:hAnsi="Calibri"/>
      <w:lang w:eastAsia="zh-CN"/>
    </w:rPr>
  </w:style>
  <w:style w:type="character" w:styleId="GPSL4GuidanceChar" w:customStyle="1">
    <w:name w:val="GPS L4 Guidance Char"/>
    <w:rPr>
      <w:rFonts w:ascii="Calibri" w:cs="Arial" w:eastAsia="Times New Roman" w:hAnsi="Calibri"/>
      <w:b w:val="1"/>
      <w:i w:val="1"/>
      <w:lang w:eastAsia="zh-CN"/>
    </w:rPr>
  </w:style>
  <w:style w:type="character" w:styleId="GPSL2non-numberboldheadingChar" w:customStyle="1">
    <w:name w:val="GPS L2 non-number bold heading Char"/>
    <w:rPr>
      <w:rFonts w:ascii="Calibri" w:cs="Arial" w:eastAsia="Times New Roman" w:hAnsi="Calibri"/>
      <w:b w:val="1"/>
      <w:lang w:eastAsia="zh-CN"/>
    </w:rPr>
  </w:style>
  <w:style w:type="character" w:styleId="GPSL2IndentChar" w:customStyle="1">
    <w:name w:val="GPS L2 Indent Char"/>
    <w:rPr>
      <w:rFonts w:ascii="Calibri" w:cs="Arial" w:eastAsia="Times New Roman" w:hAnsi="Calibri"/>
      <w:szCs w:val="24"/>
    </w:rPr>
  </w:style>
  <w:style w:type="character" w:styleId="GPSL2GuidanceChar" w:customStyle="1">
    <w:name w:val="GPS L2 Guidance Char"/>
    <w:rPr>
      <w:rFonts w:ascii="Calibri" w:cs="Arial" w:eastAsia="Times New Roman" w:hAnsi="Calibri"/>
      <w:b w:val="1"/>
      <w:i w:val="1"/>
      <w:lang w:eastAsia="zh-CN"/>
    </w:rPr>
  </w:style>
  <w:style w:type="character" w:styleId="CommentReference">
    <w:name w:val="annotation reference"/>
    <w:basedOn w:val="DefaultParagraphFont"/>
    <w:rPr>
      <w:sz w:val="16"/>
      <w:szCs w:val="16"/>
    </w:rPr>
  </w:style>
  <w:style w:type="character" w:styleId="CommentTextChar" w:customStyle="1">
    <w:name w:val="Comment Text Char"/>
    <w:basedOn w:val="DefaultParagraphFont"/>
    <w:rPr>
      <w:rFonts w:ascii="Calibri" w:cs="Arial" w:eastAsia="Times New Roman" w:hAnsi="Calibri"/>
      <w:sz w:val="20"/>
      <w:szCs w:val="20"/>
    </w:rPr>
  </w:style>
  <w:style w:type="character" w:styleId="CommentSubjectChar" w:customStyle="1">
    <w:name w:val="Comment Subject Char"/>
    <w:basedOn w:val="CommentTextChar"/>
    <w:rPr>
      <w:rFonts w:ascii="Calibri" w:cs="Arial" w:eastAsia="Times New Roman" w:hAnsi="Calibri"/>
      <w:b w:val="1"/>
      <w:bCs w:val="1"/>
      <w:sz w:val="20"/>
      <w:szCs w:val="20"/>
    </w:rPr>
  </w:style>
  <w:style w:type="character" w:styleId="ListLabel1" w:customStyle="1">
    <w:name w:val="ListLabel 1"/>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2" w:customStyle="1">
    <w:name w:val="ListLabel 2"/>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 w:customStyle="1">
    <w:name w:val="ListLabel 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 w:customStyle="1">
    <w:name w:val="ListLabel 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 w:customStyle="1">
    <w:name w:val="ListLabel 5"/>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6" w:customStyle="1">
    <w:name w:val="ListLabel 6"/>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7" w:customStyle="1">
    <w:name w:val="ListLabel 7"/>
    <w:rPr>
      <w:rFonts w:cs="Times New Roman"/>
    </w:rPr>
  </w:style>
  <w:style w:type="character" w:styleId="ListLabel8" w:customStyle="1">
    <w:name w:val="ListLabel 8"/>
    <w:rPr>
      <w:rFonts w:cs="Times New Roman"/>
    </w:rPr>
  </w:style>
  <w:style w:type="character" w:styleId="ListLabel9" w:customStyle="1">
    <w:name w:val="ListLabel 9"/>
    <w:rPr>
      <w:rFonts w:cs="Times New Roman"/>
    </w:rPr>
  </w:style>
  <w:style w:type="character" w:styleId="ListLabel10" w:customStyle="1">
    <w:name w:val="ListLabel 1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11" w:customStyle="1">
    <w:name w:val="ListLabel 11"/>
    <w:rPr>
      <w:rFonts w:cs="Times New Roman"/>
    </w:rPr>
  </w:style>
  <w:style w:type="character" w:styleId="ListLabel12" w:customStyle="1">
    <w:name w:val="ListLabel 12"/>
    <w:rPr>
      <w:rFonts w:cs="Times New Roman"/>
    </w:rPr>
  </w:style>
  <w:style w:type="character" w:styleId="ListLabel13" w:customStyle="1">
    <w:name w:val="ListLabel 13"/>
    <w:rPr>
      <w:rFonts w:cs="Times New Roman"/>
    </w:rPr>
  </w:style>
  <w:style w:type="character" w:styleId="ListLabel14" w:customStyle="1">
    <w:name w:val="ListLabel 14"/>
    <w:rPr>
      <w:rFonts w:cs="Times New Roman"/>
    </w:rPr>
  </w:style>
  <w:style w:type="character" w:styleId="ListLabel15" w:customStyle="1">
    <w:name w:val="ListLabel 15"/>
    <w:rPr>
      <w:rFonts w:cs="Times New Roman"/>
    </w:rPr>
  </w:style>
  <w:style w:type="character" w:styleId="ListLabel16" w:customStyle="1">
    <w:name w:val="ListLabel 16"/>
    <w:rPr>
      <w:rFonts w:cs="Times New Roman"/>
    </w:rPr>
  </w:style>
  <w:style w:type="character" w:styleId="ListLabel17" w:customStyle="1">
    <w:name w:val="ListLabel 17"/>
    <w:rPr>
      <w:rFonts w:cs="Times New Roman"/>
    </w:rPr>
  </w:style>
  <w:style w:type="character" w:styleId="ListLabel18" w:customStyle="1">
    <w:name w:val="ListLabel 18"/>
    <w:rPr>
      <w:rFonts w:cs="Times New Roman"/>
    </w:rPr>
  </w:style>
  <w:style w:type="character" w:styleId="ListLabel19" w:customStyle="1">
    <w:name w:val="ListLabel 1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20" w:customStyle="1">
    <w:name w:val="ListLabel 20"/>
    <w:rPr>
      <w:rFonts w:cs="Times New Roman"/>
    </w:rPr>
  </w:style>
  <w:style w:type="character" w:styleId="ListLabel21" w:customStyle="1">
    <w:name w:val="ListLabel 21"/>
    <w:rPr>
      <w:rFonts w:cs="Times New Roman"/>
    </w:rPr>
  </w:style>
  <w:style w:type="character" w:styleId="ListLabel22" w:customStyle="1">
    <w:name w:val="ListLabel 22"/>
    <w:rPr>
      <w:rFonts w:cs="Times New Roman"/>
    </w:rPr>
  </w:style>
  <w:style w:type="character" w:styleId="ListLabel23" w:customStyle="1">
    <w:name w:val="ListLabel 23"/>
    <w:rPr>
      <w:rFonts w:cs="Times New Roman"/>
    </w:rPr>
  </w:style>
  <w:style w:type="character" w:styleId="ListLabel24" w:customStyle="1">
    <w:name w:val="ListLabel 24"/>
    <w:rPr>
      <w:rFonts w:cs="Times New Roman"/>
    </w:rPr>
  </w:style>
  <w:style w:type="character" w:styleId="ListLabel25" w:customStyle="1">
    <w:name w:val="ListLabel 25"/>
    <w:rPr>
      <w:rFonts w:cs="Times New Roman"/>
    </w:rPr>
  </w:style>
  <w:style w:type="character" w:styleId="ListLabel26" w:customStyle="1">
    <w:name w:val="ListLabel 26"/>
    <w:rPr>
      <w:rFonts w:cs="Times New Roman"/>
    </w:rPr>
  </w:style>
  <w:style w:type="character" w:styleId="ListLabel27" w:customStyle="1">
    <w:name w:val="ListLabel 27"/>
    <w:rPr>
      <w:rFonts w:cs="Times New Roman"/>
    </w:rPr>
  </w:style>
  <w:style w:type="character" w:styleId="ListLabel28" w:customStyle="1">
    <w:name w:val="ListLabel 28"/>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29" w:customStyle="1">
    <w:name w:val="ListLabel 2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0" w:customStyle="1">
    <w:name w:val="ListLabel 3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1" w:customStyle="1">
    <w:name w:val="ListLabel 31"/>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2" w:customStyle="1">
    <w:name w:val="ListLabel 32"/>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33" w:customStyle="1">
    <w:name w:val="ListLabel 33"/>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34" w:customStyle="1">
    <w:name w:val="ListLabel 34"/>
    <w:rPr>
      <w:rFonts w:cs="Times New Roman"/>
    </w:rPr>
  </w:style>
  <w:style w:type="character" w:styleId="ListLabel35" w:customStyle="1">
    <w:name w:val="ListLabel 35"/>
    <w:rPr>
      <w:rFonts w:cs="Times New Roman"/>
    </w:rPr>
  </w:style>
  <w:style w:type="character" w:styleId="ListLabel36" w:customStyle="1">
    <w:name w:val="ListLabel 36"/>
    <w:rPr>
      <w:rFonts w:cs="Times New Roman"/>
    </w:rPr>
  </w:style>
  <w:style w:type="character" w:styleId="ListLabel37" w:customStyle="1">
    <w:name w:val="ListLabel 37"/>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8" w:customStyle="1">
    <w:name w:val="ListLabel 3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39" w:customStyle="1">
    <w:name w:val="ListLabel 3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0" w:customStyle="1">
    <w:name w:val="ListLabel 4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1" w:customStyle="1">
    <w:name w:val="ListLabel 41"/>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42" w:customStyle="1">
    <w:name w:val="ListLabel 42"/>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43" w:customStyle="1">
    <w:name w:val="ListLabel 43"/>
    <w:rPr>
      <w:rFonts w:cs="Times New Roman"/>
    </w:rPr>
  </w:style>
  <w:style w:type="character" w:styleId="ListLabel44" w:customStyle="1">
    <w:name w:val="ListLabel 44"/>
    <w:rPr>
      <w:rFonts w:cs="Times New Roman"/>
    </w:rPr>
  </w:style>
  <w:style w:type="character" w:styleId="ListLabel45" w:customStyle="1">
    <w:name w:val="ListLabel 45"/>
    <w:rPr>
      <w:rFonts w:cs="Times New Roman"/>
    </w:rPr>
  </w:style>
  <w:style w:type="character" w:styleId="ListLabel46" w:customStyle="1">
    <w:name w:val="ListLabel 46"/>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7" w:customStyle="1">
    <w:name w:val="ListLabel 4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8" w:customStyle="1">
    <w:name w:val="ListLabel 4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49" w:customStyle="1">
    <w:name w:val="ListLabel 4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0" w:customStyle="1">
    <w:name w:val="ListLabel 50"/>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51" w:customStyle="1">
    <w:name w:val="ListLabel 51"/>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52" w:customStyle="1">
    <w:name w:val="ListLabel 52"/>
    <w:rPr>
      <w:rFonts w:cs="Times New Roman"/>
    </w:rPr>
  </w:style>
  <w:style w:type="character" w:styleId="ListLabel53" w:customStyle="1">
    <w:name w:val="ListLabel 53"/>
    <w:rPr>
      <w:rFonts w:cs="Times New Roman"/>
    </w:rPr>
  </w:style>
  <w:style w:type="character" w:styleId="ListLabel54" w:customStyle="1">
    <w:name w:val="ListLabel 54"/>
    <w:rPr>
      <w:rFonts w:cs="Times New Roman"/>
    </w:rPr>
  </w:style>
  <w:style w:type="character" w:styleId="ListLabel55" w:customStyle="1">
    <w:name w:val="ListLabel 55"/>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6" w:customStyle="1">
    <w:name w:val="ListLabel 5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7" w:customStyle="1">
    <w:name w:val="ListLabel 5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8" w:customStyle="1">
    <w:name w:val="ListLabel 5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59" w:customStyle="1">
    <w:name w:val="ListLabel 59"/>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60" w:customStyle="1">
    <w:name w:val="ListLabel 60"/>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61" w:customStyle="1">
    <w:name w:val="ListLabel 61"/>
    <w:rPr>
      <w:rFonts w:cs="Times New Roman"/>
    </w:rPr>
  </w:style>
  <w:style w:type="character" w:styleId="ListLabel62" w:customStyle="1">
    <w:name w:val="ListLabel 62"/>
    <w:rPr>
      <w:rFonts w:cs="Times New Roman"/>
    </w:rPr>
  </w:style>
  <w:style w:type="character" w:styleId="ListLabel63" w:customStyle="1">
    <w:name w:val="ListLabel 63"/>
    <w:rPr>
      <w:rFonts w:cs="Times New Roman"/>
    </w:rPr>
  </w:style>
  <w:style w:type="character" w:styleId="ListLabel64" w:customStyle="1">
    <w:name w:val="ListLabel 64"/>
    <w:rPr>
      <w:rFonts w:cs="Courier New"/>
      <w:b w:val="0"/>
    </w:rPr>
  </w:style>
  <w:style w:type="character" w:styleId="ListLabel65" w:customStyle="1">
    <w:name w:val="ListLabel 65"/>
    <w:rPr>
      <w:rFonts w:cs="Courier New"/>
    </w:rPr>
  </w:style>
  <w:style w:type="character" w:styleId="ListLabel66" w:customStyle="1">
    <w:name w:val="ListLabel 66"/>
    <w:rPr>
      <w:rFonts w:cs="Courier New"/>
    </w:rPr>
  </w:style>
  <w:style w:type="character" w:styleId="ListLabel67" w:customStyle="1">
    <w:name w:val="ListLabel 67"/>
    <w:rPr>
      <w:rFonts w:cs="Courier New"/>
    </w:rPr>
  </w:style>
  <w:style w:type="character" w:styleId="ListLabel68" w:customStyle="1">
    <w:name w:val="ListLabel 68"/>
    <w:rPr>
      <w:rFonts w:cs="Courier New"/>
    </w:rPr>
  </w:style>
  <w:style w:type="character" w:styleId="ListLabel69" w:customStyle="1">
    <w:name w:val="ListLabel 69"/>
    <w:rPr>
      <w:rFonts w:cs="Courier New"/>
    </w:rPr>
  </w:style>
  <w:style w:type="character" w:styleId="ListLabel70" w:customStyle="1">
    <w:name w:val="ListLabel 70"/>
    <w:rPr>
      <w:rFonts w:cs="Courier New"/>
    </w:rPr>
  </w:style>
  <w:style w:type="character" w:styleId="ListLabel71" w:customStyle="1">
    <w:name w:val="ListLabel 71"/>
    <w:rPr>
      <w:rFonts w:cs="Courier New"/>
    </w:rPr>
  </w:style>
  <w:style w:type="character" w:styleId="ListLabel72" w:customStyle="1">
    <w:name w:val="ListLabel 72"/>
    <w:rPr>
      <w:rFonts w:cs="Courier New"/>
    </w:rPr>
  </w:style>
  <w:style w:type="character" w:styleId="ListLabel73" w:customStyle="1">
    <w:name w:val="ListLabel 73"/>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4" w:customStyle="1">
    <w:name w:val="ListLabel 7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5" w:customStyle="1">
    <w:name w:val="ListLabel 7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6" w:customStyle="1">
    <w:name w:val="ListLabel 7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77" w:customStyle="1">
    <w:name w:val="ListLabel 77"/>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78" w:customStyle="1">
    <w:name w:val="ListLabel 78"/>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79" w:customStyle="1">
    <w:name w:val="ListLabel 79"/>
    <w:rPr>
      <w:rFonts w:cs="Times New Roman"/>
    </w:rPr>
  </w:style>
  <w:style w:type="character" w:styleId="ListLabel80" w:customStyle="1">
    <w:name w:val="ListLabel 80"/>
    <w:rPr>
      <w:rFonts w:cs="Times New Roman"/>
    </w:rPr>
  </w:style>
  <w:style w:type="character" w:styleId="ListLabel81" w:customStyle="1">
    <w:name w:val="ListLabel 81"/>
    <w:rPr>
      <w:rFonts w:cs="Times New Roman"/>
    </w:rPr>
  </w:style>
  <w:style w:type="character" w:styleId="ListLabel82" w:customStyle="1">
    <w:name w:val="ListLabel 82"/>
    <w:rPr>
      <w:rFonts w:cs="Arial"/>
      <w:b w:val="1"/>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3" w:customStyle="1">
    <w:name w:val="ListLabel 8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4" w:customStyle="1">
    <w:name w:val="ListLabel 8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5" w:customStyle="1">
    <w:name w:val="ListLabel 8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algn="none">
        <w14:srgbClr w14:val="000000"/>
      </w14:shadow>
      <w14:textOutline w14:cap="rnd" w14:cmpd="sng" w14:algn="ctr">
        <w14:noFill/>
        <w14:prstDash w14:val="solid"/>
        <w14:bevel/>
      </w14:textOutline>
    </w:rPr>
  </w:style>
  <w:style w:type="character" w:styleId="ListLabel86" w:customStyle="1">
    <w:name w:val="ListLabel 86"/>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87" w:customStyle="1">
    <w:name w:val="ListLabel 87"/>
    <w:rPr>
      <w:b w:val="0"/>
      <w:bCs w:val="0"/>
      <w:i w:val="0"/>
      <w:iCs w:val="0"/>
      <w:caps w:val="0"/>
      <w:smallCaps w:val="0"/>
      <w:strike w:val="0"/>
      <w:dstrike w:val="0"/>
      <w:vanish w:val="0"/>
      <w:color w:val="000000"/>
      <w:spacing w:val="0"/>
      <w:kern w:val="0"/>
      <w:position w:val="0"/>
      <w:u w:val="none"/>
      <w:vertAlign w:val="baseline"/>
      <w:em w:val="none"/>
      <w14:shadow w14:algn="none">
        <w14:srgbClr w14:val="000000"/>
      </w14:shadow>
      <w14:textOutline w14:cap="rnd" w14:cmpd="sng" w14:algn="ctr">
        <w14:noFill/>
        <w14:prstDash w14:val="solid"/>
        <w14:bevel/>
      </w14:textOutline>
    </w:rPr>
  </w:style>
  <w:style w:type="character" w:styleId="ListLabel88" w:customStyle="1">
    <w:name w:val="ListLabel 88"/>
    <w:rPr>
      <w:rFonts w:cs="Times New Roman"/>
    </w:rPr>
  </w:style>
  <w:style w:type="character" w:styleId="ListLabel89" w:customStyle="1">
    <w:name w:val="ListLabel 89"/>
    <w:rPr>
      <w:rFonts w:cs="Times New Roman"/>
    </w:rPr>
  </w:style>
  <w:style w:type="character" w:styleId="ListLabel90" w:customStyle="1">
    <w:name w:val="ListLabel 90"/>
    <w:rPr>
      <w:rFonts w:cs="Times New Roman"/>
    </w:rPr>
  </w:style>
  <w:style w:type="numbering" w:styleId="NoList1" w:customStyle="1">
    <w:name w:val="No List_1"/>
    <w:basedOn w:val="NoList"/>
    <w:pPr>
      <w:numPr>
        <w:numId w:val="1"/>
      </w:numPr>
    </w:pPr>
  </w:style>
  <w:style w:type="numbering" w:styleId="WWNum1" w:customStyle="1">
    <w:name w:val="WWNum1"/>
    <w:basedOn w:val="NoList"/>
    <w:pPr>
      <w:numPr>
        <w:numId w:val="2"/>
      </w:numPr>
    </w:pPr>
  </w:style>
  <w:style w:type="numbering" w:styleId="WWNum2" w:customStyle="1">
    <w:name w:val="WWNum2"/>
    <w:basedOn w:val="NoList"/>
    <w:pPr>
      <w:numPr>
        <w:numId w:val="3"/>
      </w:numPr>
    </w:pPr>
  </w:style>
  <w:style w:type="numbering" w:styleId="WWNum3" w:customStyle="1">
    <w:name w:val="WWNum3"/>
    <w:basedOn w:val="NoList"/>
    <w:pPr>
      <w:numPr>
        <w:numId w:val="4"/>
      </w:numPr>
    </w:pPr>
  </w:style>
  <w:style w:type="numbering" w:styleId="WWNum4" w:customStyle="1">
    <w:name w:val="WWNum4"/>
    <w:basedOn w:val="NoList"/>
    <w:pPr>
      <w:numPr>
        <w:numId w:val="5"/>
      </w:numPr>
    </w:pPr>
  </w:style>
  <w:style w:type="numbering" w:styleId="WWNum5" w:customStyle="1">
    <w:name w:val="WWNum5"/>
    <w:basedOn w:val="NoList"/>
    <w:pPr>
      <w:numPr>
        <w:numId w:val="6"/>
      </w:numPr>
    </w:pPr>
  </w:style>
  <w:style w:type="numbering" w:styleId="WWNum6" w:customStyle="1">
    <w:name w:val="WWNum6"/>
    <w:basedOn w:val="NoList"/>
    <w:pPr>
      <w:numPr>
        <w:numId w:val="7"/>
      </w:numPr>
    </w:pPr>
  </w:style>
  <w:style w:type="numbering" w:styleId="WWNum7" w:customStyle="1">
    <w:name w:val="WWNum7"/>
    <w:basedOn w:val="NoList"/>
    <w:pPr>
      <w:numPr>
        <w:numId w:val="8"/>
      </w:numPr>
    </w:pPr>
  </w:style>
  <w:style w:type="numbering" w:styleId="WWNum8" w:customStyle="1">
    <w:name w:val="WWNum8"/>
    <w:basedOn w:val="NoList"/>
    <w:pPr>
      <w:numPr>
        <w:numId w:val="9"/>
      </w:numPr>
    </w:pPr>
  </w:style>
  <w:style w:type="numbering" w:styleId="WWNum9" w:customStyle="1">
    <w:name w:val="WWNum9"/>
    <w:basedOn w:val="NoList"/>
    <w:pPr>
      <w:numPr>
        <w:numId w:val="10"/>
      </w:numPr>
    </w:pPr>
  </w:style>
  <w:style w:type="numbering" w:styleId="WWNum10" w:customStyle="1">
    <w:name w:val="WWNum10"/>
    <w:basedOn w:val="NoList"/>
    <w:pPr>
      <w:numPr>
        <w:numId w:val="11"/>
      </w:numPr>
    </w:pPr>
  </w:style>
  <w:style w:type="numbering" w:styleId="WWNum11" w:customStyle="1">
    <w:name w:val="WWNum11"/>
    <w:basedOn w:val="NoList"/>
    <w:pPr>
      <w:numPr>
        <w:numId w:val="12"/>
      </w:numPr>
    </w:pPr>
  </w:style>
  <w:style w:type="numbering" w:styleId="WWNum12" w:customStyle="1">
    <w:name w:val="WWNum12"/>
    <w:basedOn w:val="NoList"/>
    <w:pPr>
      <w:numPr>
        <w:numId w:val="21"/>
      </w:numPr>
    </w:pPr>
  </w:style>
  <w:style w:type="numbering" w:styleId="WWNum13" w:customStyle="1">
    <w:name w:val="WWNum13"/>
    <w:basedOn w:val="NoList"/>
    <w:pPr>
      <w:numPr>
        <w:numId w:val="14"/>
      </w:numPr>
    </w:pPr>
  </w:style>
  <w:style w:type="table" w:styleId="TableGrid">
    <w:name w:val="Table Grid"/>
    <w:basedOn w:val="TableNormal"/>
    <w:uiPriority w:val="59"/>
    <w:rsid w:val="007A5C9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AMainHeading" w:customStyle="1">
    <w:name w:val="FA: Main Heading"/>
    <w:basedOn w:val="Heading1"/>
    <w:qFormat w:val="1"/>
    <w:rsid w:val="00532FDD"/>
    <w:pPr>
      <w:numPr>
        <w:numId w:val="22"/>
      </w:numPr>
      <w:tabs>
        <w:tab w:val="num" w:pos="360"/>
      </w:tabs>
      <w:suppressAutoHyphens w:val="0"/>
      <w:autoSpaceDN w:val="1"/>
      <w:spacing w:after="20" w:before="20"/>
      <w:ind w:left="0" w:firstLine="0"/>
      <w:textAlignment w:val="auto"/>
    </w:pPr>
    <w:rPr>
      <w:rFonts w:ascii="Arial" w:cs="Arial" w:eastAsia="Calibri" w:hAnsi="Arial"/>
      <w:b w:val="1"/>
      <w:color w:val="auto"/>
      <w:sz w:val="22"/>
      <w:szCs w:val="36"/>
      <w:lang w:eastAsia="en-GB"/>
    </w:rPr>
  </w:style>
  <w:style w:type="paragraph" w:styleId="FALevel1" w:customStyle="1">
    <w:name w:val="FA: Level 1"/>
    <w:basedOn w:val="Normal"/>
    <w:link w:val="FALevel1Char"/>
    <w:qFormat w:val="1"/>
    <w:rsid w:val="00532FDD"/>
    <w:pPr>
      <w:widowControl w:val="1"/>
      <w:numPr>
        <w:ilvl w:val="1"/>
        <w:numId w:val="22"/>
      </w:numPr>
      <w:suppressAutoHyphens w:val="0"/>
      <w:autoSpaceDN w:val="1"/>
      <w:spacing w:after="280" w:before="120" w:line="259" w:lineRule="auto"/>
      <w:textAlignment w:val="auto"/>
    </w:pPr>
    <w:rPr>
      <w:rFonts w:ascii="Arial" w:cs="Arial" w:hAnsi="Arial" w:eastAsiaTheme="minorHAnsi"/>
    </w:rPr>
  </w:style>
  <w:style w:type="character" w:styleId="FALevel1Char" w:customStyle="1">
    <w:name w:val="FA: Level 1 Char"/>
    <w:basedOn w:val="DefaultParagraphFont"/>
    <w:link w:val="FALevel1"/>
    <w:rsid w:val="00532FDD"/>
    <w:rPr>
      <w:rFonts w:ascii="Arial" w:cs="Arial" w:hAnsi="Arial" w:eastAsiaTheme="minorHAnsi"/>
    </w:rPr>
  </w:style>
  <w:style w:type="paragraph" w:styleId="FALevel2" w:customStyle="1">
    <w:name w:val="FA: Level 2"/>
    <w:basedOn w:val="Normal"/>
    <w:link w:val="FALevel2Char"/>
    <w:qFormat w:val="1"/>
    <w:rsid w:val="00532FDD"/>
    <w:pPr>
      <w:widowControl w:val="1"/>
      <w:numPr>
        <w:ilvl w:val="2"/>
        <w:numId w:val="22"/>
      </w:numPr>
      <w:suppressAutoHyphens w:val="0"/>
      <w:autoSpaceDN w:val="1"/>
      <w:spacing w:after="280" w:before="120" w:line="259" w:lineRule="auto"/>
      <w:textAlignment w:val="auto"/>
    </w:pPr>
    <w:rPr>
      <w:rFonts w:ascii="Arial" w:cs="Arial" w:hAnsi="Arial" w:eastAsiaTheme="minorHAnsi"/>
    </w:rPr>
  </w:style>
  <w:style w:type="character" w:styleId="FALevel2Char" w:customStyle="1">
    <w:name w:val="FA: Level 2 Char"/>
    <w:basedOn w:val="DefaultParagraphFont"/>
    <w:link w:val="FALevel2"/>
    <w:rsid w:val="00532FDD"/>
    <w:rPr>
      <w:rFonts w:ascii="Arial" w:cs="Arial" w:hAnsi="Arial" w:eastAsiaTheme="minorHAnsi"/>
    </w:rPr>
  </w:style>
  <w:style w:type="character" w:styleId="Heading1Char" w:customStyle="1">
    <w:name w:val="Heading 1 Char"/>
    <w:basedOn w:val="DefaultParagraphFont"/>
    <w:link w:val="Heading1"/>
    <w:uiPriority w:val="9"/>
    <w:rsid w:val="00532FDD"/>
    <w:rPr>
      <w:rFonts w:asciiTheme="majorHAnsi" w:cstheme="majorBidi" w:eastAsiaTheme="majorEastAsia" w:hAnsiTheme="majorHAnsi"/>
      <w:color w:val="2f5496" w:themeColor="accent1" w:themeShade="0000BF"/>
      <w:sz w:val="32"/>
      <w:szCs w:val="32"/>
    </w:rPr>
  </w:style>
  <w:style w:type="paragraph" w:styleId="FABulletPoints" w:customStyle="1">
    <w:name w:val="FA: Bullet Points"/>
    <w:basedOn w:val="Normal"/>
    <w:link w:val="FABulletPointsChar"/>
    <w:qFormat w:val="1"/>
    <w:rsid w:val="00532FDD"/>
    <w:pPr>
      <w:widowControl w:val="1"/>
      <w:numPr>
        <w:numId w:val="23"/>
      </w:numPr>
      <w:suppressAutoHyphens w:val="0"/>
      <w:autoSpaceDN w:val="1"/>
      <w:textAlignment w:val="auto"/>
    </w:pPr>
    <w:rPr>
      <w:rFonts w:ascii="Arial" w:cs="Arial" w:hAnsi="Arial" w:eastAsiaTheme="minorHAnsi"/>
    </w:rPr>
  </w:style>
  <w:style w:type="character" w:styleId="FABulletPointsChar" w:customStyle="1">
    <w:name w:val="FA: Bullet Points Char"/>
    <w:basedOn w:val="DefaultParagraphFont"/>
    <w:link w:val="FABulletPoints"/>
    <w:rsid w:val="00532FDD"/>
    <w:rPr>
      <w:rFonts w:ascii="Arial" w:cs="Arial" w:hAnsi="Arial" w:eastAsiaTheme="minorHAnsi"/>
    </w:rPr>
  </w:style>
  <w:style w:type="paragraph" w:styleId="Revision">
    <w:name w:val="Revision"/>
    <w:hidden w:val="1"/>
    <w:uiPriority w:val="99"/>
    <w:semiHidden w:val="1"/>
    <w:rsid w:val="00CE0EDB"/>
    <w:pPr>
      <w:widowControl w:val="1"/>
      <w:suppressAutoHyphens w:val="0"/>
      <w:autoSpaceDN w:val="1"/>
      <w:textAlignment w:val="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dORcZwRJQkRaMgyfi6LGK12Q==">AMUW2mWet/QiwbbkE5tKkQRzr13DtK5NpNGtx5UaYxTgeBfAFhYf4tXZ38ALyFPRm7XV67NVarzRfB2GcKdB/w5srvF9KywLv5niq2ZUaTkRonvvhpGyAtZUHDnj26q3fzivVsMRpQCucYLs1tA99lmUojU0Q1QagUAHXP4EdPHI8/zB6i1MpbR1OSy+Uhm6I9oB/KtYG8jHkP5dbSThqdFdfo0R9YdlmrGKbPZnYfIw+tnW9a5CMS9D2gZb/d8X4IkXv+/yHgyTmzCM2jJlgpke+QZb8rOu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2020-10-16T08:22:00Z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CurrentVersion">
    <vt:lpwstr>15 November 2017 D1V4</vt:lpwstr>
  </property>
</Properties>
</file>