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Framework Schedule 9 (Cyber Essentials Scheme) </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426" w:right="0" w:hanging="426"/>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90" w:right="0" w:hanging="63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34.0" w:type="dxa"/>
        <w:jc w:val="left"/>
        <w:tblInd w:w="10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50"/>
        <w:gridCol w:w="5084"/>
        <w:tblGridChange w:id="0">
          <w:tblGrid>
            <w:gridCol w:w="3150"/>
            <w:gridCol w:w="5084"/>
          </w:tblGrid>
        </w:tblGridChange>
      </w:tblGrid>
      <w:t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Scheme"</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https://www.cyberessentials.ncsc.gov.uk/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Basic Certificate"</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certificate awarded on the basis  of self-assessment, verified by an independent certification body, under the Cyber Essentials Scheme and is the basic level of assurance;</w:t>
            </w:r>
            <w:r w:rsidDel="00000000" w:rsidR="00000000" w:rsidRPr="00000000">
              <w:rPr>
                <w:rtl w:val="0"/>
              </w:rPr>
            </w:r>
          </w:p>
        </w:tc>
      </w:tr>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Certificate"</w:t>
            </w:r>
          </w:p>
        </w:tc>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Cyber Essentials Basic Certificate or the Cyber Essentials Plus Certificate to be provided by the Supplier as set out in the Framework Award Form</w:t>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 Scheme Data"</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sensitive and personal information and other relevant information as referred to in the Cyber Essentials Scheme; and</w:t>
            </w:r>
            <w:r w:rsidDel="00000000" w:rsidR="00000000" w:rsidRPr="00000000">
              <w:rPr>
                <w:rtl w:val="0"/>
              </w:rPr>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"Cyber Essentials Plus Certificate"</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certification awarded on the basis of external testing by an independent certification body of the Supplier’s cyber security approach under the Cyber Essentials Scheme and is a more advanced level of assurance.</w:t>
            </w:r>
            <w:r w:rsidDel="00000000" w:rsidR="00000000" w:rsidRPr="00000000">
              <w:rPr>
                <w:rtl w:val="0"/>
              </w:rPr>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76"/>
        </w:tabs>
        <w:spacing w:after="1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Certification do you need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Where the Framework Award Form requires that the Supplier provide a Cyber Essentials Certificate or Cyber Essentials Plus Certificate prior to the award of the Framework Contract the Supplier shall provide a valid Cyber Essentials Certificate or Cyber Essentials Plus Certificate to CCS. Where the Supplier fails to comply with this Paragraph it shall be prohibited from commencing the provision of Deliverables under any Contract until such time as the Supplier has evidenced to CCS its compliance with this Paragraph 2.1.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1"/>
          <w:i w:val="0"/>
          <w:smallCaps w:val="0"/>
          <w:strike w:val="0"/>
          <w:color w:val="000000"/>
          <w:sz w:val="24"/>
          <w:szCs w:val="24"/>
          <w:highlight w:val="yellow"/>
          <w:u w:val="none"/>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Where the Supplier continues to process data during the Contract Period of any Call-Off Contract the Supplier shall deliver to CCS evidence of renewal of the Cyber Essentials Certificate or Cyber Essentials Plus Certificate on each anniversary of the first applicable certificate obtained by the Supplier under Paragraph 2.1.</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864" w:right="0" w:hanging="504"/>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Where the Supplier is due to process data after the Start date of the first Call-Off Contract but before the end of the Framework Period or Contact Period of the last Call-Off Contract, the Supplier shall deliver to CCS evidence of:</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368" w:right="0" w:hanging="50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2.3.1 a valid and current Cyber Essentials Certificate before the Supplier    processes any such Cyber Essentials Scheme Data; and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1368" w:right="0" w:hanging="504.000000000000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2.3.2 renewal of the valid Cyber Essentials Certificate on each  anniversary of the first Cyber Essentials Scheme certificate obtained by the Supplier under Paragraph 2.1</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In the event that the Supplier fails to comply with Paragraphs 2.2 or 2.3 (as applicable), CCS reserves the right to terminate this Contract for material Default.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The Supplier shall ensure that all Sub-Contracts with Subcontractors who </w:t>
      </w:r>
      <w:bookmarkStart w:colFirst="0" w:colLast="0" w:name="bookmark=id.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Cyber Essentials Data contain provisions no less onerous on the Subcontractors than those imposed on the Supplier under this Contract in respect of the Cyber Essentials Scheme under Paragraph 2.1 of this Schedule.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This Schedule shall survive termination or expiry of this Contract and each and any Call-Off Contract.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92" w:right="0" w:hanging="360"/>
        <w:jc w:val="left"/>
        <w:rPr>
          <w:rFonts w:ascii="Arial" w:cs="Arial" w:eastAsia="Arial" w:hAnsi="Arial"/>
          <w:b w:val="1"/>
          <w:i w:val="0"/>
          <w:smallCaps w:val="0"/>
          <w:strike w:val="0"/>
          <w:color w:val="000000"/>
          <w:sz w:val="24"/>
          <w:szCs w:val="24"/>
          <w:u w:val="none"/>
          <w:shd w:fill="auto" w:val="clear"/>
          <w:vertAlign w:val="baseline"/>
        </w:rPr>
        <w:sectPr>
          <w:headerReference r:id="rId8" w:type="default"/>
          <w:headerReference r:id="rId9" w:type="first"/>
          <w:footerReference r:id="rId10" w:type="default"/>
          <w:footerReference r:id="rId11"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bfbfbf"/>
        <w:sz w:val="22"/>
        <w:szCs w:val="22"/>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Model Version: v3.0</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RM6174</w:t>
      <w:tab/>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tabs>
        <w:tab w:val="center" w:pos="4513"/>
        <w:tab w:val="right" w:pos="9026"/>
      </w:tabs>
      <w:spacing w:after="0" w:line="240" w:lineRule="auto"/>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v3.2</w:t>
      <w:tab/>
    </w:r>
    <w:r w:rsidDel="00000000" w:rsidR="00000000" w:rsidRPr="00000000">
      <w:rPr>
        <w:rFonts w:ascii="Arial" w:cs="Arial" w:eastAsia="Arial" w:hAnsi="Arial"/>
        <w:color w:val="bfbfbf"/>
        <w:sz w:val="20"/>
        <w:szCs w:val="2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Framework Schedule 9 (Cyber Essential Scheme)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Framework Schedule 9 (Cyber Essential Scheme)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94"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421"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adjustRightInd w:val="0"/>
      <w:spacing w:after="240" w:before="120" w:line="240" w:lineRule="auto"/>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tabs>
        <w:tab w:val="left" w:pos="1985"/>
      </w:tabs>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paragraph" w:styleId="GPSL5numberedclause" w:customStyle="1">
    <w:name w:val="GPS L5 numbered clause"/>
    <w:basedOn w:val="GPSL4numberedclause"/>
    <w:qFormat w:val="1"/>
    <w:pPr>
      <w:numPr>
        <w:ilvl w:val="4"/>
      </w:numPr>
      <w:tabs>
        <w:tab w:val="num" w:pos="360"/>
        <w:tab w:val="left" w:pos="3119"/>
      </w:tabs>
    </w:pPr>
  </w:style>
  <w:style w:type="paragraph" w:styleId="GPSL2NumberedBoldHeading" w:customStyle="1">
    <w:name w:val="GPS L2 Numbered Bold Heading"/>
    <w:basedOn w:val="Normal"/>
    <w:qFormat w:val="1"/>
    <w:pPr>
      <w:numPr>
        <w:ilvl w:val="1"/>
        <w:numId w:val="1"/>
      </w:numPr>
      <w:adjustRightInd w:val="0"/>
      <w:spacing w:after="120" w:before="120" w:line="240" w:lineRule="auto"/>
      <w:jc w:val="both"/>
    </w:pPr>
    <w:rPr>
      <w:rFonts w:cs="Arial" w:eastAsia="Times New Roman"/>
      <w:b w:val="1"/>
      <w:lang w:eastAsia="zh-CN"/>
    </w:rPr>
  </w:style>
  <w:style w:type="paragraph" w:styleId="GPSL6numbered" w:customStyle="1">
    <w:name w:val="GPS L6 numbered"/>
    <w:basedOn w:val="GPSL5numberedclause"/>
    <w:qFormat w:val="1"/>
    <w:pPr>
      <w:numPr>
        <w:ilvl w:val="5"/>
      </w:numPr>
      <w:tabs>
        <w:tab w:val="num" w:pos="360"/>
        <w:tab w:val="left" w:pos="3686"/>
      </w:tabs>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DefinitionL2" w:customStyle="1">
    <w:name w:val="GPS Definition L2"/>
    <w:basedOn w:val="Normal"/>
    <w:pPr>
      <w:tabs>
        <w:tab w:val="left" w:pos="-576"/>
      </w:tabs>
      <w:overflowPunct w:val="0"/>
      <w:autoSpaceDE w:val="0"/>
      <w:autoSpaceDN w:val="0"/>
      <w:spacing w:after="120" w:line="240" w:lineRule="auto"/>
      <w:ind w:hanging="545"/>
      <w:jc w:val="both"/>
      <w:textAlignment w:val="baseline"/>
    </w:pPr>
    <w:rPr>
      <w:rFonts w:ascii="Arial" w:cs="Arial" w:eastAsia="Times New Roman" w:hAnsi="Arial"/>
    </w:rPr>
  </w:style>
  <w:style w:type="paragraph" w:styleId="GPSL2Numbered" w:customStyle="1">
    <w:name w:val="GPS L2 Numbered"/>
    <w:basedOn w:val="GPSL2NumberedBoldHeading"/>
    <w:pPr>
      <w:numPr>
        <w:ilvl w:val="0"/>
        <w:numId w:val="0"/>
      </w:numPr>
      <w:tabs>
        <w:tab w:val="left" w:pos="709"/>
      </w:tabs>
      <w:autoSpaceDN w:val="0"/>
      <w:adjustRightInd w:val="1"/>
      <w:ind w:left="1494" w:hanging="360"/>
    </w:pPr>
    <w:rPr>
      <w:b w:val="0"/>
    </w:rPr>
  </w:style>
  <w:style w:type="paragraph" w:styleId="GPSDefinitionL4" w:customStyle="1">
    <w:name w:val="GPS Definition L4"/>
    <w:basedOn w:val="Normal"/>
    <w:pPr>
      <w:numPr>
        <w:numId w:val="2"/>
      </w:numPr>
      <w:tabs>
        <w:tab w:val="left" w:pos="-2656"/>
        <w:tab w:val="left" w:pos="-2440"/>
      </w:tabs>
      <w:overflowPunct w:val="0"/>
      <w:autoSpaceDE w:val="0"/>
      <w:autoSpaceDN w:val="0"/>
      <w:spacing w:after="120" w:line="240" w:lineRule="auto"/>
      <w:jc w:val="both"/>
      <w:textAlignment w:val="baseline"/>
    </w:pPr>
    <w:rPr>
      <w:rFonts w:ascii="Arial" w:cs="Arial" w:eastAsia="Times New Roman" w:hAnsi="Arial"/>
    </w:rPr>
  </w:style>
  <w:style w:type="numbering" w:styleId="LFO12" w:customStyle="1">
    <w:name w:val="LFO12"/>
    <w:basedOn w:val="NoList"/>
    <w:pPr>
      <w:numPr>
        <w:numId w:val="2"/>
      </w:numPr>
    </w:pPr>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7555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yberessentials.ncsc.gov.uk/"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w/0zt/lxVNy9nTNpiYNWBanBg==">AMUW2mWpzqalGNK1OFeqFzkQuHFy3rALx6s9wTrIdUQBb73aQX8ZZiICe2QPzf0gHQvfhx3ccsgB2G6jychv8PsT6nt5e88vhCVWJVk/C04oPlVTBvnSETixcx7s9KxvystCRkNpVNt3xM6pENrnRD/pi/s48/d3tWUSAcq/wyPUlww9Wi7czb9i8a6XmdE8gPZ/SwLtshWP0yhuQNGLZIYRi0lzOqstvk4ZH4J/LzpAWjAYnjDvdjxOb9Y4b+dvXE4JCJ+svQCg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2019-02-07T14:25:00Z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