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9 (Cyber Essentials Scheme) </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426" w:hanging="426"/>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p>
    <w:p w:rsidR="00000000" w:rsidDel="00000000" w:rsidP="00000000" w:rsidRDefault="00000000" w:rsidRPr="00000000" w14:paraId="00000003">
      <w:pPr>
        <w:keepNext w:val="1"/>
        <w:numPr>
          <w:ilvl w:val="1"/>
          <w:numId w:val="1"/>
        </w:numPr>
        <w:pBdr>
          <w:top w:space="0" w:sz="0" w:val="nil"/>
          <w:left w:space="0" w:sz="0" w:val="nil"/>
          <w:bottom w:space="0" w:sz="0" w:val="nil"/>
          <w:right w:space="0" w:sz="0" w:val="nil"/>
          <w:between w:space="0" w:sz="0" w:val="nil"/>
        </w:pBdr>
        <w:spacing w:after="120" w:before="120" w:line="240" w:lineRule="auto"/>
        <w:ind w:left="990" w:hanging="63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1"/>
        <w:tblW w:w="8234.0" w:type="dxa"/>
        <w:jc w:val="left"/>
        <w:tblInd w:w="10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0"/>
        <w:gridCol w:w="5084"/>
        <w:tblGridChange w:id="0">
          <w:tblGrid>
            <w:gridCol w:w="3150"/>
            <w:gridCol w:w="5084"/>
          </w:tblGrid>
        </w:tblGridChange>
      </w:tblGrid>
      <w:tr>
        <w:trPr>
          <w:cantSplit w:val="0"/>
          <w:tblHeader w:val="0"/>
        </w:trPr>
        <w:tc>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576"/>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"Cyber Essentials Scheme"</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576"/>
              </w:tabs>
              <w:spacing w:after="12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at: </w:t>
            </w:r>
            <w:hyperlink r:id="rId7">
              <w:r w:rsidDel="00000000" w:rsidR="00000000" w:rsidRPr="00000000">
                <w:rPr>
                  <w:rFonts w:ascii="Arial" w:cs="Arial" w:eastAsia="Arial" w:hAnsi="Arial"/>
                  <w:color w:val="0000ff"/>
                  <w:sz w:val="24"/>
                  <w:szCs w:val="24"/>
                  <w:u w:val="single"/>
                  <w:rtl w:val="0"/>
                </w:rPr>
                <w:t xml:space="preserve">https://www.cyberessentials.ncsc.gov.uk/</w:t>
              </w:r>
            </w:hyperlink>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576"/>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"Cyber Essentials Basic Certificate"</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576"/>
              </w:tabs>
              <w:spacing w:after="12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certificate awarded on the basis  of self-assessment, verified by an independent certification body, under the Cyber Essentials Scheme and is the basic level of assurance;</w:t>
            </w:r>
            <w:r w:rsidDel="00000000" w:rsidR="00000000" w:rsidRPr="00000000">
              <w:rPr>
                <w:rtl w:val="0"/>
              </w:rPr>
            </w:r>
          </w:p>
        </w:tc>
      </w:tr>
      <w:tr>
        <w:trPr>
          <w:cantSplit w:val="0"/>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576"/>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"Cyber Essentials Certificate"</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576"/>
              </w:tabs>
              <w:spacing w:after="12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Cyber Essentials Basic Certificate or the Cyber Essentials Plus Certificate to be provided by the Supplier as set out in the Framework Award Form</w:t>
            </w:r>
          </w:p>
        </w:tc>
      </w:tr>
      <w:tr>
        <w:trPr>
          <w:cantSplit w:val="0"/>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576"/>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"Cyber Essential Scheme Data"</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576"/>
              </w:tabs>
              <w:spacing w:after="12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sensitive and personal information and other relevant information as referred to in the Cyber Essentials Scheme; and</w:t>
            </w:r>
            <w:r w:rsidDel="00000000" w:rsidR="00000000" w:rsidRPr="00000000">
              <w:rPr>
                <w:rtl w:val="0"/>
              </w:rPr>
            </w:r>
          </w:p>
        </w:tc>
      </w:tr>
      <w:tr>
        <w:trPr>
          <w:cantSplit w:val="0"/>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576"/>
              </w:tabs>
              <w:spacing w:after="12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"Cyber Essentials Plus Certificate"</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576"/>
              </w:tabs>
              <w:spacing w:after="12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certification awarded on the basis of external testing by an independent certification body of the Supplier’s cyber security approach under the Cyber Essentials Scheme and is a more advanced level of assurance.</w:t>
            </w: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576"/>
        </w:tabs>
        <w:spacing w:after="12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F">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360" w:hanging="360"/>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What Certification do you need</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240" w:lineRule="auto"/>
        <w:ind w:left="864" w:hanging="504"/>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2.1 Where the Framework Award Form requires that the Supplier provide a Cyber Essentials Plus Certificate prior to Framework Commencement Date</w:t>
      </w:r>
      <w:r w:rsidDel="00000000" w:rsidR="00000000" w:rsidRPr="00000000">
        <w:rPr>
          <w:rFonts w:ascii="Arial" w:cs="Arial" w:eastAsia="Arial" w:hAnsi="Arial"/>
          <w:color w:val="000000"/>
          <w:sz w:val="24"/>
          <w:szCs w:val="24"/>
          <w:rtl w:val="0"/>
        </w:rPr>
        <w:t xml:space="preserve"> the Supplier shall provide a valid Cyber Essentials Plus Certificate to CCS. Where the Supplier fails to comply with this Paragraph it shall be prohibited from commencing the provision of Deliverables under any Contract until such time as the Supplier has evidenced to CCS its compliance with this Paragraph 2.1.</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20" w:line="240" w:lineRule="auto"/>
        <w:ind w:left="864" w:hanging="504"/>
        <w:rPr>
          <w:rFonts w:ascii="Arial" w:cs="Arial" w:eastAsia="Arial" w:hAnsi="Arial"/>
          <w:b w:val="1"/>
          <w:color w:val="000000"/>
          <w:sz w:val="24"/>
          <w:szCs w:val="24"/>
          <w:highlight w:val="yellow"/>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2.2 Where the Supplier continues to Process data during the Contract Period of any Call-Off Contract the Supplier shall deliver to CCS evidence of renewal of the Cyber Essentials Plus Certificate on each anniversary of the first applicable certificate obtained by the Supplier under Paragraph 2.1.</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240" w:lineRule="auto"/>
        <w:ind w:left="864" w:hanging="504"/>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2.3 Where the Supplier is due to Process data after the Start date of the first Call-Off Contract but before the end of the Framework Period or Contact Period of the last Call-Off Contract, the Supplier shall deliver to CCS evidence of:</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240" w:lineRule="auto"/>
        <w:ind w:left="1368" w:hanging="50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2.3.1 a valid and current Cyber Essentials Certificate before the Supplier    Processes any such Cyber Essentials Scheme Data; and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240" w:lineRule="auto"/>
        <w:ind w:left="1368" w:hanging="504.0000000000000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2.3.2 renewal of the valid Cyber Essentials Certificate on each anniversary of the first Cyber Essentials Scheme certificate obtained by the Supplier under Paragraph 2.1</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240" w:lineRule="auto"/>
        <w:ind w:left="792"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 In the event that the Supplier fails to comply with Paragraphs 2.2 or 2.3 (as applicable), CCS reserves the right to terminate this Contract for material Default.</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240" w:lineRule="auto"/>
        <w:ind w:left="792" w:hanging="360"/>
        <w:rPr>
          <w:rFonts w:ascii="Arial" w:cs="Arial" w:eastAsia="Arial" w:hAnsi="Arial"/>
          <w:color w:val="000000"/>
          <w:sz w:val="24"/>
          <w:szCs w:val="24"/>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2.5 The Supplier shall ensure that all Sub-Contracts with Subcontractors who </w:t>
      </w:r>
      <w:bookmarkStart w:colFirst="0" w:colLast="0" w:name="bookmark=id.3znysh7" w:id="3"/>
      <w:bookmarkEnd w:id="3"/>
      <w:r w:rsidDel="00000000" w:rsidR="00000000" w:rsidRPr="00000000">
        <w:rPr>
          <w:rFonts w:ascii="Arial" w:cs="Arial" w:eastAsia="Arial" w:hAnsi="Arial"/>
          <w:color w:val="000000"/>
          <w:sz w:val="24"/>
          <w:szCs w:val="24"/>
          <w:rtl w:val="0"/>
        </w:rPr>
        <w:t xml:space="preserve">Process Cyber Essentials Scheme Data contain provisions no less onerous on the Subcontractors than those imposed on the Supplier under this Contract in respect of the Cyber Essentials Scheme under Paragraph 2.1 of this Schedule.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20" w:line="240" w:lineRule="auto"/>
        <w:ind w:left="792" w:hanging="360"/>
        <w:rPr>
          <w:rFonts w:ascii="Arial" w:cs="Arial" w:eastAsia="Arial" w:hAnsi="Arial"/>
          <w:sz w:val="24"/>
          <w:szCs w:val="24"/>
        </w:rPr>
      </w:pPr>
      <w:bookmarkStart w:colFirst="0" w:colLast="0" w:name="_heading=h.3znysh7" w:id="5"/>
      <w:bookmarkEnd w:id="5"/>
      <w:r w:rsidDel="00000000" w:rsidR="00000000" w:rsidRPr="00000000">
        <w:rPr>
          <w:rFonts w:ascii="Arial" w:cs="Arial" w:eastAsia="Arial" w:hAnsi="Arial"/>
          <w:color w:val="000000"/>
          <w:sz w:val="24"/>
          <w:szCs w:val="24"/>
          <w:rtl w:val="0"/>
        </w:rPr>
        <w:t xml:space="preserve">2.6 This Schedule shall survive termination or expiry of this Contract and each and any Call-Off Contract.</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13"/>
        <w:tab w:val="right" w:pos="9026"/>
      </w:tabs>
      <w:spacing w:after="0" w:line="240" w:lineRule="auto"/>
      <w:rPr>
        <w:color w:val="bfbfbf"/>
      </w:rPr>
    </w:pPr>
    <w:r w:rsidDel="00000000" w:rsidR="00000000" w:rsidRPr="00000000">
      <w:rPr>
        <w:rFonts w:ascii="Arial" w:cs="Arial" w:eastAsia="Arial" w:hAnsi="Arial"/>
        <w:color w:val="bfbfbf"/>
        <w:sz w:val="20"/>
        <w:szCs w:val="20"/>
        <w:rtl w:val="0"/>
      </w:rPr>
      <w:t xml:space="preserve">Model Version: v3.0</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RM6195</w:t>
      <w:tab/>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v3.2</w:t>
      <w:tab/>
    </w:r>
    <w:r w:rsidDel="00000000" w:rsidR="00000000" w:rsidRPr="00000000">
      <w:rPr>
        <w:rFonts w:ascii="Arial" w:cs="Arial" w:eastAsia="Arial" w:hAnsi="Arial"/>
        <w:color w:val="bfbfbf"/>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b w:val="1"/>
        <w:color w:val="bfbfbf"/>
        <w:sz w:val="20"/>
        <w:szCs w:val="20"/>
        <w:rtl w:val="0"/>
      </w:rPr>
      <w:t xml:space="preserve">Framework Schedule 9 (Cyber Essential Scheme)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Crown Copyright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Framework Schedule 9 (Cyber Essential Scheme)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20"/>
        <w:szCs w:val="20"/>
      </w:rPr>
    </w:pPr>
    <w:r w:rsidDel="00000000" w:rsidR="00000000" w:rsidRPr="00000000">
      <w:rPr>
        <w:rFonts w:ascii="Arial" w:cs="Arial" w:eastAsia="Arial" w:hAnsi="Arial"/>
        <w:color w:val="000000"/>
        <w:sz w:val="20"/>
        <w:szCs w:val="20"/>
        <w:rtl w:val="0"/>
      </w:rPr>
      <w:t xml:space="preserve">Crown Copyright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94"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421"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pPr>
  </w:style>
  <w:style w:type="paragraph" w:styleId="GPSL2NumberedBoldHeading" w:customStyle="1">
    <w:name w:val="GPS L2 Numbered Bold Heading"/>
    <w:basedOn w:val="Normal"/>
    <w:qFormat w:val="1"/>
    <w:pPr>
      <w:numPr>
        <w:ilvl w:val="1"/>
        <w:numId w:val="1"/>
      </w:numPr>
      <w:adjustRightInd w:val="0"/>
      <w:spacing w:after="120" w:before="120" w:line="240" w:lineRule="auto"/>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DefinitionL2" w:customStyle="1">
    <w:name w:val="GPS Definition L2"/>
    <w:basedOn w:val="Normal"/>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L2Numbered" w:customStyle="1">
    <w:name w:val="GPS L2 Numbered"/>
    <w:basedOn w:val="GPSL2NumberedBoldHeading"/>
    <w:pPr>
      <w:numPr>
        <w:ilvl w:val="0"/>
        <w:numId w:val="0"/>
      </w:numPr>
      <w:tabs>
        <w:tab w:val="left" w:pos="709"/>
      </w:tabs>
      <w:autoSpaceDN w:val="0"/>
      <w:adjustRightInd w:val="1"/>
      <w:ind w:left="1494" w:hanging="360"/>
    </w:pPr>
    <w:rPr>
      <w:b w:val="0"/>
    </w:rPr>
  </w:style>
  <w:style w:type="paragraph" w:styleId="GPSDefinitionL4" w:customStyle="1">
    <w:name w:val="GPS Definition L4"/>
    <w:basedOn w:val="Normal"/>
    <w:pPr>
      <w:numPr>
        <w:numId w:val="2"/>
      </w:numPr>
      <w:tabs>
        <w:tab w:val="left" w:pos="-2656"/>
        <w:tab w:val="left" w:pos="-2440"/>
      </w:tabs>
      <w:overflowPunct w:val="0"/>
      <w:autoSpaceDE w:val="0"/>
      <w:autoSpaceDN w:val="0"/>
      <w:spacing w:after="120" w:line="240" w:lineRule="auto"/>
      <w:jc w:val="both"/>
      <w:textAlignment w:val="baseline"/>
    </w:pPr>
    <w:rPr>
      <w:rFonts w:ascii="Arial" w:cs="Arial" w:eastAsia="Times New Roman" w:hAnsi="Arial"/>
    </w:rPr>
  </w:style>
  <w:style w:type="numbering" w:styleId="LFO12" w:customStyle="1">
    <w:name w:val="LFO12"/>
    <w:basedOn w:val="NoList"/>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75555"/>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yberessentials.ncsc.gov.uk/"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3hEfrZPobRH+nQNmTkvz07+Diw==">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2021-05-27T09:55:00Z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