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13 (Implementation Plan and Testing)</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Layout w:type="fixed"/>
        <w:tblLook w:val="0400"/>
      </w:tblPr>
      <w:tblGrid>
        <w:gridCol w:w="2997"/>
        <w:gridCol w:w="5175"/>
        <w:tblGridChange w:id="0">
          <w:tblGrid>
            <w:gridCol w:w="2997"/>
            <w:gridCol w:w="5175"/>
          </w:tblGrid>
        </w:tblGridChange>
      </w:tblGrid>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bl>
    <w:p w:rsidR="00000000" w:rsidDel="00000000" w:rsidP="00000000" w:rsidRDefault="00000000" w:rsidRPr="00000000" w14:paraId="0000000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Call-Off Contract Start Date.</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D">
      <w:pPr>
        <w:keepNext w:val="1"/>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2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(When CCS or the Buyer can end this contract); or </w:t>
      </w:r>
    </w:p>
    <w:p w:rsidR="00000000" w:rsidDel="00000000" w:rsidP="00000000" w:rsidRDefault="00000000" w:rsidRPr="00000000" w14:paraId="0000002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to be agreed by the Buyer, for carrying out the requirements within the Implementation Period including, key Milestones and dependencies.</w:t>
      </w:r>
    </w:p>
    <w:p w:rsidR="00000000" w:rsidDel="00000000" w:rsidP="00000000" w:rsidRDefault="00000000" w:rsidRPr="00000000" w14:paraId="0000003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 and</w:t>
      </w:r>
    </w:p>
    <w:p w:rsidR="00000000" w:rsidDel="00000000" w:rsidP="00000000" w:rsidRDefault="00000000" w:rsidRPr="00000000" w14:paraId="0000003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3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Call-Off Contract;</w:t>
      </w:r>
    </w:p>
    <w:p w:rsidR="00000000" w:rsidDel="00000000" w:rsidP="00000000" w:rsidRDefault="00000000" w:rsidRPr="00000000" w14:paraId="0000004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2">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tyjcwt" w:id="5"/>
    <w:bookmarkEnd w:id="5"/>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9">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cantSplit w:val="0"/>
          <w:trHeight w:val="1014" w:hRule="atLeast"/>
          <w:tblHeader w:val="0"/>
        </w:trPr>
        <w:tc>
          <w:tcPr>
            <w:tcBorders>
              <w:bottom w:color="000000" w:space="0" w:sz="4" w:val="single"/>
            </w:tcBorders>
            <w:shd w:fill="ffffff" w:val="clear"/>
          </w:tcPr>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cantSplit w:val="0"/>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54">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5">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B">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C">
            <w:pPr>
              <w:ind w:left="720" w:firstLine="0"/>
              <w:jc w:val="left"/>
              <w:rPr>
                <w:sz w:val="24"/>
                <w:szCs w:val="24"/>
                <w:highlight w:val="yellow"/>
              </w:rPr>
            </w:pPr>
            <w:r w:rsidDel="00000000" w:rsidR="00000000" w:rsidRPr="00000000">
              <w:rPr>
                <w:rtl w:val="0"/>
              </w:rPr>
            </w:r>
          </w:p>
        </w:tc>
      </w:tr>
      <w:tr>
        <w:trPr>
          <w:cantSplit w:val="0"/>
          <w:trHeight w:val="719" w:hRule="atLeast"/>
          <w:tblHeader w:val="0"/>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Call-Off Schedule 13: (Implementation Plan and Testing)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9.1.2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7">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8">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Layout w:type="fixed"/>
        <w:tblLook w:val="0000"/>
      </w:tblPr>
      <w:tblGrid>
        <w:gridCol w:w="3150"/>
        <w:gridCol w:w="5175"/>
        <w:tblGridChange w:id="0">
          <w:tblGrid>
            <w:gridCol w:w="3150"/>
            <w:gridCol w:w="5175"/>
          </w:tblGrid>
        </w:tblGridChange>
      </w:tblGrid>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6.2 of this Schedule;</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3.2 of this Schedule;</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3">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B">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8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8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7">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9F">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4">
      <w:pPr>
        <w:keepNext w:val="1"/>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7">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9.3.</w:t>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C">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A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AF">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C">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BF">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7">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CE">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C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5">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and any other reasons for the relevant Milestone not being Achieved.</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C">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D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DF">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35nkun2" w:id="14"/>
      <w:bookmarkEnd w:id="14"/>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EF">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w:t>
      </w:r>
      <w:r w:rsidDel="00000000" w:rsidR="00000000" w:rsidRPr="00000000">
        <w:rPr>
          <w:rtl w:val="0"/>
        </w:rPr>
      </w:r>
    </w:p>
    <w:p w:rsidR="00000000" w:rsidDel="00000000" w:rsidP="00000000" w:rsidRDefault="00000000" w:rsidRPr="00000000" w14:paraId="000000F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6">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7">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D">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"Call-Off Contract"</w:t>
      </w:r>
      <w:r w:rsidDel="00000000" w:rsidR="00000000" w:rsidRPr="00000000">
        <w:rPr>
          <w:sz w:val="24"/>
          <w:szCs w:val="24"/>
          <w:rtl w:val="0"/>
        </w:rPr>
        <w:t xml:space="preserve">) [insert Call-Off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Call-Off  Start Date dd/mm/yyyy</w:t>
      </w:r>
      <w:r w:rsidDel="00000000" w:rsidR="00000000" w:rsidRPr="00000000">
        <w:rPr>
          <w:sz w:val="24"/>
          <w:szCs w:val="24"/>
          <w:rtl w:val="0"/>
        </w:rPr>
        <w:t xml:space="preserv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Call-Off  Contract.</w:t>
      </w:r>
    </w:p>
    <w:p w:rsidR="00000000" w:rsidDel="00000000" w:rsidP="00000000" w:rsidRDefault="00000000" w:rsidRPr="00000000" w14:paraId="000000F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3">
      <w:pPr>
        <w:ind w:left="1429" w:firstLine="0"/>
        <w:jc w:val="left"/>
        <w:rPr>
          <w:sz w:val="24"/>
          <w:szCs w:val="24"/>
        </w:rPr>
      </w:pPr>
      <w:r w:rsidDel="00000000" w:rsidR="00000000" w:rsidRPr="00000000">
        <w:rPr>
          <w:rtl w:val="0"/>
        </w:rPr>
      </w:r>
    </w:p>
    <w:p w:rsidR="00000000" w:rsidDel="00000000" w:rsidP="00000000" w:rsidRDefault="00000000" w:rsidRPr="00000000" w14:paraId="00000104">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5">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RM1557.13L4</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13: (Implementation Plan and Testing)</w:t>
    </w:r>
    <w:r w:rsidDel="00000000" w:rsidR="00000000" w:rsidRPr="00000000">
      <w:rPr>
        <w:rtl w:val="0"/>
      </w:rPr>
    </w:r>
  </w:p>
  <w:p w:rsidR="00000000" w:rsidDel="00000000" w:rsidP="00000000" w:rsidRDefault="00000000" w:rsidRPr="00000000" w14:paraId="0000010B">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2018</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10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2018</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taK+vP4okHqn0EFjVydLaQog==">AMUW2mWszyiePL4+1+doxEjJ+MGis0efodMIX7W1OjUNeLLg+7aVmL8cmgXHJ7xem3o4o0ZZ0ZUF0QiCeQaEWa4z6ILx/Hy4X827Ge6YiJXichw32UjXgpEGgYpr/gYQtWs1FrzISYLN14r3Uw5WHPneXMyws/gqZoURqlKqdrwqtzCCCHs9UEAZixbd28pbfT3TF8gJZ9FBtpPYvAJfakLhus1ZO9dL3n2UVDKzS4chpiCKXgDUNwGXL6RMft4SyRQ/HM3dnSVAmudPBonFjliNFYoQGxNqNh3xtCnSKnrpQ0l32gjwtuF8zuMwiEWWJxOPNBX3g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2020-03-30T20:44:00Z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