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Guidance Note: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Schedule should be used to show further detailed pricing information, in addition to the pricing in the Order Form] </w:t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Ref: RM1557.13L4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b="0" l="0" r="0" t="0"/>
          <wp:wrapNone/>
          <wp:docPr descr="Crown Commercial Service" id="16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4oVYc4Cm8U73dtRO/KWcqLN3dA==">AMUW2mXFRctb+ArQ424tI76BmMCeAHKp8N48BHt9CoklUUb1NiXF68/VLE7swz5B+K3aO5Padaa4flfvNtb1QqVEGTt4t4mhsAchD4KIO0KLmX+DytqvPhm0Koy7kyD8J7N2+pExnxCj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2018-08-17T10:46:00Z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