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4 (Framework Management)</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14.0" w:type="dxa"/>
        <w:jc w:val="left"/>
        <w:tblInd w:w="1008.0" w:type="dxa"/>
        <w:tblLayout w:type="fixed"/>
        <w:tblLook w:val="0400"/>
      </w:tblPr>
      <w:tblGrid>
        <w:gridCol w:w="2928"/>
        <w:gridCol w:w="5386"/>
        <w:tblGridChange w:id="0">
          <w:tblGrid>
            <w:gridCol w:w="2928"/>
            <w:gridCol w:w="5386"/>
          </w:tblGrid>
        </w:tblGridChange>
      </w:tblGrid>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p>
        </w:tc>
        <w:tc>
          <w:tcPr>
            <w:shd w:fill="auto" w:val="clear"/>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 and</w:t>
            </w:r>
          </w:p>
        </w:tc>
      </w:tr>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tc>
        <w:tc>
          <w:tcPr>
            <w:shd w:fill="auto" w:val="clear"/>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3.9 of this Schedule.</w:t>
            </w:r>
          </w:p>
        </w:tc>
      </w:tr>
    </w:tbl>
    <w:p w:rsidR="00000000" w:rsidDel="00000000" w:rsidP="00000000" w:rsidRDefault="00000000" w:rsidRPr="00000000" w14:paraId="0000000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and the Supplier will work together</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achieve this strategic relationship, there will be a requirement to adopt proactive framework management activities which will be informed by quality Management Information, and the sharing of information between the Supplier and CCS.</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outlines the general structures and management activities that the Parties shall follow during the Framework Period.</w:t>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Management</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Management Structure</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suitably qualified nominated contact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will take overall responsibility for delivering the Goods and/or Services required within this Contract, as well as a suitably qualified deputy to act in their absence.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put in place a structure to manage this Contract 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Framework Schedule 1 (Specification) and the Performance Indicators.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governance structure will be agreed between the Parties as soon as reasonably practicable following the Framework Start Date.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discussions between the Parties following the Framework Start Date, where requested by CCS the Supplier shall produce and issue to CCS a draft supplier action plan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Action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 within two weeks from receipt by the Supplier of CCS’s notification.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comply with its obligations in the Supplier Action Plan as updated from time to time.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requests from CCS in regard to compliance requirements as required including:</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and Bradstreet risk failure score monitoring;</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evidence that the Required Insurances and Additional Insurances have been renewed and maintained;</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 payment performance; and</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required accreditations &amp; certifications.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should participate in further competitions when identified as part of the final bidder list. Failure to bid on further competitions without an acceptable reason may result in the Supplier being suspended from the Framework, in accordance with Clause 10.7 (Partially ending and suspending the contract), for a period as decided by CCS.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performance review meetings will take place at CCS’s premises throughout the Framework Contract Period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("Supplier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such times and frequencies as CCS determine from time to time (which are anticipated to be once every Month or less)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shall be flexible about the timings of these meetings.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will review the Supplier’s performance under this Contract and, where applicable, the Supplier’s adherence to the Supplier Action Plan. The agenda for each Supplier Review Meeting shall be set by CCS and sent to the Supplier in advance.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ask the Supplier to discuss any instances known to the Supplier where any Other Contracting Authority decided not to use this Framework Contract for their order.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shall be attended, as a minimum, by CCS Representative(s) and the Supplier Framework Manager.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Supplier’s Performance will be measured</w:t>
      </w:r>
    </w:p>
    <w:p w:rsidR="00000000" w:rsidDel="00000000" w:rsidP="00000000" w:rsidRDefault="00000000" w:rsidRPr="00000000" w14:paraId="0000002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performance will be measured by the following Performance Indicators (“PI”):</w:t>
      </w:r>
    </w:p>
    <w:tbl>
      <w:tblPr>
        <w:tblStyle w:val="Table2"/>
        <w:tblW w:w="7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0"/>
        <w:gridCol w:w="1290"/>
        <w:gridCol w:w="2865"/>
        <w:tblGridChange w:id="0">
          <w:tblGrid>
            <w:gridCol w:w="3840"/>
            <w:gridCol w:w="1290"/>
            <w:gridCol w:w="28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Indicator (PI)</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 Target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Measured by</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sz w:val="24"/>
                <w:szCs w:val="24"/>
                <w:rtl w:val="0"/>
              </w:rPr>
              <w:t xml:space="preserve">Framework Management</w:t>
            </w:r>
            <w:r w:rsidDel="00000000" w:rsidR="00000000" w:rsidRPr="00000000">
              <w:rPr>
                <w:rtl w:val="0"/>
              </w:rPr>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 returns: All MI returns to be returned to CCS by the 5th Working Day of each 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80" w:before="8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Confirmation of receipt and time of receipt by the Authority (as evidenced within the Authority’s data warehouse system)</w:t>
            </w:r>
            <w:r w:rsidDel="00000000" w:rsidR="00000000" w:rsidRPr="00000000">
              <w:rPr>
                <w:rtl w:val="0"/>
              </w:rPr>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invoices to be paid within 30 calendar days of issue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by the Authority (as evidenced within the Authority’s system)</w:t>
            </w:r>
            <w:r w:rsidDel="00000000" w:rsidR="00000000" w:rsidRPr="00000000">
              <w:rPr>
                <w:rtl w:val="0"/>
              </w:rPr>
            </w:r>
          </w:p>
        </w:tc>
      </w:tr>
      <w:tr>
        <w:trPr>
          <w:cantSplit w:val="0"/>
          <w:trHeight w:val="78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100" w:line="276" w:lineRule="auto"/>
              <w:ind w:left="140" w:right="220" w:firstLine="0"/>
              <w:rPr>
                <w:rFonts w:ascii="Arial" w:cs="Arial" w:eastAsia="Arial" w:hAnsi="Arial"/>
                <w:sz w:val="20"/>
                <w:szCs w:val="20"/>
              </w:rPr>
            </w:pPr>
            <w:r w:rsidDel="00000000" w:rsidR="00000000" w:rsidRPr="00000000">
              <w:rPr>
                <w:rFonts w:ascii="Arial" w:cs="Arial" w:eastAsia="Arial" w:hAnsi="Arial"/>
                <w:sz w:val="24"/>
                <w:szCs w:val="24"/>
                <w:rtl w:val="0"/>
              </w:rPr>
              <w:t xml:space="preserve">Respond to CCS about any Framework Agreement management matters</w:t>
            </w: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0"/>
                <w:i w:val="0"/>
                <w:smallCaps w:val="0"/>
                <w:strike w:val="0"/>
                <w:color w:val="000000"/>
                <w:sz w:val="24"/>
                <w:szCs w:val="24"/>
                <w:u w:val="none"/>
                <w:vertAlign w:val="baseline"/>
              </w:rPr>
            </w:pPr>
            <w:sdt>
              <w:sdtPr>
                <w:tag w:val="goog_rdk_0"/>
              </w:sdtPr>
              <w:sdtContent>
                <w:r w:rsidDel="00000000" w:rsidR="00000000" w:rsidRPr="00000000">
                  <w:rPr>
                    <w:rFonts w:ascii="Arial Unicode MS" w:cs="Arial Unicode MS" w:eastAsia="Arial Unicode MS" w:hAnsi="Arial Unicode MS"/>
                    <w:sz w:val="24"/>
                    <w:szCs w:val="24"/>
                    <w:rtl w:val="0"/>
                  </w:rPr>
                  <w:t xml:space="preserve">≥95%</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responding to correspondence (email or phone) from CCS within 2 Working Days. Resolving issues raised within 5 Working Days.</w:t>
            </w:r>
          </w:p>
        </w:tc>
      </w:tr>
    </w:tbl>
    <w:p w:rsidR="00000000" w:rsidDel="00000000" w:rsidP="00000000" w:rsidRDefault="00000000" w:rsidRPr="00000000" w14:paraId="00000033">
      <w:pPr>
        <w:tabs>
          <w:tab w:val="left" w:pos="1134"/>
        </w:tabs>
        <w:spacing w:after="12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adjust, introduce new, or remove PIs throughout the Framework Contract Period, however any significant changes to PIs shall be agreed between CCS and the Supplier in accordance with the Variation Procedure.</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use and publish the performance of the Supplier against the PIs without restriction.</w:t>
      </w:r>
    </w:p>
    <w:p w:rsidR="00000000" w:rsidDel="00000000" w:rsidP="00000000" w:rsidRDefault="00000000" w:rsidRPr="00000000" w14:paraId="00000037">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must do to measure their performance</w:t>
      </w:r>
    </w:p>
    <w:p w:rsidR="00000000" w:rsidDel="00000000" w:rsidP="00000000" w:rsidRDefault="00000000" w:rsidRPr="00000000" w14:paraId="00000038">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in good faith with CCS to develop efficiency tracking performance measures for this Contract. This shall include the following (but this list is not exhaustive and may be developed during the Framework Contract Period): </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metrics that are to be implemented to measure efficiency shall be developed and agreed between CCS and the Supplier. Such metrics shall be incorporated into the list of PIs set out in this Schedule.</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ongoing progress and development of the efficiency tracking performance measures shall be reported through framework management activities as outlined in this Schedule.</w:t>
      </w:r>
    </w:p>
    <w:p w:rsidR="00000000" w:rsidDel="00000000" w:rsidP="00000000" w:rsidRDefault="00000000" w:rsidRPr="00000000" w14:paraId="0000003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to do if CCS and the Supplier can’t agree about the performance </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where CCS Authorised Representative and the Supplier Authorised Representative fail to reach a solution within a reasonable period of time, the matter shall be referred to the Dispute Resolution Procedure.</w:t>
      </w:r>
    </w:p>
    <w:p w:rsidR="00000000" w:rsidDel="00000000" w:rsidP="00000000" w:rsidRDefault="00000000" w:rsidRPr="00000000" w14:paraId="0000004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 person is appointed as Supplier Marketing Contact who shall be responsible for the marketing obligations of the Supplier in relation to this Contract. </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contribute to CCS publications</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supply current information relating to the Goods and/or Services it offers for inclusion in CCS marketing materials when required by CCS from time to time.</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shall be provided in such form and at such time as CCS may request.</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the provisions of Paragraphs 7.2 and 7.3 may result in the Supplier's exclusion from the use of such marketing materials.</w:t>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Suppliers can say in its own publications</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marketing materials produced by the Supplier in relation to this Framework shall at all times comply with the CCS branding guidance at</w:t>
        <w:tab/>
        <w:t xml:space="preserv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https://www.gov.uk/government/publications/crown-commercial-service-supplier-logo-and-brand-guidelines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periodically update and revise its marketing materials to ensure ongoing compliance.</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regularly review the content of any information which appears on its website and which relates to each Contract and ensure that such information is up to date at all times.</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000000" w:rsidDel="00000000" w:rsidP="00000000" w:rsidRDefault="00000000" w:rsidRPr="00000000" w14:paraId="0000004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Where CCS might oversee parts of the Call-Off Contracts</w:t>
      </w:r>
    </w:p>
    <w:p w:rsidR="00000000" w:rsidDel="00000000" w:rsidP="00000000" w:rsidRDefault="00000000" w:rsidRPr="00000000" w14:paraId="0000004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have oversight of certain processes which are operated under Call-Off Contracts. Such oversight shall be provided in relation to the operation of the following Schedules in each Call-Off  Contract:</w:t>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3 (Continuous Improvement);</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8 (Business Continuity and Disaster Recovery);</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9 (Security); and</w:t>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16 (Benchmarking).</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216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"Supported Schedules"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support CCS involvement</w:t>
      </w:r>
    </w:p>
    <w:p w:rsidR="00000000" w:rsidDel="00000000" w:rsidP="00000000" w:rsidRDefault="00000000" w:rsidRPr="00000000" w14:paraId="0000005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as reasonably required by CCS in relation to the Supported Schedules including:</w:t>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information;</w:t>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allowing CCS to act as agent for the Buyers under the Supported Schedules for such matters as CCS may notify to the Supplier from time to time; and</w:t>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matters as CCS may notify to the Supplier from time to time.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CCS might manage the process for Buyers collectively </w:t>
      </w:r>
    </w:p>
    <w:p w:rsidR="00000000" w:rsidDel="00000000" w:rsidP="00000000" w:rsidRDefault="00000000" w:rsidRPr="00000000" w14:paraId="00000058">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general oversight as referred to above the following specific oversight shall apply to the individual Supported Schedules:</w:t>
      </w:r>
    </w:p>
    <w:p w:rsidR="00000000" w:rsidDel="00000000" w:rsidP="00000000" w:rsidRDefault="00000000" w:rsidRPr="00000000" w14:paraId="0000005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3 (Continuous Improvement) - the Supplier shall:</w:t>
      </w:r>
    </w:p>
    <w:p w:rsidR="00000000" w:rsidDel="00000000" w:rsidP="00000000" w:rsidRDefault="00000000" w:rsidRPr="00000000" w14:paraId="0000005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 a policy of continuous improvement in relation to the Deliverables;</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maintain and update a continuous improvement plan for improving the provision of the Deliverables and/or reducing the Charges and, where requested by CCS, incorporate any improvement identified in accordance with the Variation Procedure.</w:t>
      </w:r>
    </w:p>
    <w:p w:rsidR="00000000" w:rsidDel="00000000" w:rsidP="00000000" w:rsidRDefault="00000000" w:rsidRPr="00000000" w14:paraId="000000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8 (Business Continuity and Disaster Recovery) - the Supplier shall:</w:t>
      </w:r>
    </w:p>
    <w:p w:rsidR="00000000" w:rsidDel="00000000" w:rsidP="00000000" w:rsidRDefault="00000000" w:rsidRPr="00000000" w14:paraId="0000005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BCDR plan that can be used by each Buyer and shall make it available to CCS so that it can be published to potential Buyers; and</w:t>
      </w:r>
    </w:p>
    <w:p w:rsidR="00000000" w:rsidDel="00000000" w:rsidP="00000000" w:rsidRDefault="00000000" w:rsidRPr="00000000" w14:paraId="0000005E">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the invocation or potential invocation of any BCDR plan and the Supplier shall provide such support as CCS may reasonably require to coordinate the application of BCDR plans across all Call Off Contracts.</w:t>
      </w:r>
    </w:p>
    <w:p w:rsidR="00000000" w:rsidDel="00000000" w:rsidP="00000000" w:rsidRDefault="00000000" w:rsidRPr="00000000" w14:paraId="0000006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9 (Security) - the Supplier shall:</w:t>
      </w:r>
    </w:p>
    <w:p w:rsidR="00000000" w:rsidDel="00000000" w:rsidP="00000000" w:rsidRDefault="00000000" w:rsidRPr="00000000" w14:paraId="0000006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Security Plan that can be used by each Buyer and shall make it available to CCS so that it can be published to potential Buyers; and</w:t>
      </w:r>
    </w:p>
    <w:p w:rsidR="00000000" w:rsidDel="00000000" w:rsidP="00000000" w:rsidRDefault="00000000" w:rsidRPr="00000000" w14:paraId="0000006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breach of any Security Plan and the Supplier shall provide such support as CCS may reasonably require to coordinate the application of Security Plans across all Call Off Contracts.</w:t>
      </w:r>
    </w:p>
    <w:p w:rsidR="00000000" w:rsidDel="00000000" w:rsidP="00000000" w:rsidRDefault="00000000" w:rsidRPr="00000000" w14:paraId="000000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16 (Benchmarking) - the Supplier:</w:t>
      </w:r>
    </w:p>
    <w:p w:rsidR="00000000" w:rsidDel="00000000" w:rsidP="00000000" w:rsidRDefault="00000000" w:rsidRPr="00000000" w14:paraId="0000006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notify CCS in the event that any benchmarker is appoint in respect of any Call Off Contract and the Supplier recognises that CCS may want to co-ordinate how benchmarking is conducted across multiple Call Off Contracts;</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where CCS is appointed as agent by Buyers in respect of benchmarking, co-operate with CCS in order to operate the benchmarking as efficiently as possible;</w:t>
      </w:r>
    </w:p>
    <w:p w:rsidR="00000000" w:rsidDel="00000000" w:rsidP="00000000" w:rsidRDefault="00000000" w:rsidRPr="00000000" w14:paraId="0000006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agrees that notwithstanding the remainder of Clause 15 (Confidentiality) in the Core Terms, CCS shall be entitled to publish the results of any benchmarking of the Framework Prices to Other Contracting Authorities (subject to the other party entering into reasonable confidentiality undertakings).</w:t>
      </w:r>
    </w:p>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Arial Unicode MS"/>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tab/>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rFonts w:ascii="Arial" w:cs="Arial" w:eastAsia="Arial" w:hAnsi="Arial"/>
        <w:sz w:val="20"/>
        <w:szCs w:val="20"/>
        <w:rtl w:val="0"/>
      </w:rPr>
      <w:t xml:space="preserve">Model Version: v3.4</w:t>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cs="Times New Roman" w:eastAsia="Times New Roman" w:hAnsi="Arial"/>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2"/>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adjustRightInd w:val="0"/>
      <w:spacing w:after="120" w:before="120" w:line="240" w:lineRule="auto"/>
      <w:ind w:left="1656"/>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clear" w:pos="1985"/>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overflowPunct w:val="0"/>
      <w:autoSpaceDE w:val="0"/>
      <w:autoSpaceDN w:val="0"/>
      <w:adjustRightInd w:val="0"/>
      <w:spacing w:after="120" w:line="240" w:lineRule="auto"/>
      <w:jc w:val="both"/>
      <w:textAlignment w:val="baseline"/>
    </w:pPr>
    <w:rPr>
      <w:rFonts w:ascii="Calibri" w:cs="Arial" w:eastAsia="Times New Roman" w:hAnsi="Calibri"/>
    </w:r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Calibri" w:cs="Arial" w:eastAsia="Times New Roman" w:hAnsi="Calibri"/>
      <w:b w:val="1"/>
    </w:rPr>
  </w:style>
  <w:style w:type="paragraph" w:styleId="GPSL1SCHEDULEHeading" w:customStyle="1">
    <w:name w:val="GPS L1 SCHEDULE Heading"/>
    <w:basedOn w:val="GPSL1CLAUSEHEADING"/>
    <w:link w:val="GPSL1SCHEDULEHeadingChar"/>
    <w:qFormat w:val="1"/>
    <w:rsid w:val="005C6957"/>
    <w:pPr>
      <w:ind w:left="360" w:hanging="360"/>
      <w:outlineLvl w:val="9"/>
    </w:pPr>
    <w:rPr>
      <w:caps w:val="0"/>
    </w:r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L2Numbered" w:customStyle="1">
    <w:name w:val="GPS L2 Numbered"/>
    <w:basedOn w:val="GPSL2NumberedBoldHeading"/>
    <w:link w:val="GPSL2NumberedChar"/>
    <w:qFormat w:val="1"/>
    <w:pPr>
      <w:tabs>
        <w:tab w:val="clear" w:pos="1134"/>
      </w:tabs>
      <w:ind w:left="720"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5C6957"/>
    <w:rPr>
      <w:rFonts w:ascii="Calibri" w:cs="Arial" w:eastAsia="STZhongsong" w:hAnsi="Calibri"/>
      <w:b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ing8Char" w:customStyle="1">
    <w:name w:val="Heading 8 Char"/>
    <w:basedOn w:val="DefaultParagraphFont"/>
    <w:link w:val="Heading8"/>
    <w:rPr>
      <w:rFonts w:asciiTheme="majorHAnsi" w:cstheme="majorBidi" w:eastAsiaTheme="majorEastAsia" w:hAnsiTheme="majorHAnsi"/>
      <w:color w:val="404040" w:themeColor="text1" w:themeTint="0000BF"/>
      <w:sz w:val="20"/>
      <w:szCs w:val="20"/>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numbering" w:styleId="WWOutlineListStyle8" w:customStyle="1">
    <w:name w:val="WW_OutlineListStyle_8"/>
    <w:basedOn w:val="NoList"/>
    <w:pPr>
      <w:numPr>
        <w:numId w:val="4"/>
      </w:numPr>
    </w:pPr>
  </w:style>
  <w:style w:type="character" w:styleId="Hyperlink">
    <w:name w:val="Hyperlink"/>
    <w:basedOn w:val="DefaultParagraphFont"/>
    <w:uiPriority w:val="99"/>
    <w:unhideWhenUsed w:val="1"/>
    <w:rPr>
      <w:color w:val="0000ff" w:themeColor="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style>
  <w:style w:type="paragraph" w:styleId="GPSL2numberedclause" w:customStyle="1">
    <w:name w:val="GPS L2 numbered clause"/>
    <w:basedOn w:val="Normal"/>
    <w:link w:val="GPSL2numberedclauseChar1"/>
    <w:qFormat w:val="1"/>
    <w:pPr>
      <w:tabs>
        <w:tab w:val="num" w:pos="720"/>
        <w:tab w:val="left" w:pos="1134"/>
      </w:tabs>
      <w:adjustRightInd w:val="0"/>
      <w:spacing w:after="120" w:before="120" w:line="240" w:lineRule="auto"/>
      <w:ind w:left="720" w:hanging="720"/>
      <w:jc w:val="both"/>
    </w:pPr>
    <w:rPr>
      <w:rFonts w:ascii="Calibri" w:cs="Arial" w:eastAsia="Times New Roman" w:hAnsi="Calibri"/>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rown-commercial-service-supplier-logo-and-brand-guidelin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6aEYU0w15/4wnMatjkknM6rO1A==">AMUW2mUJYUwQJreWu6wmMJx2EucZh0JIdwrpwy/OhuK/Zc3rq7R/oY/FBIuuDNU/BmLP3EGab2MLDX9EwCJ7qSGz6SSCrfuRFdK5j04NtBiomoDuXumkZY2F8+9qAC5EqIFk9E0eqXb/y8VCv6XTg74afBFXf4zFLVKF6zyppddTEnqDkNwKWdQvu8yDiG5Mwb7wgUaddAVl2IvhxaGT8lNM0toj5Z1rTCO83Zxz5wQ4NcooVPzOIABdyh1DdHKXzbIpYyB1BUf/9Pd1/4uKNRzlUYS5v2vZCk6mjThtS6yBEY+w3btwE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2020-10-06T15:38:00Z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