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rPr>
          <w:cantSplit w:val="0"/>
          <w:tblHeader w:val="1"/>
        </w:trPr>
        <w:tc>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rPr>
          <w:cantSplit w:val="0"/>
          <w:tblHeader w:val="0"/>
        </w:trPr>
        <w:tc>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AisFFd5fXhQZhwAdusTtw2kEQ==">AMUW2mUrk8BwUNCKUmQX2Wci5g6vrLaHMvml2nsGllJaXFOOck8e2x/cyAUjWxBx/S76yx48psGgQOjdUN/5UKFYklH7VHfS+nkFIhB4kne4QDxWiLgcwVBI5eT1vDctFbjCGgOrEGrojtPlRftpTySiE66nomg0uA==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