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36"/>
          <w:szCs w:val="36"/>
          <w:rtl w:val="0"/>
        </w:rPr>
        <w:t xml:space="preserve">Joint Schedule 6 (Key Subcontractors)</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Restrictions on certain subcontractors</w:t>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the Framework Contract to the Key Subcontractors set out in the Framework Award Form.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a Call-Off Contract to Key Subcontractors listed in the Framework Award Form who are specifically nominated in the Order Form.</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appointment of a proposed Key Subcontractor may prejudice the provision of the Deliverables or may be contrary to its interests;</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is unreliable and/or has not provided reliable goods and or reasonable services to its other customers; and/or</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employs unfit persons.</w:t>
      </w:r>
    </w:p>
    <w:p w:rsidR="00000000" w:rsidDel="00000000" w:rsidP="00000000" w:rsidRDefault="00000000" w:rsidRPr="00000000" w14:paraId="0000000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CCS and the Buyer with the following information in respect of the proposed Key Subcontractor: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Subcontractor’s name, registered office and company registration number;</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scope/description of any Deliverables to be provided by the proposed Key Subcontractor; </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proposed Key Subcontractor is an Affiliate of the Supplier, evidence that demonstrates to the reasonable satisfaction of the CCS and the Buyer that the proposed Key Sub-Contract has been agreed on "arm’s-length" terms;</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CCS, the Key Sub-Contract price expressed as a percentage of the total projected Framework Price over the Framework Contract Period; </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Buyer, the Key Sub-Contract price expressed as a percentage of the total projected Charges over the Call Off Contract Period; and</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Credit Rating Threshold (as defined in Joint Schedule 7 (Financial Distress)) of the Key Subcontractor.</w:t>
      </w:r>
    </w:p>
    <w:p w:rsidR="00000000" w:rsidDel="00000000" w:rsidP="00000000" w:rsidRDefault="00000000" w:rsidRPr="00000000" w14:paraId="00000010">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CCS and/or the Buyer, within ten (10) Working Days of receipt of the information provided by the Supplier pursuant to Paragraph 1.4, the Supplier shall also provide: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proposed Key Sub-Contract; and </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further information reasonably requested by CCS and/or the Buyer.</w:t>
      </w:r>
    </w:p>
    <w:p w:rsidR="00000000" w:rsidDel="00000000" w:rsidP="00000000" w:rsidRDefault="00000000" w:rsidRPr="00000000" w14:paraId="0000001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each new or replacement Key Sub-Contract shall include: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which will enable the Supplier to discharge its obligations under the Contracts;</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right under CRTPA for CCS and the Buyer to enforce any provisions under the Key Sub-Contract which confer a benefit upon CCS and the Buyer respectively;</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CCS and the Buyer to enforce the Key Sub-Contract as if it were the Supplier; </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the Supplier to assign, novate or otherwise transfer any of its rights and/or obligations under the Key Sub-Contract to CCS and/or the Buyer; </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obligations no less onerous on the Key Subcontractor than those imposed on the Supplier under the Framework Contract in respect of:</w:t>
      </w:r>
    </w:p>
    <w:p w:rsidR="00000000" w:rsidDel="00000000" w:rsidP="00000000" w:rsidRDefault="00000000" w:rsidRPr="00000000" w14:paraId="0000001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requirements set out in Clause 14 (Data protection);</w:t>
      </w:r>
    </w:p>
    <w:p w:rsidR="00000000" w:rsidDel="00000000" w:rsidP="00000000" w:rsidRDefault="00000000" w:rsidRPr="00000000" w14:paraId="0000001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FOIA and other access request requirements set out in Clause 16 (When you can share information);</w:t>
      </w:r>
    </w:p>
    <w:p w:rsidR="00000000" w:rsidDel="00000000" w:rsidP="00000000" w:rsidRDefault="00000000" w:rsidRPr="00000000" w14:paraId="0000001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not to embarrass CCS or the Buyer or otherwise bring CCS or the Buyer into disrepute; </w:t>
      </w:r>
    </w:p>
    <w:p w:rsidR="00000000" w:rsidDel="00000000" w:rsidP="00000000" w:rsidRDefault="00000000" w:rsidRPr="00000000" w14:paraId="0000001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keeping of records in respect of the goods and/or services being provided under the Key Sub-Contract, including the maintenance of Open Book Data; and</w:t>
      </w:r>
    </w:p>
    <w:p w:rsidR="00000000" w:rsidDel="00000000" w:rsidP="00000000" w:rsidRDefault="00000000" w:rsidRPr="00000000" w14:paraId="0000001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audits set out in Clause 6 (Record keeping and reporting);</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restricting the ability of the Key Subcontractor to sub-contract all or any part of the provision of the Deliverables provided to the Supplier under the Key Sub-Contract without first seeking the written consent of CCS and the Buyer.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13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513"/>
        <w:tab w:val="right" w:pos="9026"/>
      </w:tabs>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RM1557.13L4</w:t>
      <w:tab/>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color w:val="bfbfbf"/>
        <w:sz w:val="20"/>
        <w:szCs w:val="20"/>
      </w:rPr>
    </w:pPr>
    <w:bookmarkStart w:colFirst="0" w:colLast="0" w:name="_heading=h.tyjcwt" w:id="6"/>
    <w:bookmarkEnd w:id="6"/>
    <w:r w:rsidDel="00000000" w:rsidR="00000000" w:rsidRPr="00000000">
      <w:rPr>
        <w:rFonts w:ascii="Arial" w:cs="Arial" w:eastAsia="Arial" w:hAnsi="Arial"/>
        <w:sz w:val="20"/>
        <w:szCs w:val="20"/>
        <w:rtl w:val="0"/>
      </w:rPr>
      <w:t xml:space="preserve">Model Version: v3.1</w:t>
      <w:tab/>
      <w:tab/>
    </w:r>
    <w:r w:rsidDel="00000000" w:rsidR="00000000" w:rsidRPr="00000000">
      <w:rPr>
        <w:rFonts w:ascii="Arial" w:cs="Arial" w:eastAsia="Arial" w:hAnsi="Arial"/>
        <w:color w:val="bfbfbf"/>
        <w:sz w:val="20"/>
        <w:szCs w:val="20"/>
        <w:rtl w:val="0"/>
      </w:rPr>
      <w:tab/>
      <w:tab/>
    </w:r>
    <w:bookmarkStart w:colFirst="0" w:colLast="0" w:name="bookmark=id.3dy6vkm" w:id="5"/>
    <w:bookmarkEnd w:id="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6 (Key Subcontractors)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3Guidance" w:customStyle="1">
    <w:name w:val="GPS L3 Guidance"/>
    <w:basedOn w:val="Normal"/>
    <w:link w:val="GPSL3GuidanceChar"/>
    <w:qFormat w:val="1"/>
    <w:pPr>
      <w:tabs>
        <w:tab w:val="left" w:pos="1985"/>
      </w:tabs>
      <w:adjustRightInd w:val="0"/>
      <w:spacing w:after="120" w:before="120" w:line="240" w:lineRule="auto"/>
      <w:ind w:left="1985"/>
      <w:jc w:val="both"/>
    </w:pPr>
    <w:rPr>
      <w:rFonts w:ascii="Calibri" w:cs="Arial" w:eastAsia="Times New Roman" w:hAnsi="Calibri"/>
      <w:b w:val="1"/>
      <w:i w:val="1"/>
      <w:lang w:eastAsia="zh-CN"/>
    </w:rPr>
  </w:style>
  <w:style w:type="paragraph" w:styleId="GPSL1Schedulenumbered" w:customStyle="1">
    <w:name w:val="GPS L1 Schedule numbered"/>
    <w:basedOn w:val="Normal"/>
    <w:link w:val="GPSL1SchedulenumberedChar1"/>
    <w:qFormat w:val="1"/>
    <w:pPr>
      <w:numPr>
        <w:numId w:val="1"/>
      </w:numPr>
      <w:tabs>
        <w:tab w:val="left" w:pos="851"/>
      </w:tabs>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GPSL1SchedulenumberedChar1" w:customStyle="1">
    <w:name w:val="GPS L1 Schedule numbered Char1"/>
    <w:link w:val="GPSL1Schedulenumbered"/>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GPSL1CLAUSEHEADING" w:customStyle="1">
    <w:name w:val="GPS L1 CLAUSE HEADING"/>
    <w:basedOn w:val="Normal"/>
    <w:next w:val="Normal"/>
    <w:qFormat w:val="1"/>
    <w:pPr>
      <w:numPr>
        <w:numId w:val="3"/>
      </w:numPr>
      <w:tabs>
        <w:tab w:val="left" w:pos="142"/>
      </w:tabs>
      <w:adjustRightInd w:val="0"/>
      <w:spacing w:after="240" w:before="120" w:line="240" w:lineRule="auto"/>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3"/>
      </w:numPr>
      <w:tabs>
        <w:tab w:val="left" w:pos="1985"/>
      </w:tabs>
      <w:adjustRightInd w:val="0"/>
      <w:spacing w:after="120" w:before="120" w:line="240" w:lineRule="auto"/>
      <w:jc w:val="both"/>
    </w:pPr>
    <w:rPr>
      <w:rFonts w:ascii="Calibri" w:cs="Arial" w:eastAsia="Times New Roman" w:hAnsi="Calibri"/>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2NumberedBoldHeading" w:customStyle="1">
    <w:name w:val="GPS L2 Numbered Bold Heading"/>
    <w:basedOn w:val="Normal"/>
    <w:link w:val="GPSL2NumberedBoldHeadingChar"/>
    <w:qFormat w:val="1"/>
    <w:pPr>
      <w:numPr>
        <w:ilvl w:val="1"/>
        <w:numId w:val="3"/>
      </w:numPr>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legds2" w:customStyle="1">
    <w:name w:val="legds2"/>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numberedclause" w:customStyle="1">
    <w:name w:val="GPS L2 numbered clause"/>
    <w:basedOn w:val="Normal"/>
    <w:qFormat w:val="1"/>
    <w:pPr>
      <w:tabs>
        <w:tab w:val="left" w:pos="1134"/>
      </w:tabs>
      <w:adjustRightInd w:val="0"/>
      <w:spacing w:after="120" w:before="120" w:line="240" w:lineRule="auto"/>
      <w:ind w:left="1134" w:hanging="567"/>
      <w:jc w:val="both"/>
    </w:pPr>
    <w:rPr>
      <w:rFonts w:ascii="Calibri" w:cs="Arial" w:eastAsia="Times New Roman" w:hAnsi="Calibri"/>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1" w:customStyle="1">
    <w:name w:val="Table Grid1"/>
    <w:basedOn w:val="TableNormal"/>
    <w:next w:val="TableGrid"/>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utFtDzTc+ZPVzMXPdkK3x/uA==">AMUW2mWUZWQeIcBX1GiiyS4birVfmbh0x/e63T9KQvLaytqPeXZmdyQk53iNAdpZSfWe7gRWjiuDpOSYSzDfoCO5SDahrlMSrPbWjqu8/uCYPq4BDXwgK3qM65vZwTOe+1J3EIZLiRnQdsoxnpsZbFF67kOID2K/YQ7K8LIdbCZH/c6aGgF80lq0Qy94IrChHqoKwsAnBmknkyUV77fyhKe4TZAEiiseag==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2019-06-25T22:28:00Z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