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13" w:rsidRDefault="00A67513">
      <w:pPr>
        <w:rPr>
          <w:b/>
        </w:rPr>
      </w:pPr>
    </w:p>
    <w:p w:rsidR="00A67513" w:rsidRDefault="00EC73D2">
      <w:pPr>
        <w:rPr>
          <w:b/>
        </w:rPr>
      </w:pPr>
      <w:r>
        <w:rPr>
          <w:b/>
          <w:noProof/>
        </w:rPr>
        <w:drawing>
          <wp:inline distT="0" distB="0" distL="0" distR="0">
            <wp:extent cx="1295512" cy="1076760"/>
            <wp:effectExtent l="0" t="0" r="0" b="0"/>
            <wp:docPr id="4" name="image1.png" descr="CCS_logo.PNG"/>
            <wp:cNvGraphicFramePr/>
            <a:graphic xmlns:a="http://schemas.openxmlformats.org/drawingml/2006/main">
              <a:graphicData uri="http://schemas.openxmlformats.org/drawingml/2006/picture">
                <pic:pic xmlns:pic="http://schemas.openxmlformats.org/drawingml/2006/picture">
                  <pic:nvPicPr>
                    <pic:cNvPr id="0" name="image1.png" descr="CCS_logo.PNG"/>
                    <pic:cNvPicPr preferRelativeResize="0"/>
                  </pic:nvPicPr>
                  <pic:blipFill>
                    <a:blip r:embed="rId6"/>
                    <a:srcRect/>
                    <a:stretch>
                      <a:fillRect/>
                    </a:stretch>
                  </pic:blipFill>
                  <pic:spPr>
                    <a:xfrm>
                      <a:off x="0" y="0"/>
                      <a:ext cx="1295512" cy="1076760"/>
                    </a:xfrm>
                    <a:prstGeom prst="rect">
                      <a:avLst/>
                    </a:prstGeom>
                    <a:ln/>
                  </pic:spPr>
                </pic:pic>
              </a:graphicData>
            </a:graphic>
          </wp:inline>
        </w:drawing>
      </w:r>
    </w:p>
    <w:p w:rsidR="00A67513" w:rsidRDefault="00EC73D2">
      <w:pPr>
        <w:spacing w:after="0"/>
        <w:jc w:val="center"/>
        <w:rPr>
          <w:b/>
          <w:sz w:val="24"/>
          <w:szCs w:val="24"/>
          <w:u w:val="single"/>
        </w:rPr>
      </w:pPr>
      <w:r>
        <w:rPr>
          <w:b/>
          <w:sz w:val="24"/>
          <w:szCs w:val="24"/>
          <w:u w:val="single"/>
        </w:rPr>
        <w:t>RM6268 Vehicle Lease, Fleet Management and Salary Sacrifice Supplier Briefing</w:t>
      </w:r>
    </w:p>
    <w:p w:rsidR="00A67513" w:rsidRDefault="00A67513">
      <w:pPr>
        <w:spacing w:after="0"/>
        <w:rPr>
          <w:sz w:val="24"/>
          <w:szCs w:val="24"/>
          <w:u w:val="single"/>
        </w:rPr>
      </w:pPr>
    </w:p>
    <w:p w:rsidR="00A67513" w:rsidRDefault="00EC73D2">
      <w:pPr>
        <w:spacing w:after="0"/>
        <w:rPr>
          <w:sz w:val="24"/>
          <w:szCs w:val="24"/>
        </w:rPr>
      </w:pPr>
      <w:r>
        <w:rPr>
          <w:sz w:val="24"/>
          <w:szCs w:val="24"/>
        </w:rPr>
        <w:t>In preparation for the release of the tender for RM6268, we would like to share the following information to help you prepare:</w:t>
      </w:r>
    </w:p>
    <w:p w:rsidR="00A67513" w:rsidRDefault="00A67513">
      <w:pPr>
        <w:spacing w:after="0"/>
        <w:rPr>
          <w:sz w:val="24"/>
          <w:szCs w:val="24"/>
        </w:rPr>
      </w:pPr>
    </w:p>
    <w:p w:rsidR="00A67513" w:rsidRDefault="00EC73D2">
      <w:pPr>
        <w:spacing w:after="0"/>
        <w:rPr>
          <w:sz w:val="24"/>
          <w:szCs w:val="24"/>
          <w:u w:val="single"/>
        </w:rPr>
      </w:pPr>
      <w:r>
        <w:rPr>
          <w:sz w:val="24"/>
          <w:szCs w:val="24"/>
          <w:u w:val="single"/>
        </w:rPr>
        <w:t>Contracts Finder</w:t>
      </w:r>
    </w:p>
    <w:p w:rsidR="00A67513" w:rsidRDefault="00EC73D2">
      <w:pPr>
        <w:spacing w:after="0"/>
        <w:rPr>
          <w:sz w:val="24"/>
          <w:szCs w:val="24"/>
        </w:rPr>
      </w:pPr>
      <w:r>
        <w:rPr>
          <w:sz w:val="24"/>
          <w:szCs w:val="24"/>
        </w:rPr>
        <w:t xml:space="preserve">This opportunity will be published on </w:t>
      </w:r>
      <w:hyperlink r:id="rId7">
        <w:r>
          <w:rPr>
            <w:color w:val="1155CC"/>
            <w:highlight w:val="white"/>
            <w:u w:val="single"/>
          </w:rPr>
          <w:t>Find a Tender Service</w:t>
        </w:r>
      </w:hyperlink>
      <w:r>
        <w:rPr>
          <w:color w:val="222222"/>
          <w:highlight w:val="white"/>
        </w:rPr>
        <w:t>.</w:t>
      </w:r>
    </w:p>
    <w:p w:rsidR="00A67513" w:rsidRDefault="00A67513">
      <w:pPr>
        <w:spacing w:after="0"/>
        <w:rPr>
          <w:sz w:val="24"/>
          <w:szCs w:val="24"/>
        </w:rPr>
      </w:pPr>
    </w:p>
    <w:p w:rsidR="00A67513" w:rsidRDefault="00EC73D2">
      <w:pPr>
        <w:spacing w:after="0" w:line="240" w:lineRule="auto"/>
        <w:rPr>
          <w:sz w:val="24"/>
          <w:szCs w:val="24"/>
          <w:u w:val="single"/>
        </w:rPr>
      </w:pPr>
      <w:r>
        <w:rPr>
          <w:sz w:val="24"/>
          <w:szCs w:val="24"/>
          <w:u w:val="single"/>
        </w:rPr>
        <w:t>Lot Structure</w:t>
      </w:r>
    </w:p>
    <w:p w:rsidR="00A67513" w:rsidRDefault="00EC73D2">
      <w:pPr>
        <w:spacing w:after="0" w:line="240" w:lineRule="auto"/>
        <w:rPr>
          <w:sz w:val="24"/>
          <w:szCs w:val="24"/>
        </w:rPr>
      </w:pPr>
      <w:r>
        <w:rPr>
          <w:sz w:val="24"/>
          <w:szCs w:val="24"/>
        </w:rPr>
        <w:t xml:space="preserve">The RM6268 framework will consist of 4 Lots (with 2 sub-lots), as follows: </w:t>
      </w:r>
    </w:p>
    <w:p w:rsidR="00A67513" w:rsidRDefault="00EC73D2">
      <w:pPr>
        <w:numPr>
          <w:ilvl w:val="0"/>
          <w:numId w:val="1"/>
        </w:numPr>
        <w:spacing w:before="60" w:after="0" w:line="240" w:lineRule="auto"/>
        <w:rPr>
          <w:sz w:val="24"/>
          <w:szCs w:val="24"/>
        </w:rPr>
      </w:pPr>
      <w:r>
        <w:rPr>
          <w:sz w:val="24"/>
          <w:szCs w:val="24"/>
        </w:rPr>
        <w:t>Lot 1 Lease of Vehicles up to 3.5 tonnes</w:t>
      </w:r>
    </w:p>
    <w:p w:rsidR="00A67513" w:rsidRDefault="00EC73D2">
      <w:pPr>
        <w:numPr>
          <w:ilvl w:val="0"/>
          <w:numId w:val="1"/>
        </w:numPr>
        <w:spacing w:after="0" w:line="240" w:lineRule="auto"/>
        <w:rPr>
          <w:sz w:val="24"/>
          <w:szCs w:val="24"/>
        </w:rPr>
      </w:pPr>
      <w:r>
        <w:rPr>
          <w:sz w:val="24"/>
          <w:szCs w:val="24"/>
        </w:rPr>
        <w:t>Lot 2</w:t>
      </w:r>
      <w:r>
        <w:rPr>
          <w:sz w:val="24"/>
          <w:szCs w:val="24"/>
        </w:rPr>
        <w:tab/>
      </w:r>
    </w:p>
    <w:p w:rsidR="00A67513" w:rsidRDefault="00EC73D2">
      <w:pPr>
        <w:numPr>
          <w:ilvl w:val="1"/>
          <w:numId w:val="1"/>
        </w:numPr>
        <w:spacing w:after="0" w:line="240" w:lineRule="auto"/>
        <w:ind w:left="708"/>
        <w:rPr>
          <w:sz w:val="24"/>
          <w:szCs w:val="24"/>
        </w:rPr>
      </w:pPr>
      <w:r>
        <w:rPr>
          <w:sz w:val="24"/>
          <w:szCs w:val="24"/>
        </w:rPr>
        <w:t>2a - L</w:t>
      </w:r>
      <w:r>
        <w:rPr>
          <w:sz w:val="24"/>
          <w:szCs w:val="24"/>
        </w:rPr>
        <w:t>ease of Specialist, Commercial and Municipal Vehicles up to but not including 7.5 tonnes</w:t>
      </w:r>
    </w:p>
    <w:p w:rsidR="00A67513" w:rsidRDefault="00EC73D2">
      <w:pPr>
        <w:numPr>
          <w:ilvl w:val="1"/>
          <w:numId w:val="1"/>
        </w:numPr>
        <w:spacing w:after="0" w:line="240" w:lineRule="auto"/>
        <w:ind w:left="708"/>
        <w:rPr>
          <w:sz w:val="24"/>
          <w:szCs w:val="24"/>
        </w:rPr>
      </w:pPr>
      <w:r>
        <w:rPr>
          <w:sz w:val="24"/>
          <w:szCs w:val="24"/>
        </w:rPr>
        <w:t>2b - Lease of Specialist, Commercial and Municipal Vehicles 7.5 tonnes and above</w:t>
      </w:r>
    </w:p>
    <w:p w:rsidR="00A67513" w:rsidRDefault="00EC73D2">
      <w:pPr>
        <w:numPr>
          <w:ilvl w:val="0"/>
          <w:numId w:val="1"/>
        </w:numPr>
        <w:spacing w:after="0" w:line="240" w:lineRule="auto"/>
        <w:rPr>
          <w:sz w:val="24"/>
          <w:szCs w:val="24"/>
        </w:rPr>
      </w:pPr>
      <w:r>
        <w:rPr>
          <w:sz w:val="24"/>
          <w:szCs w:val="24"/>
        </w:rPr>
        <w:t>Lot 3 Independent Fleet Management Services</w:t>
      </w:r>
    </w:p>
    <w:p w:rsidR="00A67513" w:rsidRDefault="00EC73D2">
      <w:pPr>
        <w:numPr>
          <w:ilvl w:val="0"/>
          <w:numId w:val="1"/>
        </w:numPr>
        <w:spacing w:after="60" w:line="240" w:lineRule="auto"/>
        <w:rPr>
          <w:sz w:val="24"/>
          <w:szCs w:val="24"/>
        </w:rPr>
      </w:pPr>
      <w:r>
        <w:rPr>
          <w:sz w:val="24"/>
          <w:szCs w:val="24"/>
        </w:rPr>
        <w:t>Lot 4 Salary Sacrifice Car Schemes</w:t>
      </w:r>
    </w:p>
    <w:p w:rsidR="00A67513" w:rsidRDefault="00A67513">
      <w:pPr>
        <w:spacing w:before="60" w:after="60"/>
        <w:rPr>
          <w:sz w:val="24"/>
          <w:szCs w:val="24"/>
        </w:rPr>
      </w:pPr>
    </w:p>
    <w:p w:rsidR="00A67513" w:rsidRDefault="00EC73D2">
      <w:pPr>
        <w:keepLines/>
        <w:widowControl w:val="0"/>
        <w:spacing w:after="0"/>
        <w:rPr>
          <w:sz w:val="24"/>
          <w:szCs w:val="24"/>
          <w:u w:val="single"/>
        </w:rPr>
      </w:pPr>
      <w:r>
        <w:rPr>
          <w:sz w:val="24"/>
          <w:szCs w:val="24"/>
          <w:u w:val="single"/>
        </w:rPr>
        <w:t>Bid Pr</w:t>
      </w:r>
      <w:r>
        <w:rPr>
          <w:sz w:val="24"/>
          <w:szCs w:val="24"/>
          <w:u w:val="single"/>
        </w:rPr>
        <w:t>ocess</w:t>
      </w:r>
    </w:p>
    <w:p w:rsidR="00A67513" w:rsidRDefault="00EC73D2">
      <w:pPr>
        <w:spacing w:after="160" w:line="259" w:lineRule="auto"/>
        <w:rPr>
          <w:sz w:val="24"/>
          <w:szCs w:val="24"/>
        </w:rPr>
      </w:pPr>
      <w:r>
        <w:rPr>
          <w:sz w:val="24"/>
          <w:szCs w:val="24"/>
        </w:rPr>
        <w:t>You can submit a bid for one or more lots. However, if successful, Bidders will only be awarded a Framework Contract on individual lots, OR a combination of lots as set out below.   </w:t>
      </w:r>
    </w:p>
    <w:p w:rsidR="00A67513" w:rsidRDefault="00EC73D2">
      <w:pPr>
        <w:spacing w:after="160" w:line="259" w:lineRule="auto"/>
        <w:rPr>
          <w:sz w:val="24"/>
          <w:szCs w:val="24"/>
        </w:rPr>
      </w:pPr>
      <w:r>
        <w:rPr>
          <w:sz w:val="24"/>
          <w:szCs w:val="24"/>
        </w:rPr>
        <w:t>Bidders can be awarded a Framework Contract for: </w:t>
      </w:r>
    </w:p>
    <w:p w:rsidR="00A67513" w:rsidRDefault="00EC73D2">
      <w:pPr>
        <w:numPr>
          <w:ilvl w:val="0"/>
          <w:numId w:val="3"/>
        </w:numPr>
        <w:spacing w:after="160" w:line="259" w:lineRule="auto"/>
        <w:rPr>
          <w:sz w:val="24"/>
          <w:szCs w:val="24"/>
        </w:rPr>
      </w:pPr>
      <w:r>
        <w:rPr>
          <w:sz w:val="24"/>
          <w:szCs w:val="24"/>
        </w:rPr>
        <w:t>Any combination of Lots 1-2; and Lot 4  </w:t>
      </w:r>
    </w:p>
    <w:p w:rsidR="00A67513" w:rsidRDefault="00EC73D2">
      <w:pPr>
        <w:spacing w:after="160" w:line="259" w:lineRule="auto"/>
        <w:ind w:left="720"/>
        <w:rPr>
          <w:sz w:val="24"/>
          <w:szCs w:val="24"/>
        </w:rPr>
      </w:pPr>
      <w:r>
        <w:rPr>
          <w:sz w:val="24"/>
          <w:szCs w:val="24"/>
        </w:rPr>
        <w:t>OR </w:t>
      </w:r>
    </w:p>
    <w:p w:rsidR="00A67513" w:rsidRDefault="00EC73D2">
      <w:pPr>
        <w:numPr>
          <w:ilvl w:val="0"/>
          <w:numId w:val="5"/>
        </w:numPr>
        <w:spacing w:after="160" w:line="259" w:lineRule="auto"/>
        <w:rPr>
          <w:sz w:val="24"/>
          <w:szCs w:val="24"/>
        </w:rPr>
      </w:pPr>
      <w:r>
        <w:rPr>
          <w:sz w:val="24"/>
          <w:szCs w:val="24"/>
        </w:rPr>
        <w:t>Lot 3 and Lot 4.</w:t>
      </w:r>
    </w:p>
    <w:p w:rsidR="00A67513" w:rsidRDefault="00EC73D2">
      <w:pPr>
        <w:spacing w:after="160" w:line="259" w:lineRule="auto"/>
        <w:rPr>
          <w:sz w:val="24"/>
          <w:szCs w:val="24"/>
        </w:rPr>
      </w:pPr>
      <w:r>
        <w:rPr>
          <w:sz w:val="24"/>
          <w:szCs w:val="24"/>
        </w:rPr>
        <w:t>To confirm, if a Bidder is successful across a combination of Lots 1, 2 and 3, they will be awarded a Framework Contract for the lot(s) they have told us is their preference.</w:t>
      </w:r>
    </w:p>
    <w:p w:rsidR="00A67513" w:rsidRDefault="00EC73D2">
      <w:pPr>
        <w:spacing w:after="160" w:line="259" w:lineRule="auto"/>
        <w:rPr>
          <w:b/>
          <w:sz w:val="24"/>
          <w:szCs w:val="24"/>
        </w:rPr>
      </w:pPr>
      <w:r>
        <w:rPr>
          <w:b/>
          <w:sz w:val="24"/>
          <w:szCs w:val="24"/>
        </w:rPr>
        <w:t>The deadline for al</w:t>
      </w:r>
      <w:r>
        <w:rPr>
          <w:b/>
          <w:sz w:val="24"/>
          <w:szCs w:val="24"/>
        </w:rPr>
        <w:t>l bids is currently Monday 5 September 2022 at 12 noon.</w:t>
      </w:r>
    </w:p>
    <w:p w:rsidR="00A67513" w:rsidRDefault="00EC73D2">
      <w:pPr>
        <w:spacing w:after="160" w:line="259" w:lineRule="auto"/>
        <w:rPr>
          <w:sz w:val="24"/>
          <w:szCs w:val="24"/>
          <w:u w:val="single"/>
        </w:rPr>
      </w:pPr>
      <w:r>
        <w:rPr>
          <w:sz w:val="24"/>
          <w:szCs w:val="24"/>
          <w:u w:val="single"/>
        </w:rPr>
        <w:t>Evaluation Criteria</w:t>
      </w:r>
    </w:p>
    <w:p w:rsidR="00A67513" w:rsidRDefault="00EC73D2">
      <w:pPr>
        <w:spacing w:after="160" w:line="259" w:lineRule="auto"/>
        <w:rPr>
          <w:sz w:val="24"/>
          <w:szCs w:val="24"/>
        </w:rPr>
      </w:pPr>
      <w:r>
        <w:rPr>
          <w:sz w:val="24"/>
          <w:szCs w:val="24"/>
        </w:rPr>
        <w:lastRenderedPageBreak/>
        <w:t>Lots will be evaluated using the following criteria</w:t>
      </w:r>
    </w:p>
    <w:tbl>
      <w:tblPr>
        <w:tblStyle w:val="a"/>
        <w:tblW w:w="5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15"/>
        <w:gridCol w:w="1635"/>
      </w:tblGrid>
      <w:tr w:rsidR="00A67513">
        <w:tc>
          <w:tcPr>
            <w:tcW w:w="2310" w:type="dxa"/>
            <w:shd w:val="clear" w:color="auto" w:fill="auto"/>
            <w:tcMar>
              <w:top w:w="100" w:type="dxa"/>
              <w:left w:w="100" w:type="dxa"/>
              <w:bottom w:w="100" w:type="dxa"/>
              <w:right w:w="100" w:type="dxa"/>
            </w:tcMar>
          </w:tcPr>
          <w:p w:rsidR="00A67513" w:rsidRDefault="00EC73D2">
            <w:pPr>
              <w:widowControl w:val="0"/>
              <w:spacing w:after="0" w:line="240" w:lineRule="auto"/>
              <w:jc w:val="center"/>
              <w:rPr>
                <w:b/>
                <w:sz w:val="24"/>
                <w:szCs w:val="24"/>
              </w:rPr>
            </w:pPr>
            <w:r>
              <w:rPr>
                <w:b/>
                <w:sz w:val="24"/>
                <w:szCs w:val="24"/>
              </w:rPr>
              <w:t>Lots</w:t>
            </w:r>
          </w:p>
        </w:tc>
        <w:tc>
          <w:tcPr>
            <w:tcW w:w="1815" w:type="dxa"/>
            <w:shd w:val="clear" w:color="auto" w:fill="auto"/>
            <w:tcMar>
              <w:top w:w="100" w:type="dxa"/>
              <w:left w:w="100" w:type="dxa"/>
              <w:bottom w:w="100" w:type="dxa"/>
              <w:right w:w="100" w:type="dxa"/>
            </w:tcMar>
          </w:tcPr>
          <w:p w:rsidR="00A67513" w:rsidRDefault="00EC73D2">
            <w:pPr>
              <w:widowControl w:val="0"/>
              <w:spacing w:after="0" w:line="240" w:lineRule="auto"/>
              <w:jc w:val="center"/>
              <w:rPr>
                <w:b/>
                <w:sz w:val="24"/>
                <w:szCs w:val="24"/>
              </w:rPr>
            </w:pPr>
            <w:r>
              <w:rPr>
                <w:b/>
                <w:sz w:val="24"/>
                <w:szCs w:val="24"/>
              </w:rPr>
              <w:t>Quality</w:t>
            </w:r>
          </w:p>
        </w:tc>
        <w:tc>
          <w:tcPr>
            <w:tcW w:w="1635" w:type="dxa"/>
            <w:shd w:val="clear" w:color="auto" w:fill="auto"/>
            <w:tcMar>
              <w:top w:w="100" w:type="dxa"/>
              <w:left w:w="100" w:type="dxa"/>
              <w:bottom w:w="100" w:type="dxa"/>
              <w:right w:w="100" w:type="dxa"/>
            </w:tcMar>
          </w:tcPr>
          <w:p w:rsidR="00A67513" w:rsidRDefault="00EC73D2">
            <w:pPr>
              <w:widowControl w:val="0"/>
              <w:spacing w:after="0" w:line="240" w:lineRule="auto"/>
              <w:jc w:val="center"/>
              <w:rPr>
                <w:b/>
                <w:sz w:val="24"/>
                <w:szCs w:val="24"/>
              </w:rPr>
            </w:pPr>
            <w:r>
              <w:rPr>
                <w:b/>
                <w:sz w:val="24"/>
                <w:szCs w:val="24"/>
              </w:rPr>
              <w:t>Price</w:t>
            </w:r>
          </w:p>
        </w:tc>
      </w:tr>
      <w:tr w:rsidR="00A67513">
        <w:tc>
          <w:tcPr>
            <w:tcW w:w="2310" w:type="dxa"/>
            <w:shd w:val="clear" w:color="auto" w:fill="auto"/>
            <w:tcMar>
              <w:top w:w="100" w:type="dxa"/>
              <w:left w:w="100" w:type="dxa"/>
              <w:bottom w:w="100" w:type="dxa"/>
              <w:right w:w="100" w:type="dxa"/>
            </w:tcMar>
          </w:tcPr>
          <w:p w:rsidR="00A67513" w:rsidRDefault="00EC73D2">
            <w:pPr>
              <w:widowControl w:val="0"/>
              <w:spacing w:after="0" w:line="240" w:lineRule="auto"/>
              <w:rPr>
                <w:sz w:val="24"/>
                <w:szCs w:val="24"/>
              </w:rPr>
            </w:pPr>
            <w:r>
              <w:rPr>
                <w:sz w:val="24"/>
                <w:szCs w:val="24"/>
              </w:rPr>
              <w:t>Lots 1, 2a and 2b</w:t>
            </w:r>
          </w:p>
        </w:tc>
        <w:tc>
          <w:tcPr>
            <w:tcW w:w="1815" w:type="dxa"/>
            <w:shd w:val="clear" w:color="auto" w:fill="auto"/>
            <w:tcMar>
              <w:top w:w="100" w:type="dxa"/>
              <w:left w:w="100" w:type="dxa"/>
              <w:bottom w:w="100" w:type="dxa"/>
              <w:right w:w="100" w:type="dxa"/>
            </w:tcMar>
          </w:tcPr>
          <w:p w:rsidR="00A67513" w:rsidRDefault="00EC73D2">
            <w:pPr>
              <w:widowControl w:val="0"/>
              <w:spacing w:after="0" w:line="240" w:lineRule="auto"/>
              <w:jc w:val="center"/>
              <w:rPr>
                <w:sz w:val="24"/>
                <w:szCs w:val="24"/>
              </w:rPr>
            </w:pPr>
            <w:r>
              <w:rPr>
                <w:sz w:val="24"/>
                <w:szCs w:val="24"/>
              </w:rPr>
              <w:t>60%</w:t>
            </w:r>
          </w:p>
        </w:tc>
        <w:tc>
          <w:tcPr>
            <w:tcW w:w="1635" w:type="dxa"/>
            <w:shd w:val="clear" w:color="auto" w:fill="auto"/>
            <w:tcMar>
              <w:top w:w="100" w:type="dxa"/>
              <w:left w:w="100" w:type="dxa"/>
              <w:bottom w:w="100" w:type="dxa"/>
              <w:right w:w="100" w:type="dxa"/>
            </w:tcMar>
          </w:tcPr>
          <w:p w:rsidR="00A67513" w:rsidRDefault="00EC73D2">
            <w:pPr>
              <w:widowControl w:val="0"/>
              <w:spacing w:after="0" w:line="240" w:lineRule="auto"/>
              <w:jc w:val="center"/>
              <w:rPr>
                <w:sz w:val="24"/>
                <w:szCs w:val="24"/>
              </w:rPr>
            </w:pPr>
            <w:r>
              <w:rPr>
                <w:sz w:val="24"/>
                <w:szCs w:val="24"/>
              </w:rPr>
              <w:t>40%</w:t>
            </w:r>
          </w:p>
        </w:tc>
      </w:tr>
      <w:tr w:rsidR="00A67513">
        <w:tc>
          <w:tcPr>
            <w:tcW w:w="2310" w:type="dxa"/>
            <w:shd w:val="clear" w:color="auto" w:fill="auto"/>
            <w:tcMar>
              <w:top w:w="100" w:type="dxa"/>
              <w:left w:w="100" w:type="dxa"/>
              <w:bottom w:w="100" w:type="dxa"/>
              <w:right w:w="100" w:type="dxa"/>
            </w:tcMar>
          </w:tcPr>
          <w:p w:rsidR="00A67513" w:rsidRDefault="00EC73D2">
            <w:pPr>
              <w:widowControl w:val="0"/>
              <w:spacing w:after="0" w:line="240" w:lineRule="auto"/>
              <w:rPr>
                <w:sz w:val="24"/>
                <w:szCs w:val="24"/>
              </w:rPr>
            </w:pPr>
            <w:r>
              <w:rPr>
                <w:sz w:val="24"/>
                <w:szCs w:val="24"/>
              </w:rPr>
              <w:t>Lots 3 &amp; 4</w:t>
            </w:r>
          </w:p>
        </w:tc>
        <w:tc>
          <w:tcPr>
            <w:tcW w:w="1815" w:type="dxa"/>
            <w:shd w:val="clear" w:color="auto" w:fill="auto"/>
            <w:tcMar>
              <w:top w:w="100" w:type="dxa"/>
              <w:left w:w="100" w:type="dxa"/>
              <w:bottom w:w="100" w:type="dxa"/>
              <w:right w:w="100" w:type="dxa"/>
            </w:tcMar>
          </w:tcPr>
          <w:p w:rsidR="00A67513" w:rsidRDefault="00EC73D2">
            <w:pPr>
              <w:widowControl w:val="0"/>
              <w:spacing w:after="0" w:line="240" w:lineRule="auto"/>
              <w:jc w:val="center"/>
              <w:rPr>
                <w:sz w:val="24"/>
                <w:szCs w:val="24"/>
              </w:rPr>
            </w:pPr>
            <w:r>
              <w:rPr>
                <w:sz w:val="24"/>
                <w:szCs w:val="24"/>
              </w:rPr>
              <w:t>80%</w:t>
            </w:r>
          </w:p>
        </w:tc>
        <w:tc>
          <w:tcPr>
            <w:tcW w:w="1635" w:type="dxa"/>
            <w:shd w:val="clear" w:color="auto" w:fill="auto"/>
            <w:tcMar>
              <w:top w:w="100" w:type="dxa"/>
              <w:left w:w="100" w:type="dxa"/>
              <w:bottom w:w="100" w:type="dxa"/>
              <w:right w:w="100" w:type="dxa"/>
            </w:tcMar>
          </w:tcPr>
          <w:p w:rsidR="00A67513" w:rsidRDefault="00EC73D2">
            <w:pPr>
              <w:widowControl w:val="0"/>
              <w:spacing w:after="0" w:line="240" w:lineRule="auto"/>
              <w:jc w:val="center"/>
              <w:rPr>
                <w:sz w:val="24"/>
                <w:szCs w:val="24"/>
              </w:rPr>
            </w:pPr>
            <w:r>
              <w:rPr>
                <w:sz w:val="24"/>
                <w:szCs w:val="24"/>
              </w:rPr>
              <w:t>20%</w:t>
            </w:r>
          </w:p>
        </w:tc>
      </w:tr>
    </w:tbl>
    <w:p w:rsidR="00A67513" w:rsidRDefault="00A67513">
      <w:pPr>
        <w:spacing w:after="160" w:line="259" w:lineRule="auto"/>
        <w:rPr>
          <w:b/>
          <w:sz w:val="24"/>
          <w:szCs w:val="24"/>
        </w:rPr>
      </w:pPr>
    </w:p>
    <w:p w:rsidR="00A67513" w:rsidRDefault="00EC73D2">
      <w:pPr>
        <w:spacing w:after="160" w:line="259" w:lineRule="auto"/>
        <w:rPr>
          <w:sz w:val="24"/>
          <w:szCs w:val="24"/>
          <w:u w:val="single"/>
        </w:rPr>
      </w:pPr>
      <w:r>
        <w:rPr>
          <w:sz w:val="24"/>
          <w:szCs w:val="24"/>
          <w:u w:val="single"/>
        </w:rPr>
        <w:t>Awarded Suppliers by Lot</w:t>
      </w:r>
    </w:p>
    <w:p w:rsidR="00A67513" w:rsidRDefault="00EC73D2">
      <w:pPr>
        <w:spacing w:after="160" w:line="259" w:lineRule="auto"/>
        <w:rPr>
          <w:sz w:val="24"/>
          <w:szCs w:val="24"/>
        </w:rPr>
      </w:pPr>
      <w:r>
        <w:rPr>
          <w:sz w:val="24"/>
          <w:szCs w:val="24"/>
        </w:rPr>
        <w:t>Framework contracts will be awarded to a maximum number of suppliers per lot as follows</w:t>
      </w:r>
    </w:p>
    <w:p w:rsidR="00A67513" w:rsidRDefault="00EC73D2">
      <w:pPr>
        <w:spacing w:after="160" w:line="259" w:lineRule="auto"/>
        <w:rPr>
          <w:sz w:val="24"/>
          <w:szCs w:val="24"/>
        </w:rPr>
      </w:pPr>
      <w:r>
        <w:rPr>
          <w:sz w:val="24"/>
          <w:szCs w:val="24"/>
        </w:rPr>
        <w:t>Lot 1:  25 Suppliers</w:t>
      </w:r>
    </w:p>
    <w:p w:rsidR="00A67513" w:rsidRDefault="00EC73D2">
      <w:pPr>
        <w:spacing w:after="160" w:line="259" w:lineRule="auto"/>
        <w:rPr>
          <w:sz w:val="24"/>
          <w:szCs w:val="24"/>
        </w:rPr>
      </w:pPr>
      <w:r>
        <w:rPr>
          <w:sz w:val="24"/>
          <w:szCs w:val="24"/>
        </w:rPr>
        <w:t>Lot 2a:  10 Suppliers</w:t>
      </w:r>
    </w:p>
    <w:p w:rsidR="00A67513" w:rsidRDefault="00EC73D2">
      <w:pPr>
        <w:spacing w:after="160" w:line="259" w:lineRule="auto"/>
        <w:rPr>
          <w:sz w:val="24"/>
          <w:szCs w:val="24"/>
        </w:rPr>
      </w:pPr>
      <w:r>
        <w:rPr>
          <w:sz w:val="24"/>
          <w:szCs w:val="24"/>
        </w:rPr>
        <w:t>Lot 2b:  10 Suppliers</w:t>
      </w:r>
    </w:p>
    <w:p w:rsidR="00A67513" w:rsidRDefault="00EC73D2">
      <w:pPr>
        <w:spacing w:after="160" w:line="259" w:lineRule="auto"/>
        <w:rPr>
          <w:sz w:val="24"/>
          <w:szCs w:val="24"/>
        </w:rPr>
      </w:pPr>
      <w:r>
        <w:rPr>
          <w:sz w:val="24"/>
          <w:szCs w:val="24"/>
        </w:rPr>
        <w:t>Lot 3:  15 Suppliers</w:t>
      </w:r>
    </w:p>
    <w:p w:rsidR="00A67513" w:rsidRDefault="00EC73D2">
      <w:pPr>
        <w:spacing w:after="160" w:line="259" w:lineRule="auto"/>
        <w:rPr>
          <w:sz w:val="24"/>
          <w:szCs w:val="24"/>
        </w:rPr>
      </w:pPr>
      <w:r>
        <w:rPr>
          <w:sz w:val="24"/>
          <w:szCs w:val="24"/>
        </w:rPr>
        <w:t>Lot 4:  8 Suppliers</w:t>
      </w:r>
    </w:p>
    <w:p w:rsidR="00A67513" w:rsidRDefault="00EC73D2">
      <w:pPr>
        <w:spacing w:after="160" w:line="259" w:lineRule="auto"/>
        <w:rPr>
          <w:strike/>
          <w:sz w:val="24"/>
          <w:szCs w:val="24"/>
        </w:rPr>
      </w:pPr>
      <w:r>
        <w:rPr>
          <w:sz w:val="24"/>
          <w:szCs w:val="24"/>
        </w:rPr>
        <w:t>We also reserve the right to award a framework to any bidder whose final score is within 1% of the last awarded position</w:t>
      </w:r>
    </w:p>
    <w:p w:rsidR="00A67513" w:rsidRDefault="00A67513">
      <w:pPr>
        <w:spacing w:after="0"/>
        <w:rPr>
          <w:sz w:val="24"/>
          <w:szCs w:val="24"/>
        </w:rPr>
      </w:pPr>
    </w:p>
    <w:p w:rsidR="00A67513" w:rsidRDefault="00EC73D2">
      <w:pPr>
        <w:keepLines/>
        <w:spacing w:after="0"/>
        <w:rPr>
          <w:sz w:val="24"/>
          <w:szCs w:val="24"/>
          <w:u w:val="single"/>
        </w:rPr>
      </w:pPr>
      <w:r>
        <w:rPr>
          <w:sz w:val="24"/>
          <w:szCs w:val="24"/>
          <w:u w:val="single"/>
        </w:rPr>
        <w:t>Carbon Reduction Plans</w:t>
      </w:r>
    </w:p>
    <w:p w:rsidR="00A67513" w:rsidRDefault="00EC73D2">
      <w:pPr>
        <w:keepLines/>
        <w:spacing w:after="0"/>
        <w:rPr>
          <w:sz w:val="24"/>
          <w:szCs w:val="24"/>
        </w:rPr>
      </w:pPr>
      <w:r>
        <w:rPr>
          <w:sz w:val="24"/>
          <w:szCs w:val="24"/>
        </w:rPr>
        <w:t>CCS requires all Suppliers to work towards the development of a Net Zero Carbon Reduction Plan (CRP). Suppliers</w:t>
      </w:r>
      <w:r>
        <w:rPr>
          <w:sz w:val="24"/>
          <w:szCs w:val="24"/>
        </w:rPr>
        <w:t xml:space="preserve"> who awarded a place on the framework agreement will have to evidence completion of a CRP within 12 months of the framework award date</w:t>
      </w:r>
    </w:p>
    <w:p w:rsidR="00A67513" w:rsidRDefault="00EC73D2">
      <w:pPr>
        <w:keepLines/>
        <w:spacing w:before="120" w:after="120"/>
        <w:ind w:right="60"/>
        <w:jc w:val="both"/>
        <w:rPr>
          <w:sz w:val="24"/>
          <w:szCs w:val="24"/>
        </w:rPr>
      </w:pPr>
      <w:r>
        <w:rPr>
          <w:sz w:val="24"/>
          <w:szCs w:val="24"/>
        </w:rPr>
        <w:t>The development of Carbon Reduction Plans will form part of the Supplier’s Performance Indicators (PI’s) and will be moni</w:t>
      </w:r>
      <w:r>
        <w:rPr>
          <w:sz w:val="24"/>
          <w:szCs w:val="24"/>
        </w:rPr>
        <w:t xml:space="preserve">tored on a regular basis as part of CCS’ Supplier Relationship Management programme.  </w:t>
      </w:r>
    </w:p>
    <w:p w:rsidR="00A67513" w:rsidRDefault="00A67513">
      <w:pPr>
        <w:spacing w:before="120" w:after="120" w:line="240" w:lineRule="auto"/>
        <w:ind w:right="60"/>
        <w:jc w:val="both"/>
        <w:rPr>
          <w:sz w:val="24"/>
          <w:szCs w:val="24"/>
        </w:rPr>
      </w:pPr>
    </w:p>
    <w:p w:rsidR="00A67513" w:rsidRDefault="00EC73D2">
      <w:pPr>
        <w:spacing w:after="0"/>
        <w:rPr>
          <w:sz w:val="24"/>
          <w:szCs w:val="24"/>
          <w:u w:val="single"/>
        </w:rPr>
      </w:pPr>
      <w:r>
        <w:rPr>
          <w:sz w:val="24"/>
          <w:szCs w:val="24"/>
          <w:u w:val="single"/>
        </w:rPr>
        <w:t>Driving for Better Business (</w:t>
      </w:r>
      <w:proofErr w:type="spellStart"/>
      <w:r>
        <w:rPr>
          <w:sz w:val="24"/>
          <w:szCs w:val="24"/>
          <w:u w:val="single"/>
        </w:rPr>
        <w:t>DfBB</w:t>
      </w:r>
      <w:proofErr w:type="spellEnd"/>
      <w:r>
        <w:rPr>
          <w:sz w:val="24"/>
          <w:szCs w:val="24"/>
          <w:u w:val="single"/>
        </w:rPr>
        <w:t>)</w:t>
      </w:r>
    </w:p>
    <w:p w:rsidR="00A67513" w:rsidRDefault="00EC73D2">
      <w:pPr>
        <w:spacing w:after="0"/>
        <w:ind w:right="57"/>
        <w:rPr>
          <w:sz w:val="24"/>
          <w:szCs w:val="24"/>
        </w:rPr>
      </w:pPr>
      <w:r>
        <w:rPr>
          <w:sz w:val="24"/>
          <w:szCs w:val="24"/>
        </w:rPr>
        <w:t>As part of the tender bid process, CCS requires all Suppliers to sign up to the Driving for Better Business programme prior to the fr</w:t>
      </w:r>
      <w:r>
        <w:rPr>
          <w:sz w:val="24"/>
          <w:szCs w:val="24"/>
        </w:rPr>
        <w:t>amework launch date of 16 May 2023. Subscription is free of charge and more information about the programme can be found via the following link:</w:t>
      </w:r>
    </w:p>
    <w:p w:rsidR="00A67513" w:rsidRDefault="00EC73D2">
      <w:pPr>
        <w:spacing w:after="0"/>
        <w:ind w:right="57"/>
        <w:rPr>
          <w:sz w:val="24"/>
          <w:szCs w:val="24"/>
        </w:rPr>
      </w:pPr>
      <w:hyperlink r:id="rId8">
        <w:r>
          <w:rPr>
            <w:color w:val="0563C1"/>
            <w:sz w:val="24"/>
            <w:szCs w:val="24"/>
            <w:u w:val="single"/>
          </w:rPr>
          <w:t>https://www.drivingforbetterbusiness.com/</w:t>
        </w:r>
      </w:hyperlink>
    </w:p>
    <w:p w:rsidR="00A67513" w:rsidRDefault="00A67513">
      <w:pPr>
        <w:spacing w:after="0"/>
        <w:ind w:left="57" w:right="57"/>
        <w:rPr>
          <w:sz w:val="24"/>
          <w:szCs w:val="24"/>
          <w:u w:val="single"/>
        </w:rPr>
      </w:pPr>
    </w:p>
    <w:p w:rsidR="00A67513" w:rsidRDefault="00EC73D2">
      <w:pPr>
        <w:spacing w:after="0"/>
        <w:ind w:right="57"/>
        <w:rPr>
          <w:sz w:val="24"/>
          <w:szCs w:val="24"/>
        </w:rPr>
      </w:pPr>
      <w:r>
        <w:rPr>
          <w:sz w:val="24"/>
          <w:szCs w:val="24"/>
        </w:rPr>
        <w:lastRenderedPageBreak/>
        <w:t>Progres</w:t>
      </w:r>
      <w:r>
        <w:rPr>
          <w:sz w:val="24"/>
          <w:szCs w:val="24"/>
        </w:rPr>
        <w:t>sion through the Driving for Better Business accreditation stages will form part of the Supplier’s Performance Indicators (PI) and will be monitored on a regular basis as part of CCS’ Supplier Relationship Management programme.</w:t>
      </w:r>
    </w:p>
    <w:p w:rsidR="00A67513" w:rsidRDefault="00A67513">
      <w:pPr>
        <w:spacing w:after="0"/>
        <w:ind w:right="57"/>
        <w:rPr>
          <w:sz w:val="24"/>
          <w:szCs w:val="24"/>
        </w:rPr>
      </w:pPr>
    </w:p>
    <w:p w:rsidR="00A67513" w:rsidRDefault="00EC73D2">
      <w:pPr>
        <w:spacing w:after="0"/>
        <w:rPr>
          <w:sz w:val="24"/>
          <w:szCs w:val="24"/>
          <w:u w:val="single"/>
        </w:rPr>
      </w:pPr>
      <w:r>
        <w:rPr>
          <w:sz w:val="24"/>
          <w:szCs w:val="24"/>
          <w:u w:val="single"/>
        </w:rPr>
        <w:t>Financial Assessment</w:t>
      </w:r>
    </w:p>
    <w:p w:rsidR="00A67513" w:rsidRDefault="00EC73D2">
      <w:pPr>
        <w:keepLines/>
        <w:widowControl w:val="0"/>
        <w:spacing w:after="0" w:line="229" w:lineRule="auto"/>
        <w:rPr>
          <w:b/>
          <w:sz w:val="24"/>
          <w:szCs w:val="24"/>
        </w:rPr>
      </w:pPr>
      <w:r>
        <w:rPr>
          <w:sz w:val="24"/>
          <w:szCs w:val="24"/>
        </w:rPr>
        <w:t>CCS ha</w:t>
      </w:r>
      <w:r>
        <w:rPr>
          <w:sz w:val="24"/>
          <w:szCs w:val="24"/>
        </w:rPr>
        <w:t>s adopted the Cabinet Office’s Financial Viability Risk Assessment (FVRA) Tool (version 4.3.1) as the basis to conduct a financial assessment on all Bids. The RM6268 Vehicle Lease, Fleet Management and Salary Sacrifice FVRA Tool will be provided as Attachm</w:t>
      </w:r>
      <w:r>
        <w:rPr>
          <w:sz w:val="24"/>
          <w:szCs w:val="24"/>
        </w:rPr>
        <w:t xml:space="preserve">ent 5a in the bid pack – Financial Viability Risk Assessment Tool and is to be completed and submitted by Bidders. </w:t>
      </w:r>
    </w:p>
    <w:p w:rsidR="00A67513" w:rsidRDefault="00A67513">
      <w:pPr>
        <w:keepLines/>
        <w:widowControl w:val="0"/>
        <w:spacing w:after="0" w:line="229" w:lineRule="auto"/>
        <w:rPr>
          <w:b/>
          <w:sz w:val="24"/>
          <w:szCs w:val="24"/>
        </w:rPr>
      </w:pPr>
    </w:p>
    <w:p w:rsidR="00A67513" w:rsidRDefault="00EC73D2">
      <w:pPr>
        <w:keepLines/>
        <w:widowControl w:val="0"/>
        <w:spacing w:after="0" w:line="229" w:lineRule="auto"/>
        <w:rPr>
          <w:sz w:val="24"/>
          <w:szCs w:val="24"/>
        </w:rPr>
      </w:pPr>
      <w:r>
        <w:rPr>
          <w:sz w:val="24"/>
          <w:szCs w:val="24"/>
        </w:rPr>
        <w:t>It is advised that before completing the FVRA, Bidders review the May 2021 Guidance Note ‘Assessing and Monitoring the Economic and Financi</w:t>
      </w:r>
      <w:r>
        <w:rPr>
          <w:sz w:val="24"/>
          <w:szCs w:val="24"/>
        </w:rPr>
        <w:t xml:space="preserve">al Standing of Bidders and Suppliers’ (hereafter referred to as ‘The Guidance Note’) which can be  </w:t>
      </w:r>
    </w:p>
    <w:p w:rsidR="00A67513" w:rsidRDefault="00EC73D2">
      <w:pPr>
        <w:keepLines/>
        <w:widowControl w:val="0"/>
        <w:spacing w:before="9" w:after="0" w:line="250" w:lineRule="auto"/>
        <w:ind w:left="11" w:right="214" w:hanging="5"/>
        <w:rPr>
          <w:color w:val="0563C1"/>
          <w:sz w:val="24"/>
          <w:szCs w:val="24"/>
          <w:u w:val="single"/>
        </w:rPr>
      </w:pPr>
      <w:r>
        <w:rPr>
          <w:sz w:val="24"/>
          <w:szCs w:val="24"/>
        </w:rPr>
        <w:t xml:space="preserve">found at: </w:t>
      </w:r>
      <w:hyperlink r:id="rId9">
        <w:r>
          <w:rPr>
            <w:color w:val="1155CC"/>
            <w:sz w:val="24"/>
            <w:szCs w:val="24"/>
            <w:u w:val="single"/>
          </w:rPr>
          <w:t>https://assets.publishing.service.g</w:t>
        </w:r>
        <w:r>
          <w:rPr>
            <w:color w:val="1155CC"/>
            <w:sz w:val="24"/>
            <w:szCs w:val="24"/>
            <w:u w:val="single"/>
          </w:rPr>
          <w:t>ov.uk/government/uploads/system/uploads/attachment_data/file/987132/Assessing_and_monitoring_the_economic_and_financial_standing_of_suppliers_guidance_note_May_2021.pdf</w:t>
        </w:r>
      </w:hyperlink>
    </w:p>
    <w:p w:rsidR="00A67513" w:rsidRDefault="00A67513">
      <w:pPr>
        <w:spacing w:after="0"/>
        <w:rPr>
          <w:sz w:val="24"/>
          <w:szCs w:val="24"/>
        </w:rPr>
      </w:pPr>
    </w:p>
    <w:p w:rsidR="00A67513" w:rsidRDefault="00EC73D2">
      <w:pPr>
        <w:spacing w:after="0"/>
        <w:rPr>
          <w:sz w:val="24"/>
          <w:szCs w:val="24"/>
          <w:u w:val="single"/>
        </w:rPr>
      </w:pPr>
      <w:r>
        <w:rPr>
          <w:sz w:val="24"/>
          <w:szCs w:val="24"/>
          <w:u w:val="single"/>
        </w:rPr>
        <w:t>Commission</w:t>
      </w:r>
      <w:r>
        <w:rPr>
          <w:sz w:val="24"/>
          <w:szCs w:val="24"/>
          <w:u w:val="single"/>
        </w:rPr>
        <w:t xml:space="preserve"> Charge</w:t>
      </w:r>
    </w:p>
    <w:p w:rsidR="00A67513" w:rsidRDefault="00EC73D2">
      <w:pPr>
        <w:spacing w:after="0"/>
        <w:rPr>
          <w:sz w:val="24"/>
          <w:szCs w:val="24"/>
        </w:rPr>
      </w:pPr>
      <w:r>
        <w:rPr>
          <w:sz w:val="24"/>
          <w:szCs w:val="24"/>
        </w:rPr>
        <w:t xml:space="preserve">The commission charged will be 0.5% for all lots. </w:t>
      </w:r>
    </w:p>
    <w:p w:rsidR="00A67513" w:rsidRDefault="00A67513">
      <w:pPr>
        <w:spacing w:after="0"/>
        <w:rPr>
          <w:sz w:val="24"/>
          <w:szCs w:val="24"/>
        </w:rPr>
      </w:pPr>
    </w:p>
    <w:p w:rsidR="00A67513" w:rsidRDefault="00EC73D2">
      <w:pPr>
        <w:spacing w:after="0"/>
        <w:rPr>
          <w:sz w:val="24"/>
          <w:szCs w:val="24"/>
          <w:u w:val="single"/>
        </w:rPr>
      </w:pPr>
      <w:r>
        <w:rPr>
          <w:sz w:val="24"/>
          <w:szCs w:val="24"/>
          <w:u w:val="single"/>
        </w:rPr>
        <w:t>Cyber Security</w:t>
      </w:r>
    </w:p>
    <w:p w:rsidR="00A67513" w:rsidRDefault="00EC73D2">
      <w:pPr>
        <w:spacing w:after="160" w:line="259" w:lineRule="auto"/>
        <w:rPr>
          <w:sz w:val="24"/>
          <w:szCs w:val="24"/>
        </w:rPr>
      </w:pPr>
      <w:r>
        <w:rPr>
          <w:sz w:val="24"/>
          <w:szCs w:val="24"/>
        </w:rPr>
        <w:t>The</w:t>
      </w:r>
      <w:r>
        <w:rPr>
          <w:sz w:val="24"/>
          <w:szCs w:val="24"/>
        </w:rPr>
        <w:t xml:space="preserve"> conclusion of a framework contract is subject to the provision of due ‘certificates, statements and other means of proof’ where bidders have, to this point, relied on self-certification. </w:t>
      </w:r>
    </w:p>
    <w:p w:rsidR="00A67513" w:rsidRDefault="00EC73D2">
      <w:pPr>
        <w:spacing w:after="160" w:line="259" w:lineRule="auto"/>
        <w:rPr>
          <w:sz w:val="24"/>
          <w:szCs w:val="24"/>
        </w:rPr>
      </w:pPr>
      <w:r>
        <w:rPr>
          <w:sz w:val="24"/>
          <w:szCs w:val="24"/>
        </w:rPr>
        <w:t>This means:</w:t>
      </w:r>
    </w:p>
    <w:p w:rsidR="00A67513" w:rsidRDefault="00EC73D2">
      <w:pPr>
        <w:numPr>
          <w:ilvl w:val="0"/>
          <w:numId w:val="2"/>
        </w:numPr>
        <w:spacing w:after="0" w:line="259" w:lineRule="auto"/>
        <w:rPr>
          <w:sz w:val="24"/>
          <w:szCs w:val="24"/>
        </w:rPr>
      </w:pPr>
      <w:r>
        <w:rPr>
          <w:sz w:val="24"/>
          <w:szCs w:val="24"/>
        </w:rPr>
        <w:t>Insurance certificates; and</w:t>
      </w:r>
    </w:p>
    <w:p w:rsidR="00A67513" w:rsidRDefault="00EC73D2">
      <w:pPr>
        <w:numPr>
          <w:ilvl w:val="0"/>
          <w:numId w:val="2"/>
        </w:numPr>
        <w:spacing w:after="160" w:line="259" w:lineRule="auto"/>
        <w:rPr>
          <w:sz w:val="24"/>
          <w:szCs w:val="24"/>
        </w:rPr>
      </w:pPr>
      <w:r>
        <w:rPr>
          <w:sz w:val="24"/>
          <w:szCs w:val="24"/>
        </w:rPr>
        <w:t>Cyber Essentials Basic cert</w:t>
      </w:r>
      <w:r>
        <w:rPr>
          <w:sz w:val="24"/>
          <w:szCs w:val="24"/>
        </w:rPr>
        <w:t>ification or an acceptable alternative verified by an accrediting body, which may include but is not limited to the following:</w:t>
      </w:r>
    </w:p>
    <w:p w:rsidR="00A67513" w:rsidRDefault="00EC73D2">
      <w:pPr>
        <w:spacing w:after="160" w:line="259" w:lineRule="auto"/>
        <w:rPr>
          <w:strike/>
          <w:sz w:val="24"/>
          <w:szCs w:val="24"/>
        </w:rPr>
      </w:pPr>
      <w:r>
        <w:rPr>
          <w:sz w:val="24"/>
          <w:szCs w:val="24"/>
        </w:rPr>
        <w:tab/>
        <w:t>- PCI-DSS Certification</w:t>
      </w:r>
    </w:p>
    <w:p w:rsidR="00A67513" w:rsidRDefault="00EC73D2">
      <w:pPr>
        <w:spacing w:after="160" w:line="259" w:lineRule="auto"/>
        <w:rPr>
          <w:sz w:val="24"/>
          <w:szCs w:val="24"/>
        </w:rPr>
      </w:pPr>
      <w:r>
        <w:rPr>
          <w:sz w:val="24"/>
          <w:szCs w:val="24"/>
        </w:rPr>
        <w:tab/>
        <w:t>- ISO27001</w:t>
      </w:r>
    </w:p>
    <w:p w:rsidR="00A67513" w:rsidRDefault="00EC73D2">
      <w:pPr>
        <w:spacing w:after="160" w:line="259" w:lineRule="auto"/>
        <w:rPr>
          <w:sz w:val="24"/>
          <w:szCs w:val="24"/>
        </w:rPr>
      </w:pPr>
      <w:r>
        <w:rPr>
          <w:sz w:val="24"/>
          <w:szCs w:val="24"/>
        </w:rPr>
        <w:t>Any alternative certifications submitted will be assessed by CCS who will confirm acceptance</w:t>
      </w:r>
      <w:r>
        <w:rPr>
          <w:sz w:val="24"/>
          <w:szCs w:val="24"/>
        </w:rPr>
        <w:t xml:space="preserve"> at its sole discretion.   </w:t>
      </w:r>
    </w:p>
    <w:p w:rsidR="00A67513" w:rsidRDefault="00A67513">
      <w:pPr>
        <w:spacing w:after="0"/>
        <w:rPr>
          <w:sz w:val="24"/>
          <w:szCs w:val="24"/>
        </w:rPr>
      </w:pPr>
    </w:p>
    <w:p w:rsidR="00A67513" w:rsidRDefault="00EC73D2">
      <w:pPr>
        <w:spacing w:after="0"/>
        <w:rPr>
          <w:sz w:val="24"/>
          <w:szCs w:val="24"/>
          <w:u w:val="single"/>
        </w:rPr>
      </w:pPr>
      <w:r>
        <w:rPr>
          <w:sz w:val="24"/>
          <w:szCs w:val="24"/>
          <w:u w:val="single"/>
        </w:rPr>
        <w:t>Prompt Payment</w:t>
      </w:r>
    </w:p>
    <w:p w:rsidR="00A67513" w:rsidRDefault="00A67513">
      <w:pPr>
        <w:spacing w:after="0"/>
        <w:rPr>
          <w:sz w:val="24"/>
          <w:szCs w:val="24"/>
          <w:u w:val="single"/>
        </w:rPr>
      </w:pPr>
    </w:p>
    <w:p w:rsidR="00A67513" w:rsidRDefault="00EC73D2">
      <w:pPr>
        <w:spacing w:after="0"/>
        <w:rPr>
          <w:sz w:val="24"/>
          <w:szCs w:val="24"/>
        </w:rPr>
      </w:pPr>
      <w:r>
        <w:rPr>
          <w:sz w:val="24"/>
          <w:szCs w:val="24"/>
        </w:rPr>
        <w:t xml:space="preserve">The Government </w:t>
      </w:r>
      <w:hyperlink r:id="rId10">
        <w:r>
          <w:rPr>
            <w:color w:val="1155CC"/>
            <w:sz w:val="24"/>
            <w:szCs w:val="24"/>
            <w:u w:val="single"/>
          </w:rPr>
          <w:t>Supplier Code of Conduct</w:t>
        </w:r>
      </w:hyperlink>
      <w:r>
        <w:rPr>
          <w:sz w:val="24"/>
          <w:szCs w:val="24"/>
        </w:rPr>
        <w:t xml:space="preserve"> will apply </w:t>
      </w:r>
      <w:r>
        <w:rPr>
          <w:sz w:val="24"/>
          <w:szCs w:val="24"/>
        </w:rPr>
        <w:t xml:space="preserve">to RM6268 this includes the requirement for Suppliers to pay subcontractors within 30 days on government contracts </w:t>
      </w:r>
      <w:r>
        <w:rPr>
          <w:sz w:val="24"/>
          <w:szCs w:val="24"/>
        </w:rPr>
        <w:lastRenderedPageBreak/>
        <w:t>and comply with the standards set out in the Prompt Payment 11 Code on all other contracts.</w:t>
      </w:r>
    </w:p>
    <w:p w:rsidR="00A67513" w:rsidRDefault="00A67513">
      <w:pPr>
        <w:spacing w:after="0"/>
        <w:rPr>
          <w:sz w:val="24"/>
          <w:szCs w:val="24"/>
        </w:rPr>
      </w:pPr>
    </w:p>
    <w:p w:rsidR="00A67513" w:rsidRDefault="00A67513">
      <w:pPr>
        <w:spacing w:after="0"/>
        <w:rPr>
          <w:sz w:val="24"/>
          <w:szCs w:val="24"/>
          <w:u w:val="single"/>
        </w:rPr>
      </w:pPr>
    </w:p>
    <w:p w:rsidR="00A67513" w:rsidRDefault="00EC73D2">
      <w:pPr>
        <w:spacing w:after="0"/>
        <w:rPr>
          <w:sz w:val="24"/>
          <w:szCs w:val="24"/>
          <w:u w:val="single"/>
        </w:rPr>
      </w:pPr>
      <w:r>
        <w:rPr>
          <w:sz w:val="24"/>
          <w:szCs w:val="24"/>
          <w:u w:val="single"/>
        </w:rPr>
        <w:t xml:space="preserve">Lot 1 Fleet Portal </w:t>
      </w:r>
      <w:proofErr w:type="spellStart"/>
      <w:r>
        <w:rPr>
          <w:sz w:val="24"/>
          <w:szCs w:val="24"/>
          <w:u w:val="single"/>
        </w:rPr>
        <w:t>Requrements</w:t>
      </w:r>
      <w:proofErr w:type="spellEnd"/>
    </w:p>
    <w:p w:rsidR="00A67513" w:rsidRDefault="00EC73D2">
      <w:pPr>
        <w:spacing w:after="0"/>
        <w:rPr>
          <w:sz w:val="24"/>
          <w:szCs w:val="24"/>
        </w:rPr>
      </w:pPr>
      <w:r>
        <w:rPr>
          <w:sz w:val="24"/>
          <w:szCs w:val="24"/>
        </w:rPr>
        <w:t xml:space="preserve">For Lot 1 only, </w:t>
      </w:r>
      <w:r>
        <w:rPr>
          <w:sz w:val="24"/>
          <w:szCs w:val="24"/>
        </w:rPr>
        <w:t>Supplier must successfully integrate with the CCS Fleet Portal, by the framework launch date of 16 May 2023, in order to provide quotations for standard vehicles and factory fit options.  Supplier obligations include, but are not limited to:</w:t>
      </w:r>
    </w:p>
    <w:p w:rsidR="00A67513" w:rsidRDefault="00EC73D2">
      <w:pPr>
        <w:widowControl w:val="0"/>
        <w:numPr>
          <w:ilvl w:val="0"/>
          <w:numId w:val="6"/>
        </w:numPr>
        <w:tabs>
          <w:tab w:val="left" w:pos="851"/>
          <w:tab w:val="left" w:pos="2552"/>
        </w:tabs>
        <w:spacing w:after="0" w:line="240" w:lineRule="auto"/>
        <w:jc w:val="both"/>
        <w:rPr>
          <w:sz w:val="24"/>
          <w:szCs w:val="24"/>
        </w:rPr>
      </w:pPr>
      <w:proofErr w:type="gramStart"/>
      <w:r>
        <w:rPr>
          <w:sz w:val="24"/>
          <w:szCs w:val="24"/>
        </w:rPr>
        <w:t>pro</w:t>
      </w:r>
      <w:bookmarkStart w:id="0" w:name="_GoBack"/>
      <w:bookmarkEnd w:id="0"/>
      <w:r>
        <w:rPr>
          <w:sz w:val="24"/>
          <w:szCs w:val="24"/>
        </w:rPr>
        <w:t>viding</w:t>
      </w:r>
      <w:proofErr w:type="gramEnd"/>
      <w:r>
        <w:rPr>
          <w:sz w:val="24"/>
          <w:szCs w:val="24"/>
        </w:rPr>
        <w:t xml:space="preserve"> live vehicle quotations for standard specification vehicles including factory fit options within the scope of Lot 1 via the CCS dedicated vehicle web portal (“Fleet Portal”)</w:t>
      </w:r>
      <w:hyperlink r:id="rId11">
        <w:r>
          <w:rPr>
            <w:sz w:val="24"/>
            <w:szCs w:val="24"/>
          </w:rPr>
          <w:t xml:space="preserve"> </w:t>
        </w:r>
      </w:hyperlink>
      <w:r>
        <w:rPr>
          <w:sz w:val="24"/>
          <w:szCs w:val="24"/>
        </w:rPr>
        <w:t>utilising</w:t>
      </w:r>
      <w:r>
        <w:rPr>
          <w:sz w:val="24"/>
          <w:szCs w:val="24"/>
        </w:rPr>
        <w:t xml:space="preserve"> Web Service technology.</w:t>
      </w:r>
    </w:p>
    <w:p w:rsidR="00A67513" w:rsidRDefault="00EC73D2">
      <w:pPr>
        <w:widowControl w:val="0"/>
        <w:tabs>
          <w:tab w:val="left" w:pos="851"/>
          <w:tab w:val="left" w:pos="2552"/>
        </w:tabs>
        <w:spacing w:line="240" w:lineRule="auto"/>
        <w:ind w:left="1984"/>
        <w:jc w:val="both"/>
        <w:rPr>
          <w:sz w:val="24"/>
          <w:szCs w:val="24"/>
        </w:rPr>
      </w:pPr>
      <w:hyperlink r:id="rId12">
        <w:r>
          <w:rPr>
            <w:color w:val="1155CC"/>
            <w:sz w:val="24"/>
            <w:szCs w:val="24"/>
            <w:u w:val="single"/>
          </w:rPr>
          <w:t>https://fleetportal.crowncommercial.gov.uk</w:t>
        </w:r>
      </w:hyperlink>
    </w:p>
    <w:p w:rsidR="00A67513" w:rsidRDefault="00EC73D2">
      <w:pPr>
        <w:widowControl w:val="0"/>
        <w:numPr>
          <w:ilvl w:val="0"/>
          <w:numId w:val="4"/>
        </w:numPr>
        <w:tabs>
          <w:tab w:val="left" w:pos="851"/>
          <w:tab w:val="left" w:pos="2552"/>
        </w:tabs>
        <w:spacing w:after="0" w:line="240" w:lineRule="auto"/>
        <w:ind w:left="708" w:hanging="285"/>
        <w:jc w:val="both"/>
        <w:rPr>
          <w:sz w:val="24"/>
          <w:szCs w:val="24"/>
        </w:rPr>
      </w:pPr>
      <w:r>
        <w:rPr>
          <w:sz w:val="24"/>
          <w:szCs w:val="24"/>
        </w:rPr>
        <w:t>ensuring that its systems are configured to receive and transmit vehicle quotation information securely in XML format</w:t>
      </w:r>
    </w:p>
    <w:p w:rsidR="00A67513" w:rsidRDefault="00EC73D2">
      <w:pPr>
        <w:widowControl w:val="0"/>
        <w:numPr>
          <w:ilvl w:val="0"/>
          <w:numId w:val="4"/>
        </w:numPr>
        <w:tabs>
          <w:tab w:val="left" w:pos="851"/>
          <w:tab w:val="left" w:pos="2552"/>
        </w:tabs>
        <w:spacing w:after="0" w:line="240" w:lineRule="auto"/>
        <w:ind w:left="708" w:hanging="285"/>
        <w:jc w:val="both"/>
        <w:rPr>
          <w:sz w:val="24"/>
          <w:szCs w:val="24"/>
        </w:rPr>
      </w:pPr>
      <w:r>
        <w:rPr>
          <w:sz w:val="24"/>
          <w:szCs w:val="24"/>
        </w:rPr>
        <w:t>ability</w:t>
      </w:r>
      <w:r>
        <w:rPr>
          <w:sz w:val="24"/>
          <w:szCs w:val="24"/>
        </w:rPr>
        <w:t xml:space="preserve"> to link to </w:t>
      </w:r>
      <w:proofErr w:type="spellStart"/>
      <w:r>
        <w:rPr>
          <w:sz w:val="24"/>
          <w:szCs w:val="24"/>
        </w:rPr>
        <w:t>CAPid</w:t>
      </w:r>
      <w:proofErr w:type="spellEnd"/>
      <w:r>
        <w:rPr>
          <w:sz w:val="24"/>
          <w:szCs w:val="24"/>
        </w:rPr>
        <w:t xml:space="preserve"> vehicle and options data either by directly subscribing or to a data source that enables the cross referencing to </w:t>
      </w:r>
      <w:proofErr w:type="spellStart"/>
      <w:r>
        <w:rPr>
          <w:sz w:val="24"/>
          <w:szCs w:val="24"/>
        </w:rPr>
        <w:t>CAPid</w:t>
      </w:r>
      <w:proofErr w:type="spellEnd"/>
      <w:r>
        <w:rPr>
          <w:sz w:val="24"/>
          <w:szCs w:val="24"/>
        </w:rPr>
        <w:t xml:space="preserve"> vehicle and options data</w:t>
      </w:r>
    </w:p>
    <w:p w:rsidR="00A67513" w:rsidRDefault="00EC73D2">
      <w:pPr>
        <w:widowControl w:val="0"/>
        <w:numPr>
          <w:ilvl w:val="0"/>
          <w:numId w:val="4"/>
        </w:numPr>
        <w:tabs>
          <w:tab w:val="left" w:pos="851"/>
          <w:tab w:val="left" w:pos="2552"/>
        </w:tabs>
        <w:spacing w:after="0" w:line="240" w:lineRule="auto"/>
        <w:ind w:left="708" w:hanging="285"/>
        <w:jc w:val="both"/>
        <w:rPr>
          <w:sz w:val="24"/>
          <w:szCs w:val="24"/>
        </w:rPr>
      </w:pPr>
      <w:r>
        <w:rPr>
          <w:sz w:val="24"/>
          <w:szCs w:val="24"/>
        </w:rPr>
        <w:t>utilising vehicle identification data on the CAP1 code</w:t>
      </w:r>
    </w:p>
    <w:p w:rsidR="00A67513" w:rsidRDefault="00EC73D2">
      <w:pPr>
        <w:widowControl w:val="0"/>
        <w:numPr>
          <w:ilvl w:val="0"/>
          <w:numId w:val="4"/>
        </w:numPr>
        <w:tabs>
          <w:tab w:val="left" w:pos="851"/>
          <w:tab w:val="left" w:pos="2552"/>
        </w:tabs>
        <w:spacing w:line="240" w:lineRule="auto"/>
        <w:ind w:left="708" w:hanging="285"/>
        <w:jc w:val="both"/>
        <w:rPr>
          <w:sz w:val="24"/>
          <w:szCs w:val="24"/>
        </w:rPr>
      </w:pPr>
      <w:r>
        <w:rPr>
          <w:sz w:val="24"/>
          <w:szCs w:val="24"/>
        </w:rPr>
        <w:t>ensuring that the vehicle quotations p</w:t>
      </w:r>
      <w:r>
        <w:rPr>
          <w:sz w:val="24"/>
          <w:szCs w:val="24"/>
        </w:rPr>
        <w:t xml:space="preserve">rovided are accurate </w:t>
      </w:r>
    </w:p>
    <w:p w:rsidR="00A67513" w:rsidRDefault="00A67513">
      <w:pPr>
        <w:widowControl w:val="0"/>
        <w:spacing w:after="0" w:line="240" w:lineRule="auto"/>
        <w:rPr>
          <w:b/>
        </w:rPr>
      </w:pPr>
    </w:p>
    <w:sectPr w:rsidR="00A67513">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9F8"/>
    <w:multiLevelType w:val="multilevel"/>
    <w:tmpl w:val="75F8132C"/>
    <w:lvl w:ilvl="0">
      <w:start w:val="1"/>
      <w:numFmt w:val="bullet"/>
      <w:lvlText w:val="●"/>
      <w:lvlJc w:val="left"/>
      <w:pPr>
        <w:ind w:left="357" w:hanging="35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6408D8"/>
    <w:multiLevelType w:val="multilevel"/>
    <w:tmpl w:val="E410C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B713D19"/>
    <w:multiLevelType w:val="multilevel"/>
    <w:tmpl w:val="39746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4C66D0"/>
    <w:multiLevelType w:val="multilevel"/>
    <w:tmpl w:val="299237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5E43B5B"/>
    <w:multiLevelType w:val="multilevel"/>
    <w:tmpl w:val="81C6F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AC2013"/>
    <w:multiLevelType w:val="multilevel"/>
    <w:tmpl w:val="670E11A2"/>
    <w:lvl w:ilvl="0">
      <w:start w:val="1"/>
      <w:numFmt w:val="bullet"/>
      <w:lvlText w:val="●"/>
      <w:lvlJc w:val="left"/>
      <w:pPr>
        <w:ind w:left="1264" w:hanging="283"/>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13"/>
    <w:rsid w:val="00A67513"/>
    <w:rsid w:val="00EC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2C230-6E9D-4257-88F4-0C6405F4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C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645F6"/>
    <w:pPr>
      <w:spacing w:after="0" w:line="240" w:lineRule="auto"/>
      <w:ind w:left="720"/>
    </w:pPr>
    <w:rPr>
      <w:rFonts w:ascii="Calibri" w:hAnsi="Calibri" w:cs="Times New Roman"/>
    </w:rPr>
  </w:style>
  <w:style w:type="paragraph" w:styleId="NoSpacing">
    <w:name w:val="No Spacing"/>
    <w:uiPriority w:val="1"/>
    <w:qFormat/>
    <w:rsid w:val="00CD58B4"/>
    <w:pPr>
      <w:spacing w:after="0" w:line="240" w:lineRule="auto"/>
    </w:pPr>
  </w:style>
  <w:style w:type="character" w:styleId="Hyperlink">
    <w:name w:val="Hyperlink"/>
    <w:basedOn w:val="DefaultParagraphFont"/>
    <w:uiPriority w:val="99"/>
    <w:unhideWhenUsed/>
    <w:rsid w:val="00AB2438"/>
    <w:rPr>
      <w:color w:val="0000FF" w:themeColor="hyperlink"/>
      <w:u w:val="single"/>
    </w:rPr>
  </w:style>
  <w:style w:type="paragraph" w:styleId="BalloonText">
    <w:name w:val="Balloon Text"/>
    <w:basedOn w:val="Normal"/>
    <w:link w:val="BalloonTextChar"/>
    <w:uiPriority w:val="99"/>
    <w:semiHidden/>
    <w:unhideWhenUsed/>
    <w:rsid w:val="00483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A6B"/>
    <w:rPr>
      <w:rFonts w:ascii="Tahoma" w:hAnsi="Tahoma" w:cs="Tahoma"/>
      <w:sz w:val="16"/>
      <w:szCs w:val="16"/>
      <w:lang w:val="en-GB"/>
    </w:rPr>
  </w:style>
  <w:style w:type="character" w:styleId="CommentReference">
    <w:name w:val="annotation reference"/>
    <w:basedOn w:val="DefaultParagraphFont"/>
    <w:uiPriority w:val="99"/>
    <w:semiHidden/>
    <w:unhideWhenUsed/>
    <w:rsid w:val="008172D0"/>
    <w:rPr>
      <w:sz w:val="16"/>
      <w:szCs w:val="16"/>
    </w:rPr>
  </w:style>
  <w:style w:type="paragraph" w:styleId="CommentText">
    <w:name w:val="annotation text"/>
    <w:basedOn w:val="Normal"/>
    <w:link w:val="CommentTextChar"/>
    <w:uiPriority w:val="99"/>
    <w:semiHidden/>
    <w:unhideWhenUsed/>
    <w:rsid w:val="008172D0"/>
    <w:pPr>
      <w:spacing w:line="240" w:lineRule="auto"/>
    </w:pPr>
    <w:rPr>
      <w:sz w:val="20"/>
      <w:szCs w:val="20"/>
    </w:rPr>
  </w:style>
  <w:style w:type="character" w:customStyle="1" w:styleId="CommentTextChar">
    <w:name w:val="Comment Text Char"/>
    <w:basedOn w:val="DefaultParagraphFont"/>
    <w:link w:val="CommentText"/>
    <w:uiPriority w:val="99"/>
    <w:semiHidden/>
    <w:rsid w:val="008172D0"/>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8172D0"/>
    <w:rPr>
      <w:b/>
      <w:bCs/>
    </w:rPr>
  </w:style>
  <w:style w:type="character" w:customStyle="1" w:styleId="CommentSubjectChar">
    <w:name w:val="Comment Subject Char"/>
    <w:basedOn w:val="CommentTextChar"/>
    <w:link w:val="CommentSubject"/>
    <w:uiPriority w:val="99"/>
    <w:semiHidden/>
    <w:rsid w:val="008172D0"/>
    <w:rPr>
      <w:rFonts w:ascii="Arial" w:hAnsi="Arial"/>
      <w:b/>
      <w:bCs/>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vingforbetterbusin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find-tender" TargetMode="External"/><Relationship Id="rId12" Type="http://schemas.openxmlformats.org/officeDocument/2006/relationships/hyperlink" Target="https://fleetportal.crowncommercia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leetportal.crowncommercial.gov.uk/"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779660/20190220-Supplier_Code_of_Conduct.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FnfpzpZVS4ZcEQsLaZSGxxd3Q==">AMUW2mWlecgyvJvFgwsvwSmpaloUocqIY+ZhasfqHPzND8rOcoL3La8sXybNtJ/o3CzVijP1s1Y6rlV2OJPRwEUDnyizEssrW7m/8EjXGtPhlg5MWnzhTXE=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5210</Characters>
  <Application>Microsoft Office Word</Application>
  <DocSecurity>0</DocSecurity>
  <Lines>43</Lines>
  <Paragraphs>12</Paragraphs>
  <ScaleCrop>false</ScaleCrop>
  <Company>Cabinet Office</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edgejo</dc:creator>
  <cp:lastModifiedBy>Martina Corrin</cp:lastModifiedBy>
  <cp:revision>3</cp:revision>
  <dcterms:created xsi:type="dcterms:W3CDTF">2013-09-10T10:03:00Z</dcterms:created>
  <dcterms:modified xsi:type="dcterms:W3CDTF">2022-07-22T16:40:00Z</dcterms:modified>
</cp:coreProperties>
</file>