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72C8" w:rsidRPr="0057500A" w:rsidRDefault="00B75EF7">
      <w:pPr>
        <w:pStyle w:val="Title"/>
        <w:rPr>
          <w:b/>
          <w:bCs/>
          <w:color w:val="434343"/>
          <w:sz w:val="24"/>
          <w:szCs w:val="24"/>
          <w:u w:val="single"/>
        </w:rPr>
      </w:pPr>
      <w:bookmarkStart w:id="0" w:name="_ovnwyqywxcw8" w:colFirst="0" w:colLast="0"/>
      <w:bookmarkEnd w:id="0"/>
      <w:r w:rsidRPr="0057500A">
        <w:rPr>
          <w:b/>
          <w:bCs/>
          <w:color w:val="434343"/>
          <w:sz w:val="24"/>
          <w:szCs w:val="24"/>
          <w:u w:val="single"/>
        </w:rPr>
        <w:t>OmniGOV Invoicing FAQs</w:t>
      </w:r>
    </w:p>
    <w:p w14:paraId="00000002" w14:textId="77777777" w:rsidR="00F272C8" w:rsidRPr="0057500A" w:rsidRDefault="00F272C8">
      <w:pPr>
        <w:rPr>
          <w:sz w:val="20"/>
          <w:szCs w:val="20"/>
        </w:rPr>
      </w:pPr>
    </w:p>
    <w:p w14:paraId="00000003" w14:textId="77777777" w:rsidR="00F272C8" w:rsidRPr="0057500A" w:rsidRDefault="00F272C8">
      <w:pPr>
        <w:rPr>
          <w:sz w:val="20"/>
          <w:szCs w:val="20"/>
        </w:rPr>
      </w:pPr>
    </w:p>
    <w:p w14:paraId="00000004" w14:textId="77777777" w:rsidR="00F272C8" w:rsidRPr="00DA51F7" w:rsidRDefault="00B75EF7">
      <w:pPr>
        <w:rPr>
          <w:b/>
          <w:bCs/>
          <w:sz w:val="20"/>
          <w:szCs w:val="20"/>
          <w:u w:val="single"/>
        </w:rPr>
      </w:pPr>
      <w:r w:rsidRPr="00DA51F7">
        <w:rPr>
          <w:b/>
          <w:bCs/>
          <w:sz w:val="20"/>
          <w:szCs w:val="20"/>
          <w:u w:val="single"/>
        </w:rPr>
        <w:t>Can I pay for the media at the end of my campaign?</w:t>
      </w:r>
    </w:p>
    <w:p w14:paraId="00000005" w14:textId="77777777" w:rsidR="00F272C8" w:rsidRPr="0057500A" w:rsidRDefault="00F272C8">
      <w:pPr>
        <w:rPr>
          <w:sz w:val="20"/>
          <w:szCs w:val="20"/>
          <w:u w:val="single"/>
        </w:rPr>
      </w:pPr>
    </w:p>
    <w:p w14:paraId="00000006" w14:textId="67868A0D" w:rsidR="00F272C8" w:rsidRPr="0057500A" w:rsidRDefault="00246D1C">
      <w:pPr>
        <w:rPr>
          <w:sz w:val="20"/>
          <w:szCs w:val="20"/>
          <w:lang w:val="en-GB"/>
        </w:rPr>
      </w:pPr>
      <w:proofErr w:type="gramStart"/>
      <w:r>
        <w:rPr>
          <w:sz w:val="20"/>
          <w:szCs w:val="20"/>
          <w:highlight w:val="white"/>
          <w:lang w:val="en-GB"/>
        </w:rPr>
        <w:t>Unfortunately</w:t>
      </w:r>
      <w:proofErr w:type="gramEnd"/>
      <w:r>
        <w:rPr>
          <w:sz w:val="20"/>
          <w:szCs w:val="20"/>
          <w:highlight w:val="white"/>
          <w:lang w:val="en-GB"/>
        </w:rPr>
        <w:t xml:space="preserve"> not. Media owners will invoice </w:t>
      </w:r>
      <w:proofErr w:type="spellStart"/>
      <w:r>
        <w:rPr>
          <w:sz w:val="20"/>
          <w:szCs w:val="20"/>
          <w:highlight w:val="white"/>
          <w:lang w:val="en-GB"/>
        </w:rPr>
        <w:t>OmniGov</w:t>
      </w:r>
      <w:proofErr w:type="spellEnd"/>
      <w:r>
        <w:rPr>
          <w:sz w:val="20"/>
          <w:szCs w:val="20"/>
          <w:highlight w:val="white"/>
          <w:lang w:val="en-GB"/>
        </w:rPr>
        <w:t xml:space="preserve"> the month after activity runs, regardless of how long the campaign is. Therefore, we will always need to invoice on a monthly basis to ensure that we have received funds to pass onto the media owner in line with their terms.</w:t>
      </w:r>
      <w:r>
        <w:rPr>
          <w:sz w:val="20"/>
          <w:szCs w:val="20"/>
          <w:lang w:val="en-GB"/>
        </w:rPr>
        <w:t xml:space="preserve"> If campaigns do not run as booked then the bookings should be changed on the system to reflect this and this can either be done towards the end of the campaign so the full amount received is correct, or a credit note will be issued.</w:t>
      </w:r>
    </w:p>
    <w:p w14:paraId="00000008" w14:textId="77777777" w:rsidR="00F272C8" w:rsidRPr="0057500A" w:rsidRDefault="00F272C8">
      <w:pPr>
        <w:rPr>
          <w:sz w:val="20"/>
          <w:szCs w:val="20"/>
          <w:u w:val="single"/>
        </w:rPr>
      </w:pPr>
    </w:p>
    <w:p w14:paraId="00000009" w14:textId="77777777" w:rsidR="00F272C8" w:rsidRPr="00DA51F7" w:rsidRDefault="00B75EF7">
      <w:pPr>
        <w:rPr>
          <w:b/>
          <w:bCs/>
          <w:sz w:val="20"/>
          <w:szCs w:val="20"/>
          <w:u w:val="single"/>
        </w:rPr>
      </w:pPr>
      <w:r w:rsidRPr="00DA51F7">
        <w:rPr>
          <w:b/>
          <w:bCs/>
          <w:sz w:val="20"/>
          <w:szCs w:val="20"/>
          <w:u w:val="single"/>
        </w:rPr>
        <w:t>When will I be billed for m</w:t>
      </w:r>
      <w:r w:rsidRPr="00DA51F7">
        <w:rPr>
          <w:b/>
          <w:bCs/>
          <w:sz w:val="20"/>
          <w:szCs w:val="20"/>
          <w:u w:val="single"/>
        </w:rPr>
        <w:t xml:space="preserve">y media? </w:t>
      </w:r>
    </w:p>
    <w:p w14:paraId="0000000A" w14:textId="77777777" w:rsidR="00F272C8" w:rsidRPr="0057500A" w:rsidRDefault="00F272C8">
      <w:pPr>
        <w:rPr>
          <w:sz w:val="20"/>
          <w:szCs w:val="20"/>
        </w:rPr>
      </w:pPr>
    </w:p>
    <w:p w14:paraId="458681D8" w14:textId="40FCEB33" w:rsidR="0057500A" w:rsidRDefault="00B75EF7">
      <w:pPr>
        <w:rPr>
          <w:sz w:val="20"/>
          <w:szCs w:val="20"/>
          <w:highlight w:val="white"/>
          <w:lang w:val="en-GB"/>
        </w:rPr>
      </w:pPr>
      <w:r w:rsidRPr="0057500A">
        <w:rPr>
          <w:sz w:val="20"/>
          <w:szCs w:val="20"/>
          <w:highlight w:val="white"/>
        </w:rPr>
        <w:t>Omni</w:t>
      </w:r>
      <w:r w:rsidR="00246D1C">
        <w:rPr>
          <w:sz w:val="20"/>
          <w:szCs w:val="20"/>
          <w:highlight w:val="white"/>
          <w:lang w:val="en-GB"/>
        </w:rPr>
        <w:t>Gov</w:t>
      </w:r>
      <w:r w:rsidRPr="0057500A">
        <w:rPr>
          <w:sz w:val="20"/>
          <w:szCs w:val="20"/>
          <w:highlight w:val="white"/>
        </w:rPr>
        <w:t xml:space="preserve"> bill at various points of the month for certain media eg. TV</w:t>
      </w:r>
      <w:r w:rsidR="00246D1C">
        <w:rPr>
          <w:sz w:val="20"/>
          <w:szCs w:val="20"/>
          <w:highlight w:val="white"/>
          <w:lang w:val="en-GB"/>
        </w:rPr>
        <w:t>, fees.</w:t>
      </w:r>
      <w:r w:rsidRPr="0057500A">
        <w:rPr>
          <w:sz w:val="20"/>
          <w:szCs w:val="20"/>
          <w:highlight w:val="white"/>
        </w:rPr>
        <w:t xml:space="preserve"> </w:t>
      </w:r>
      <w:r w:rsidR="00246D1C">
        <w:rPr>
          <w:sz w:val="20"/>
          <w:szCs w:val="20"/>
          <w:highlight w:val="white"/>
          <w:lang w:val="en-GB"/>
        </w:rPr>
        <w:t>A</w:t>
      </w:r>
      <w:r w:rsidRPr="0057500A">
        <w:rPr>
          <w:sz w:val="20"/>
          <w:szCs w:val="20"/>
          <w:highlight w:val="white"/>
        </w:rPr>
        <w:t xml:space="preserve">nything which is display or digital will always be billed the month after as the reports from Google etc don't come until the month </w:t>
      </w:r>
      <w:r w:rsidR="00246D1C">
        <w:rPr>
          <w:sz w:val="20"/>
          <w:szCs w:val="20"/>
          <w:highlight w:val="white"/>
          <w:lang w:val="en-GB"/>
        </w:rPr>
        <w:t>and will be based on actuals and so need to be reconciled on the spend to ensure correct amounts are recharged.</w:t>
      </w:r>
    </w:p>
    <w:p w14:paraId="41D7D892" w14:textId="2A82DEC0" w:rsidR="00DA51F7" w:rsidRPr="00DA51F7" w:rsidRDefault="00DA51F7">
      <w:pPr>
        <w:rPr>
          <w:sz w:val="20"/>
          <w:szCs w:val="20"/>
          <w:highlight w:val="white"/>
          <w:u w:val="single"/>
          <w:lang w:val="en-GB"/>
        </w:rPr>
      </w:pPr>
      <w:r w:rsidRPr="00DA51F7">
        <w:rPr>
          <w:sz w:val="20"/>
          <w:szCs w:val="20"/>
          <w:highlight w:val="white"/>
          <w:u w:val="single"/>
          <w:lang w:val="en-GB"/>
        </w:rPr>
        <w:t>Billing timetable</w:t>
      </w:r>
    </w:p>
    <w:p w14:paraId="0F78B621" w14:textId="75882B0E" w:rsidR="0057500A" w:rsidRDefault="0057500A">
      <w:pPr>
        <w:rPr>
          <w:sz w:val="20"/>
          <w:szCs w:val="20"/>
          <w:highlight w:val="white"/>
          <w:lang w:val="en-GB"/>
        </w:rPr>
      </w:pPr>
      <w:r>
        <w:rPr>
          <w:sz w:val="20"/>
          <w:szCs w:val="20"/>
          <w:highlight w:val="white"/>
          <w:lang w:val="en-GB"/>
        </w:rPr>
        <w:t>Fe</w:t>
      </w:r>
      <w:r w:rsidR="000C3CAA">
        <w:rPr>
          <w:sz w:val="20"/>
          <w:szCs w:val="20"/>
          <w:highlight w:val="white"/>
          <w:lang w:val="en-GB"/>
        </w:rPr>
        <w:t>e</w:t>
      </w:r>
      <w:r>
        <w:rPr>
          <w:sz w:val="20"/>
          <w:szCs w:val="20"/>
          <w:highlight w:val="white"/>
          <w:lang w:val="en-GB"/>
        </w:rPr>
        <w:t>s – by the 3</w:t>
      </w:r>
      <w:r w:rsidRPr="0057500A">
        <w:rPr>
          <w:sz w:val="20"/>
          <w:szCs w:val="20"/>
          <w:highlight w:val="white"/>
          <w:vertAlign w:val="superscript"/>
          <w:lang w:val="en-GB"/>
        </w:rPr>
        <w:t>rd</w:t>
      </w:r>
      <w:r>
        <w:rPr>
          <w:sz w:val="20"/>
          <w:szCs w:val="20"/>
          <w:highlight w:val="white"/>
          <w:lang w:val="en-GB"/>
        </w:rPr>
        <w:t xml:space="preserve"> of the month</w:t>
      </w:r>
    </w:p>
    <w:p w14:paraId="3DDE1EE3" w14:textId="77777777" w:rsidR="0057500A" w:rsidRDefault="0057500A">
      <w:pPr>
        <w:rPr>
          <w:sz w:val="20"/>
          <w:szCs w:val="20"/>
          <w:highlight w:val="white"/>
          <w:lang w:val="en-GB"/>
        </w:rPr>
      </w:pPr>
      <w:r>
        <w:rPr>
          <w:sz w:val="20"/>
          <w:szCs w:val="20"/>
          <w:highlight w:val="white"/>
          <w:lang w:val="en-GB"/>
        </w:rPr>
        <w:t>TV and catch up for prior month – by the 10</w:t>
      </w:r>
      <w:r w:rsidRPr="0057500A">
        <w:rPr>
          <w:sz w:val="20"/>
          <w:szCs w:val="20"/>
          <w:highlight w:val="white"/>
          <w:vertAlign w:val="superscript"/>
          <w:lang w:val="en-GB"/>
        </w:rPr>
        <w:t>th</w:t>
      </w:r>
    </w:p>
    <w:p w14:paraId="0482674B" w14:textId="2C0B2D1A" w:rsidR="000C3CAA" w:rsidRDefault="0057500A">
      <w:pPr>
        <w:rPr>
          <w:sz w:val="20"/>
          <w:szCs w:val="20"/>
          <w:highlight w:val="white"/>
          <w:lang w:val="en-GB"/>
        </w:rPr>
      </w:pPr>
      <w:r>
        <w:rPr>
          <w:sz w:val="20"/>
          <w:szCs w:val="20"/>
          <w:highlight w:val="white"/>
          <w:lang w:val="en-GB"/>
        </w:rPr>
        <w:t>Digital – by the 1</w:t>
      </w:r>
      <w:r w:rsidR="000C3CAA">
        <w:rPr>
          <w:sz w:val="20"/>
          <w:szCs w:val="20"/>
          <w:highlight w:val="white"/>
          <w:lang w:val="en-GB"/>
        </w:rPr>
        <w:t>6</w:t>
      </w:r>
      <w:r w:rsidRPr="0057500A">
        <w:rPr>
          <w:sz w:val="20"/>
          <w:szCs w:val="20"/>
          <w:highlight w:val="white"/>
          <w:vertAlign w:val="superscript"/>
          <w:lang w:val="en-GB"/>
        </w:rPr>
        <w:t>th</w:t>
      </w:r>
      <w:r>
        <w:rPr>
          <w:sz w:val="20"/>
          <w:szCs w:val="20"/>
          <w:highlight w:val="white"/>
          <w:lang w:val="en-GB"/>
        </w:rPr>
        <w:t xml:space="preserve"> (this will be prior month</w:t>
      </w:r>
      <w:r w:rsidR="000C3CAA">
        <w:rPr>
          <w:sz w:val="20"/>
          <w:szCs w:val="20"/>
          <w:highlight w:val="white"/>
          <w:lang w:val="en-GB"/>
        </w:rPr>
        <w:t>)</w:t>
      </w:r>
    </w:p>
    <w:p w14:paraId="43CDF78A" w14:textId="18375784" w:rsidR="000C3CAA" w:rsidRDefault="000C3CAA">
      <w:pPr>
        <w:rPr>
          <w:sz w:val="20"/>
          <w:szCs w:val="20"/>
          <w:highlight w:val="white"/>
          <w:lang w:val="en-GB"/>
        </w:rPr>
      </w:pPr>
      <w:r>
        <w:rPr>
          <w:sz w:val="20"/>
          <w:szCs w:val="20"/>
          <w:highlight w:val="white"/>
          <w:lang w:val="en-GB"/>
        </w:rPr>
        <w:t xml:space="preserve">All other </w:t>
      </w:r>
      <w:r w:rsidR="00246D1C">
        <w:rPr>
          <w:sz w:val="20"/>
          <w:szCs w:val="20"/>
          <w:highlight w:val="white"/>
          <w:lang w:val="en-GB"/>
        </w:rPr>
        <w:t>activity</w:t>
      </w:r>
      <w:r>
        <w:rPr>
          <w:sz w:val="20"/>
          <w:szCs w:val="20"/>
          <w:highlight w:val="white"/>
          <w:lang w:val="en-GB"/>
        </w:rPr>
        <w:t xml:space="preserve"> – </w:t>
      </w:r>
      <w:r w:rsidR="00246D1C">
        <w:rPr>
          <w:sz w:val="20"/>
          <w:szCs w:val="20"/>
          <w:highlight w:val="white"/>
          <w:lang w:val="en-GB"/>
        </w:rPr>
        <w:t>by the 26</w:t>
      </w:r>
      <w:r w:rsidR="00246D1C" w:rsidRPr="00246D1C">
        <w:rPr>
          <w:sz w:val="20"/>
          <w:szCs w:val="20"/>
          <w:highlight w:val="white"/>
          <w:vertAlign w:val="superscript"/>
          <w:lang w:val="en-GB"/>
        </w:rPr>
        <w:t>th</w:t>
      </w:r>
    </w:p>
    <w:p w14:paraId="1E253274" w14:textId="001CA150" w:rsidR="00246D1C" w:rsidRDefault="00246D1C">
      <w:pPr>
        <w:rPr>
          <w:sz w:val="20"/>
          <w:szCs w:val="20"/>
          <w:highlight w:val="white"/>
          <w:lang w:val="en-GB"/>
        </w:rPr>
      </w:pPr>
      <w:r>
        <w:rPr>
          <w:sz w:val="20"/>
          <w:szCs w:val="20"/>
          <w:highlight w:val="white"/>
          <w:lang w:val="en-GB"/>
        </w:rPr>
        <w:t>(these dates may be subject to change as they are controlled at a Group level)</w:t>
      </w:r>
    </w:p>
    <w:p w14:paraId="0000000D" w14:textId="77777777" w:rsidR="00F272C8" w:rsidRPr="0057500A" w:rsidRDefault="00F272C8">
      <w:pPr>
        <w:rPr>
          <w:sz w:val="20"/>
          <w:szCs w:val="20"/>
          <w:highlight w:val="white"/>
        </w:rPr>
      </w:pPr>
    </w:p>
    <w:p w14:paraId="0000000E" w14:textId="77777777" w:rsidR="00F272C8" w:rsidRPr="00DA51F7" w:rsidRDefault="00B75EF7">
      <w:pPr>
        <w:rPr>
          <w:b/>
          <w:bCs/>
          <w:sz w:val="20"/>
          <w:szCs w:val="20"/>
          <w:highlight w:val="white"/>
          <w:u w:val="single"/>
        </w:rPr>
      </w:pPr>
      <w:r w:rsidRPr="00DA51F7">
        <w:rPr>
          <w:b/>
          <w:bCs/>
          <w:sz w:val="20"/>
          <w:szCs w:val="20"/>
          <w:highlight w:val="white"/>
          <w:u w:val="single"/>
        </w:rPr>
        <w:t>Why is my billing late?</w:t>
      </w:r>
    </w:p>
    <w:p w14:paraId="0000000F" w14:textId="77777777" w:rsidR="00F272C8" w:rsidRPr="00DA51F7" w:rsidRDefault="00F272C8">
      <w:pPr>
        <w:rPr>
          <w:b/>
          <w:bCs/>
          <w:sz w:val="20"/>
          <w:szCs w:val="20"/>
          <w:highlight w:val="white"/>
        </w:rPr>
      </w:pPr>
    </w:p>
    <w:p w14:paraId="00000010" w14:textId="570CD0BA" w:rsidR="00F272C8" w:rsidRPr="00DA51F7" w:rsidRDefault="00B75EF7">
      <w:pPr>
        <w:rPr>
          <w:sz w:val="20"/>
          <w:szCs w:val="20"/>
          <w:highlight w:val="white"/>
          <w:lang w:val="en-GB"/>
        </w:rPr>
      </w:pPr>
      <w:r w:rsidRPr="0057500A">
        <w:rPr>
          <w:sz w:val="20"/>
          <w:szCs w:val="20"/>
          <w:highlight w:val="white"/>
        </w:rPr>
        <w:t xml:space="preserve">It may be billed late due to </w:t>
      </w:r>
      <w:r w:rsidR="00DA51F7">
        <w:rPr>
          <w:sz w:val="20"/>
          <w:szCs w:val="20"/>
          <w:highlight w:val="white"/>
          <w:lang w:val="en-GB"/>
        </w:rPr>
        <w:t>the PO being sent after the activity has taken place</w:t>
      </w:r>
      <w:r w:rsidRPr="0057500A">
        <w:rPr>
          <w:sz w:val="20"/>
          <w:szCs w:val="20"/>
          <w:highlight w:val="white"/>
        </w:rPr>
        <w:t>, or late bookings if something</w:t>
      </w:r>
      <w:r w:rsidRPr="0057500A">
        <w:rPr>
          <w:sz w:val="20"/>
          <w:szCs w:val="20"/>
          <w:highlight w:val="white"/>
        </w:rPr>
        <w:t xml:space="preserve"> is missed off the system/ media plan, or if a booking is changed last minute. Ad serving media companies can cause big delays in billing also</w:t>
      </w:r>
      <w:r w:rsidR="00DA51F7">
        <w:rPr>
          <w:sz w:val="20"/>
          <w:szCs w:val="20"/>
          <w:highlight w:val="white"/>
          <w:lang w:val="en-GB"/>
        </w:rPr>
        <w:t xml:space="preserve"> as it can take several months for the actuals to be communicated to </w:t>
      </w:r>
      <w:proofErr w:type="spellStart"/>
      <w:r w:rsidR="00DA51F7">
        <w:rPr>
          <w:sz w:val="20"/>
          <w:szCs w:val="20"/>
          <w:highlight w:val="white"/>
          <w:lang w:val="en-GB"/>
        </w:rPr>
        <w:t>OmniGov</w:t>
      </w:r>
      <w:proofErr w:type="spellEnd"/>
      <w:r w:rsidR="00DA51F7">
        <w:rPr>
          <w:sz w:val="20"/>
          <w:szCs w:val="20"/>
          <w:highlight w:val="white"/>
          <w:lang w:val="en-GB"/>
        </w:rPr>
        <w:t>.</w:t>
      </w:r>
    </w:p>
    <w:p w14:paraId="00000011" w14:textId="77777777" w:rsidR="00F272C8" w:rsidRPr="0057500A" w:rsidRDefault="00F272C8">
      <w:pPr>
        <w:rPr>
          <w:sz w:val="20"/>
          <w:szCs w:val="20"/>
          <w:highlight w:val="white"/>
        </w:rPr>
      </w:pPr>
    </w:p>
    <w:p w14:paraId="00000012" w14:textId="4C6B3609" w:rsidR="00F272C8" w:rsidRPr="00246D1C" w:rsidRDefault="00B75EF7">
      <w:pPr>
        <w:rPr>
          <w:sz w:val="20"/>
          <w:szCs w:val="20"/>
          <w:highlight w:val="white"/>
          <w:lang w:val="en-GB"/>
        </w:rPr>
      </w:pPr>
      <w:r w:rsidRPr="0057500A">
        <w:rPr>
          <w:sz w:val="20"/>
          <w:szCs w:val="20"/>
          <w:highlight w:val="white"/>
        </w:rPr>
        <w:t xml:space="preserve">If you have concerns over late media invoices please contact </w:t>
      </w:r>
      <w:r w:rsidR="00246D1C">
        <w:rPr>
          <w:sz w:val="20"/>
          <w:szCs w:val="20"/>
          <w:highlight w:val="white"/>
          <w:lang w:val="en-GB"/>
        </w:rPr>
        <w:t xml:space="preserve">Danny - </w:t>
      </w:r>
      <w:hyperlink r:id="rId4" w:history="1">
        <w:r w:rsidR="00246D1C" w:rsidRPr="008A06EF">
          <w:rPr>
            <w:rStyle w:val="Hyperlink"/>
            <w:sz w:val="20"/>
            <w:szCs w:val="20"/>
            <w:highlight w:val="white"/>
            <w:lang w:val="en-GB"/>
          </w:rPr>
          <w:t>DCheung-Hibbert@manninggottliebomd.com</w:t>
        </w:r>
      </w:hyperlink>
      <w:r w:rsidR="00246D1C">
        <w:rPr>
          <w:sz w:val="20"/>
          <w:szCs w:val="20"/>
          <w:highlight w:val="white"/>
          <w:lang w:val="en-GB"/>
        </w:rPr>
        <w:t xml:space="preserve"> or Weronika – </w:t>
      </w:r>
      <w:hyperlink r:id="rId5" w:history="1">
        <w:r w:rsidR="00246D1C" w:rsidRPr="008A06EF">
          <w:rPr>
            <w:rStyle w:val="Hyperlink"/>
            <w:sz w:val="20"/>
            <w:szCs w:val="20"/>
            <w:highlight w:val="white"/>
            <w:lang w:val="en-GB"/>
          </w:rPr>
          <w:t>Wmarcinek@manninggottliebomd.com</w:t>
        </w:r>
      </w:hyperlink>
      <w:r w:rsidR="00246D1C">
        <w:rPr>
          <w:sz w:val="20"/>
          <w:szCs w:val="20"/>
          <w:highlight w:val="white"/>
          <w:lang w:val="en-GB"/>
        </w:rPr>
        <w:t xml:space="preserve"> </w:t>
      </w:r>
    </w:p>
    <w:p w14:paraId="00000014" w14:textId="77777777" w:rsidR="00F272C8" w:rsidRPr="0057500A" w:rsidRDefault="00F272C8">
      <w:pPr>
        <w:rPr>
          <w:sz w:val="20"/>
          <w:szCs w:val="20"/>
          <w:highlight w:val="white"/>
          <w:u w:val="single"/>
        </w:rPr>
      </w:pPr>
    </w:p>
    <w:p w14:paraId="00000015" w14:textId="01DFE94C" w:rsidR="00F272C8" w:rsidRPr="00DA51F7" w:rsidRDefault="00B75EF7">
      <w:pPr>
        <w:rPr>
          <w:b/>
          <w:bCs/>
          <w:sz w:val="20"/>
          <w:szCs w:val="20"/>
          <w:highlight w:val="white"/>
          <w:u w:val="single"/>
        </w:rPr>
      </w:pPr>
      <w:r w:rsidRPr="00DA51F7">
        <w:rPr>
          <w:b/>
          <w:bCs/>
          <w:sz w:val="20"/>
          <w:szCs w:val="20"/>
          <w:highlight w:val="white"/>
          <w:u w:val="single"/>
        </w:rPr>
        <w:t xml:space="preserve">Can you separate the ASBOF &amp; BASBOF </w:t>
      </w:r>
      <w:r w:rsidR="00DA51F7">
        <w:rPr>
          <w:b/>
          <w:bCs/>
          <w:sz w:val="20"/>
          <w:szCs w:val="20"/>
          <w:highlight w:val="white"/>
          <w:u w:val="single"/>
          <w:lang w:val="en-GB"/>
        </w:rPr>
        <w:t>p</w:t>
      </w:r>
      <w:r w:rsidRPr="00DA51F7">
        <w:rPr>
          <w:b/>
          <w:bCs/>
          <w:sz w:val="20"/>
          <w:szCs w:val="20"/>
          <w:highlight w:val="white"/>
          <w:u w:val="single"/>
        </w:rPr>
        <w:t>ayment from my campaign bill?</w:t>
      </w:r>
    </w:p>
    <w:p w14:paraId="00000016" w14:textId="77777777" w:rsidR="00F272C8" w:rsidRPr="00DA51F7" w:rsidRDefault="00F272C8">
      <w:pPr>
        <w:rPr>
          <w:b/>
          <w:bCs/>
          <w:sz w:val="20"/>
          <w:szCs w:val="20"/>
          <w:highlight w:val="white"/>
        </w:rPr>
      </w:pPr>
    </w:p>
    <w:p w14:paraId="0F324097" w14:textId="77777777" w:rsidR="00246D1C" w:rsidRDefault="00B75EF7">
      <w:pPr>
        <w:rPr>
          <w:sz w:val="20"/>
          <w:szCs w:val="20"/>
          <w:highlight w:val="white"/>
          <w:lang w:val="en-GB"/>
        </w:rPr>
      </w:pPr>
      <w:r w:rsidRPr="0057500A">
        <w:rPr>
          <w:sz w:val="20"/>
          <w:szCs w:val="20"/>
          <w:highlight w:val="white"/>
        </w:rPr>
        <w:t>No, this is not possible from OmniGOV's systems, we cannot split it out as it's calculated from a percentage of the total cost.</w:t>
      </w:r>
      <w:r w:rsidR="00246D1C">
        <w:rPr>
          <w:sz w:val="20"/>
          <w:szCs w:val="20"/>
          <w:highlight w:val="white"/>
          <w:lang w:val="en-GB"/>
        </w:rPr>
        <w:t xml:space="preserve"> We are aware that this has caused confusion with invoicing as the VAT amount will not include VAT on the ASBOF/BASBOF element. </w:t>
      </w:r>
    </w:p>
    <w:p w14:paraId="00000017" w14:textId="12502E5E" w:rsidR="00F272C8" w:rsidRPr="00246D1C" w:rsidRDefault="00246D1C">
      <w:pPr>
        <w:rPr>
          <w:sz w:val="20"/>
          <w:szCs w:val="20"/>
          <w:highlight w:val="white"/>
          <w:lang w:val="en-GB"/>
        </w:rPr>
      </w:pPr>
      <w:r>
        <w:rPr>
          <w:sz w:val="20"/>
          <w:szCs w:val="20"/>
          <w:highlight w:val="white"/>
          <w:lang w:val="en-GB"/>
        </w:rPr>
        <w:t>VAT should also not be included on the PO value.</w:t>
      </w:r>
    </w:p>
    <w:p w14:paraId="00000018" w14:textId="77777777" w:rsidR="00F272C8" w:rsidRPr="0057500A" w:rsidRDefault="00F272C8">
      <w:pPr>
        <w:rPr>
          <w:sz w:val="20"/>
          <w:szCs w:val="20"/>
          <w:highlight w:val="white"/>
        </w:rPr>
      </w:pPr>
    </w:p>
    <w:p w14:paraId="00000019" w14:textId="77777777" w:rsidR="00F272C8" w:rsidRPr="00DA51F7" w:rsidRDefault="00B75EF7">
      <w:pPr>
        <w:rPr>
          <w:b/>
          <w:bCs/>
          <w:sz w:val="20"/>
          <w:szCs w:val="20"/>
          <w:highlight w:val="white"/>
          <w:u w:val="single"/>
        </w:rPr>
      </w:pPr>
      <w:r w:rsidRPr="00DA51F7">
        <w:rPr>
          <w:b/>
          <w:bCs/>
          <w:sz w:val="20"/>
          <w:szCs w:val="20"/>
          <w:highlight w:val="white"/>
          <w:u w:val="single"/>
        </w:rPr>
        <w:t>Why am I being charged VAT multiple times for international spend?</w:t>
      </w:r>
    </w:p>
    <w:p w14:paraId="0000001A" w14:textId="77777777" w:rsidR="00F272C8" w:rsidRPr="0057500A" w:rsidRDefault="00F272C8">
      <w:pPr>
        <w:rPr>
          <w:sz w:val="20"/>
          <w:szCs w:val="20"/>
          <w:highlight w:val="white"/>
        </w:rPr>
      </w:pPr>
    </w:p>
    <w:p w14:paraId="0000001B" w14:textId="582FA2E5" w:rsidR="00F272C8" w:rsidRPr="0057500A" w:rsidRDefault="00B75EF7">
      <w:pPr>
        <w:rPr>
          <w:sz w:val="20"/>
          <w:szCs w:val="20"/>
          <w:highlight w:val="white"/>
        </w:rPr>
      </w:pPr>
      <w:r w:rsidRPr="0057500A">
        <w:rPr>
          <w:sz w:val="20"/>
          <w:szCs w:val="20"/>
          <w:highlight w:val="white"/>
        </w:rPr>
        <w:t>China, Russia</w:t>
      </w:r>
      <w:r w:rsidR="00246D1C">
        <w:rPr>
          <w:sz w:val="20"/>
          <w:szCs w:val="20"/>
          <w:highlight w:val="white"/>
          <w:lang w:val="en-GB"/>
        </w:rPr>
        <w:t xml:space="preserve"> and other markets</w:t>
      </w:r>
      <w:r w:rsidRPr="0057500A">
        <w:rPr>
          <w:sz w:val="20"/>
          <w:szCs w:val="20"/>
          <w:highlight w:val="white"/>
        </w:rPr>
        <w:t xml:space="preserve"> charge a local tax, a</w:t>
      </w:r>
      <w:proofErr w:type="spellStart"/>
      <w:r w:rsidR="00246D1C">
        <w:rPr>
          <w:sz w:val="20"/>
          <w:szCs w:val="20"/>
          <w:highlight w:val="white"/>
          <w:lang w:val="en-GB"/>
        </w:rPr>
        <w:t>nd</w:t>
      </w:r>
      <w:proofErr w:type="spellEnd"/>
      <w:r w:rsidR="00246D1C">
        <w:rPr>
          <w:sz w:val="20"/>
          <w:szCs w:val="20"/>
          <w:highlight w:val="white"/>
          <w:lang w:val="en-GB"/>
        </w:rPr>
        <w:t xml:space="preserve"> anything that goes through the UK has to be charged with</w:t>
      </w:r>
      <w:r w:rsidRPr="0057500A">
        <w:rPr>
          <w:sz w:val="20"/>
          <w:szCs w:val="20"/>
          <w:highlight w:val="white"/>
        </w:rPr>
        <w:t xml:space="preserve"> </w:t>
      </w:r>
      <w:r w:rsidRPr="0057500A">
        <w:rPr>
          <w:sz w:val="20"/>
          <w:szCs w:val="20"/>
          <w:highlight w:val="white"/>
        </w:rPr>
        <w:t>VAT</w:t>
      </w:r>
      <w:r w:rsidR="00246D1C">
        <w:rPr>
          <w:sz w:val="20"/>
          <w:szCs w:val="20"/>
          <w:highlight w:val="white"/>
          <w:lang w:val="en-GB"/>
        </w:rPr>
        <w:t>,</w:t>
      </w:r>
      <w:r w:rsidRPr="0057500A">
        <w:rPr>
          <w:sz w:val="20"/>
          <w:szCs w:val="20"/>
          <w:highlight w:val="white"/>
        </w:rPr>
        <w:t xml:space="preserve"> this causes double tax payments for</w:t>
      </w:r>
      <w:r w:rsidRPr="0057500A">
        <w:rPr>
          <w:sz w:val="20"/>
          <w:szCs w:val="20"/>
          <w:highlight w:val="white"/>
        </w:rPr>
        <w:t xml:space="preserve"> international spend. This is a process which we are working on streamlining.</w:t>
      </w:r>
    </w:p>
    <w:p w14:paraId="7130CD87" w14:textId="7849A88E" w:rsidR="006230C7" w:rsidRPr="0057500A" w:rsidRDefault="006230C7">
      <w:pPr>
        <w:rPr>
          <w:sz w:val="20"/>
          <w:szCs w:val="20"/>
          <w:highlight w:val="white"/>
        </w:rPr>
      </w:pPr>
    </w:p>
    <w:p w14:paraId="3CD43ACF" w14:textId="651A19EB" w:rsidR="006230C7" w:rsidRPr="00DA51F7" w:rsidRDefault="006230C7">
      <w:pPr>
        <w:rPr>
          <w:b/>
          <w:bCs/>
          <w:sz w:val="20"/>
          <w:szCs w:val="20"/>
          <w:highlight w:val="white"/>
          <w:u w:val="single"/>
          <w:lang w:val="en-GB"/>
        </w:rPr>
      </w:pPr>
      <w:r w:rsidRPr="00DA51F7">
        <w:rPr>
          <w:b/>
          <w:bCs/>
          <w:sz w:val="20"/>
          <w:szCs w:val="20"/>
          <w:highlight w:val="white"/>
          <w:u w:val="single"/>
          <w:lang w:val="en-GB"/>
        </w:rPr>
        <w:t>Why am I still seeing items on a statement that I have paid?</w:t>
      </w:r>
    </w:p>
    <w:p w14:paraId="35613F76" w14:textId="6ECC6BB4" w:rsidR="006230C7" w:rsidRPr="0057500A" w:rsidRDefault="006230C7">
      <w:pPr>
        <w:rPr>
          <w:sz w:val="20"/>
          <w:szCs w:val="20"/>
          <w:highlight w:val="white"/>
          <w:u w:val="single"/>
          <w:lang w:val="en-GB"/>
        </w:rPr>
      </w:pPr>
    </w:p>
    <w:p w14:paraId="334CD06D" w14:textId="0605BAAA" w:rsidR="006230C7" w:rsidRPr="0057500A" w:rsidRDefault="006230C7">
      <w:pPr>
        <w:rPr>
          <w:sz w:val="20"/>
          <w:szCs w:val="20"/>
          <w:highlight w:val="white"/>
          <w:lang w:val="en-GB"/>
        </w:rPr>
      </w:pPr>
      <w:r w:rsidRPr="0057500A">
        <w:rPr>
          <w:sz w:val="20"/>
          <w:szCs w:val="20"/>
          <w:highlight w:val="white"/>
          <w:lang w:val="en-GB"/>
        </w:rPr>
        <w:t xml:space="preserve">All payments that come into </w:t>
      </w:r>
      <w:proofErr w:type="spellStart"/>
      <w:r w:rsidRPr="0057500A">
        <w:rPr>
          <w:sz w:val="20"/>
          <w:szCs w:val="20"/>
          <w:highlight w:val="white"/>
          <w:lang w:val="en-GB"/>
        </w:rPr>
        <w:t>OmniGov</w:t>
      </w:r>
      <w:proofErr w:type="spellEnd"/>
      <w:r w:rsidRPr="0057500A">
        <w:rPr>
          <w:sz w:val="20"/>
          <w:szCs w:val="20"/>
          <w:highlight w:val="white"/>
          <w:lang w:val="en-GB"/>
        </w:rPr>
        <w:t xml:space="preserve"> are allocated by a central team. Sometimes remittances are not received by this team, so they will leave the cash on account until we get the relevant information. Can you please ensure that all remittances are se</w:t>
      </w:r>
      <w:r w:rsidR="00DA51F7">
        <w:rPr>
          <w:sz w:val="20"/>
          <w:szCs w:val="20"/>
          <w:highlight w:val="white"/>
          <w:lang w:val="en-GB"/>
        </w:rPr>
        <w:t>n</w:t>
      </w:r>
      <w:r w:rsidRPr="0057500A">
        <w:rPr>
          <w:sz w:val="20"/>
          <w:szCs w:val="20"/>
          <w:highlight w:val="white"/>
          <w:lang w:val="en-GB"/>
        </w:rPr>
        <w:t xml:space="preserve">t to one of the following e-mail </w:t>
      </w:r>
      <w:proofErr w:type="gramStart"/>
      <w:r w:rsidRPr="0057500A">
        <w:rPr>
          <w:sz w:val="20"/>
          <w:szCs w:val="20"/>
          <w:highlight w:val="white"/>
          <w:lang w:val="en-GB"/>
        </w:rPr>
        <w:t>addresses:</w:t>
      </w:r>
      <w:proofErr w:type="gramEnd"/>
    </w:p>
    <w:p w14:paraId="6BDCA92E" w14:textId="0B534306" w:rsidR="006230C7" w:rsidRPr="0057500A" w:rsidRDefault="006230C7">
      <w:pPr>
        <w:rPr>
          <w:sz w:val="20"/>
          <w:szCs w:val="20"/>
          <w:highlight w:val="white"/>
          <w:lang w:val="en-GB"/>
        </w:rPr>
      </w:pPr>
    </w:p>
    <w:p w14:paraId="143EF3A8" w14:textId="04458403" w:rsidR="006230C7" w:rsidRPr="0057500A" w:rsidRDefault="006230C7">
      <w:pPr>
        <w:rPr>
          <w:sz w:val="20"/>
          <w:szCs w:val="20"/>
          <w:highlight w:val="white"/>
          <w:lang w:val="en-GB"/>
        </w:rPr>
      </w:pPr>
      <w:hyperlink r:id="rId6" w:history="1">
        <w:r w:rsidRPr="0057500A">
          <w:rPr>
            <w:rStyle w:val="Hyperlink"/>
            <w:sz w:val="20"/>
            <w:szCs w:val="20"/>
            <w:highlight w:val="white"/>
            <w:lang w:val="en-GB"/>
          </w:rPr>
          <w:t>OMGClientRemits@omnicommediagroup.com</w:t>
        </w:r>
      </w:hyperlink>
    </w:p>
    <w:p w14:paraId="4CB7FDAC" w14:textId="0603CCDD" w:rsidR="006230C7" w:rsidRPr="0057500A" w:rsidRDefault="006230C7">
      <w:pPr>
        <w:rPr>
          <w:sz w:val="20"/>
          <w:szCs w:val="20"/>
          <w:highlight w:val="white"/>
          <w:lang w:val="en-GB"/>
        </w:rPr>
      </w:pPr>
      <w:hyperlink r:id="rId7" w:history="1">
        <w:r w:rsidRPr="0057500A">
          <w:rPr>
            <w:rStyle w:val="Hyperlink"/>
            <w:sz w:val="20"/>
            <w:szCs w:val="20"/>
            <w:highlight w:val="white"/>
            <w:lang w:val="en-GB"/>
          </w:rPr>
          <w:t>MGOMDGovernmentBuyingFinance@mgomd.com</w:t>
        </w:r>
      </w:hyperlink>
    </w:p>
    <w:p w14:paraId="36D58F99" w14:textId="77777777" w:rsidR="006230C7" w:rsidRPr="0057500A" w:rsidRDefault="006230C7">
      <w:pPr>
        <w:rPr>
          <w:sz w:val="20"/>
          <w:szCs w:val="20"/>
          <w:highlight w:val="white"/>
          <w:lang w:val="en-GB"/>
        </w:rPr>
      </w:pPr>
    </w:p>
    <w:p w14:paraId="0000001F" w14:textId="441BA4E9" w:rsidR="00F272C8" w:rsidRPr="00DA51F7" w:rsidRDefault="006230C7">
      <w:pPr>
        <w:rPr>
          <w:b/>
          <w:bCs/>
          <w:sz w:val="20"/>
          <w:szCs w:val="20"/>
          <w:highlight w:val="white"/>
          <w:u w:val="single"/>
          <w:lang w:val="en-GB"/>
        </w:rPr>
      </w:pPr>
      <w:r w:rsidRPr="00DA51F7">
        <w:rPr>
          <w:b/>
          <w:bCs/>
          <w:sz w:val="20"/>
          <w:szCs w:val="20"/>
          <w:highlight w:val="white"/>
          <w:u w:val="single"/>
          <w:lang w:val="en-GB"/>
        </w:rPr>
        <w:t>Why am I receiving so many credit notes?</w:t>
      </w:r>
    </w:p>
    <w:p w14:paraId="1800A430" w14:textId="77777777" w:rsidR="0057500A" w:rsidRPr="0057500A" w:rsidRDefault="0057500A">
      <w:pPr>
        <w:rPr>
          <w:sz w:val="20"/>
          <w:szCs w:val="20"/>
          <w:highlight w:val="white"/>
          <w:lang w:val="en-GB"/>
        </w:rPr>
      </w:pPr>
    </w:p>
    <w:p w14:paraId="5FCC8649" w14:textId="6BA782A7" w:rsidR="007D5705" w:rsidRPr="0057500A" w:rsidRDefault="006230C7">
      <w:pPr>
        <w:rPr>
          <w:sz w:val="20"/>
          <w:szCs w:val="20"/>
          <w:highlight w:val="white"/>
          <w:lang w:val="en-GB"/>
        </w:rPr>
      </w:pPr>
      <w:r w:rsidRPr="0057500A">
        <w:rPr>
          <w:sz w:val="20"/>
          <w:szCs w:val="20"/>
          <w:highlight w:val="white"/>
          <w:lang w:val="en-GB"/>
        </w:rPr>
        <w:t>To ensure that we capture everything that may be owed in time for the Government financial year end, we may bill to plan</w:t>
      </w:r>
      <w:r w:rsidR="007D5705" w:rsidRPr="0057500A">
        <w:rPr>
          <w:sz w:val="20"/>
          <w:szCs w:val="20"/>
          <w:highlight w:val="white"/>
          <w:lang w:val="en-GB"/>
        </w:rPr>
        <w:t xml:space="preserve">. Once campaigns are reconciled to actuals, you may receive credit notes to match what activity took place. </w:t>
      </w:r>
    </w:p>
    <w:p w14:paraId="4E902575" w14:textId="144C29DF" w:rsidR="006230C7" w:rsidRPr="0057500A" w:rsidRDefault="007D5705">
      <w:pPr>
        <w:rPr>
          <w:sz w:val="20"/>
          <w:szCs w:val="20"/>
          <w:highlight w:val="white"/>
          <w:lang w:val="en-GB"/>
        </w:rPr>
      </w:pPr>
      <w:r w:rsidRPr="0057500A">
        <w:rPr>
          <w:sz w:val="20"/>
          <w:szCs w:val="20"/>
          <w:highlight w:val="white"/>
          <w:lang w:val="en-GB"/>
        </w:rPr>
        <w:t xml:space="preserve">We also had </w:t>
      </w:r>
      <w:proofErr w:type="spellStart"/>
      <w:r w:rsidRPr="0057500A">
        <w:rPr>
          <w:sz w:val="20"/>
          <w:szCs w:val="20"/>
          <w:highlight w:val="white"/>
          <w:lang w:val="en-GB"/>
        </w:rPr>
        <w:t>spend</w:t>
      </w:r>
      <w:proofErr w:type="spellEnd"/>
      <w:r w:rsidRPr="0057500A">
        <w:rPr>
          <w:sz w:val="20"/>
          <w:szCs w:val="20"/>
          <w:highlight w:val="white"/>
          <w:lang w:val="en-GB"/>
        </w:rPr>
        <w:t xml:space="preserve"> paused or cancelled due to COVID-19 so the teams have been working through campaigns to establish where credits were due.</w:t>
      </w:r>
    </w:p>
    <w:p w14:paraId="48EF0463" w14:textId="4A35A37D" w:rsidR="0057500A" w:rsidRPr="0057500A" w:rsidRDefault="0057500A">
      <w:pPr>
        <w:rPr>
          <w:sz w:val="20"/>
          <w:szCs w:val="20"/>
          <w:highlight w:val="white"/>
          <w:lang w:val="en-GB"/>
        </w:rPr>
      </w:pPr>
      <w:r w:rsidRPr="0057500A">
        <w:rPr>
          <w:sz w:val="20"/>
          <w:szCs w:val="20"/>
          <w:highlight w:val="white"/>
          <w:lang w:val="en-GB"/>
        </w:rPr>
        <w:t>These credits can be taken against future payments and we would encourage all departments to take these as soon as they can.</w:t>
      </w:r>
    </w:p>
    <w:p w14:paraId="4A287740" w14:textId="24D6CC20" w:rsidR="0057500A" w:rsidRDefault="0057500A">
      <w:pPr>
        <w:rPr>
          <w:sz w:val="20"/>
          <w:szCs w:val="20"/>
          <w:highlight w:val="white"/>
          <w:lang w:val="en-GB"/>
        </w:rPr>
      </w:pPr>
    </w:p>
    <w:p w14:paraId="5F61B337" w14:textId="5E98B28E" w:rsidR="00DA51F7" w:rsidRPr="00C5248C" w:rsidRDefault="00C5248C">
      <w:pPr>
        <w:rPr>
          <w:b/>
          <w:bCs/>
          <w:sz w:val="20"/>
          <w:szCs w:val="20"/>
          <w:highlight w:val="white"/>
          <w:u w:val="single"/>
          <w:lang w:val="en-GB"/>
        </w:rPr>
      </w:pPr>
      <w:r w:rsidRPr="00C5248C">
        <w:rPr>
          <w:b/>
          <w:bCs/>
          <w:sz w:val="20"/>
          <w:szCs w:val="20"/>
          <w:highlight w:val="white"/>
          <w:u w:val="single"/>
          <w:lang w:val="en-GB"/>
        </w:rPr>
        <w:t xml:space="preserve">Can </w:t>
      </w:r>
      <w:proofErr w:type="spellStart"/>
      <w:r w:rsidRPr="00C5248C">
        <w:rPr>
          <w:b/>
          <w:bCs/>
          <w:sz w:val="20"/>
          <w:szCs w:val="20"/>
          <w:highlight w:val="white"/>
          <w:u w:val="single"/>
          <w:lang w:val="en-GB"/>
        </w:rPr>
        <w:t>OmniGov</w:t>
      </w:r>
      <w:proofErr w:type="spellEnd"/>
      <w:r w:rsidRPr="00C5248C">
        <w:rPr>
          <w:b/>
          <w:bCs/>
          <w:sz w:val="20"/>
          <w:szCs w:val="20"/>
          <w:highlight w:val="white"/>
          <w:u w:val="single"/>
          <w:lang w:val="en-GB"/>
        </w:rPr>
        <w:t xml:space="preserve"> pay suppliers upfront for activity?</w:t>
      </w:r>
    </w:p>
    <w:p w14:paraId="2306EA4C" w14:textId="5B5730FC" w:rsidR="00C5248C" w:rsidRDefault="00C5248C">
      <w:pPr>
        <w:rPr>
          <w:sz w:val="20"/>
          <w:szCs w:val="20"/>
          <w:highlight w:val="white"/>
          <w:lang w:val="en-GB"/>
        </w:rPr>
      </w:pPr>
    </w:p>
    <w:p w14:paraId="3AFF2969" w14:textId="6B5A8B47" w:rsidR="00C5248C" w:rsidRDefault="00C5248C">
      <w:pPr>
        <w:rPr>
          <w:sz w:val="20"/>
          <w:szCs w:val="20"/>
          <w:highlight w:val="white"/>
          <w:lang w:val="en-GB"/>
        </w:rPr>
      </w:pPr>
      <w:r>
        <w:rPr>
          <w:sz w:val="20"/>
          <w:szCs w:val="20"/>
          <w:highlight w:val="white"/>
          <w:lang w:val="en-GB"/>
        </w:rPr>
        <w:t xml:space="preserve">We have had several cases of activity being agreed between clients and media owners directly and payment upfront being agreed. This is not in line with the agreed terms of the framework or in line with Omnicom’s payment terms. In some </w:t>
      </w:r>
      <w:proofErr w:type="gramStart"/>
      <w:r>
        <w:rPr>
          <w:sz w:val="20"/>
          <w:szCs w:val="20"/>
          <w:highlight w:val="white"/>
          <w:lang w:val="en-GB"/>
        </w:rPr>
        <w:t>instances</w:t>
      </w:r>
      <w:proofErr w:type="gramEnd"/>
      <w:r>
        <w:rPr>
          <w:sz w:val="20"/>
          <w:szCs w:val="20"/>
          <w:highlight w:val="white"/>
          <w:lang w:val="en-GB"/>
        </w:rPr>
        <w:t xml:space="preserve"> we may be able to facilitate this, but we will expect the client to be invoiced and pay for this activity immediately to enable us to pass this payment on.</w:t>
      </w:r>
    </w:p>
    <w:p w14:paraId="0B9E0387" w14:textId="47FA18B3" w:rsidR="00C5248C" w:rsidRDefault="00C5248C">
      <w:pPr>
        <w:rPr>
          <w:sz w:val="20"/>
          <w:szCs w:val="20"/>
          <w:highlight w:val="white"/>
          <w:lang w:val="en-GB"/>
        </w:rPr>
      </w:pPr>
    </w:p>
    <w:p w14:paraId="0EF00B5F" w14:textId="0114C2A0" w:rsidR="00A20789" w:rsidRPr="00A20789" w:rsidRDefault="00A20789">
      <w:pPr>
        <w:rPr>
          <w:b/>
          <w:bCs/>
          <w:sz w:val="20"/>
          <w:szCs w:val="20"/>
          <w:highlight w:val="white"/>
          <w:u w:val="single"/>
          <w:lang w:val="en-GB"/>
        </w:rPr>
      </w:pPr>
      <w:r w:rsidRPr="00A20789">
        <w:rPr>
          <w:b/>
          <w:bCs/>
          <w:sz w:val="20"/>
          <w:szCs w:val="20"/>
          <w:highlight w:val="white"/>
          <w:u w:val="single"/>
          <w:lang w:val="en-GB"/>
        </w:rPr>
        <w:t>Our invoices don’t seem to reach the correct department</w:t>
      </w:r>
      <w:r>
        <w:rPr>
          <w:b/>
          <w:bCs/>
          <w:sz w:val="20"/>
          <w:szCs w:val="20"/>
          <w:highlight w:val="white"/>
          <w:u w:val="single"/>
          <w:lang w:val="en-GB"/>
        </w:rPr>
        <w:t>/team?</w:t>
      </w:r>
    </w:p>
    <w:p w14:paraId="69B0CA8F" w14:textId="3E57C3CA" w:rsidR="00A20789" w:rsidRDefault="00A20789">
      <w:pPr>
        <w:rPr>
          <w:sz w:val="20"/>
          <w:szCs w:val="20"/>
          <w:highlight w:val="white"/>
          <w:lang w:val="en-GB"/>
        </w:rPr>
      </w:pPr>
    </w:p>
    <w:p w14:paraId="47FEEF2E" w14:textId="2B40AFCD" w:rsidR="00A20789" w:rsidRDefault="00A20789">
      <w:pPr>
        <w:rPr>
          <w:sz w:val="20"/>
          <w:szCs w:val="20"/>
          <w:highlight w:val="white"/>
          <w:lang w:val="en-GB"/>
        </w:rPr>
      </w:pPr>
      <w:r>
        <w:rPr>
          <w:sz w:val="20"/>
          <w:szCs w:val="20"/>
          <w:highlight w:val="white"/>
          <w:lang w:val="en-GB"/>
        </w:rPr>
        <w:t>We are aware that clients have different teams dealing with different campaigns/</w:t>
      </w:r>
      <w:proofErr w:type="gramStart"/>
      <w:r>
        <w:rPr>
          <w:sz w:val="20"/>
          <w:szCs w:val="20"/>
          <w:highlight w:val="white"/>
          <w:lang w:val="en-GB"/>
        </w:rPr>
        <w:t>activity</w:t>
      </w:r>
      <w:proofErr w:type="gramEnd"/>
      <w:r w:rsidR="00C46DA4">
        <w:rPr>
          <w:sz w:val="20"/>
          <w:szCs w:val="20"/>
          <w:highlight w:val="white"/>
          <w:lang w:val="en-GB"/>
        </w:rPr>
        <w:t xml:space="preserve"> but our invoices are sent from a central team to an e-mail address that may have been set up at the start of the contract. If you have additional names or teams that need to receive invoices, please contact one of the Op’s specialists and we can arrange for additional names to be added to any distribution </w:t>
      </w:r>
      <w:proofErr w:type="gramStart"/>
      <w:r w:rsidR="00C46DA4">
        <w:rPr>
          <w:sz w:val="20"/>
          <w:szCs w:val="20"/>
          <w:highlight w:val="white"/>
          <w:lang w:val="en-GB"/>
        </w:rPr>
        <w:t>lists</w:t>
      </w:r>
      <w:r w:rsidR="003D57A4">
        <w:rPr>
          <w:sz w:val="20"/>
          <w:szCs w:val="20"/>
          <w:highlight w:val="white"/>
          <w:lang w:val="en-GB"/>
        </w:rPr>
        <w:t>, or</w:t>
      </w:r>
      <w:proofErr w:type="gramEnd"/>
      <w:r w:rsidR="003D57A4">
        <w:rPr>
          <w:sz w:val="20"/>
          <w:szCs w:val="20"/>
          <w:highlight w:val="white"/>
          <w:lang w:val="en-GB"/>
        </w:rPr>
        <w:t xml:space="preserve"> look at any additional requirements you may have.</w:t>
      </w:r>
    </w:p>
    <w:p w14:paraId="1DED107A" w14:textId="77777777" w:rsidR="00A20789" w:rsidRDefault="00A20789">
      <w:pPr>
        <w:rPr>
          <w:sz w:val="20"/>
          <w:szCs w:val="20"/>
          <w:highlight w:val="white"/>
          <w:lang w:val="en-GB"/>
        </w:rPr>
      </w:pPr>
    </w:p>
    <w:p w14:paraId="056EC274" w14:textId="77777777" w:rsidR="00A20789" w:rsidRPr="00B75EF7" w:rsidRDefault="00A20789">
      <w:pPr>
        <w:rPr>
          <w:b/>
          <w:bCs/>
          <w:sz w:val="20"/>
          <w:szCs w:val="20"/>
          <w:highlight w:val="white"/>
          <w:lang w:val="en-GB"/>
        </w:rPr>
      </w:pPr>
    </w:p>
    <w:p w14:paraId="60926FE1" w14:textId="2A9DDE88" w:rsidR="00C5248C" w:rsidRPr="00B75EF7" w:rsidRDefault="00A20789">
      <w:pPr>
        <w:rPr>
          <w:b/>
          <w:bCs/>
          <w:sz w:val="20"/>
          <w:szCs w:val="20"/>
          <w:highlight w:val="white"/>
          <w:lang w:val="en-GB"/>
        </w:rPr>
      </w:pPr>
      <w:r w:rsidRPr="00B75EF7">
        <w:rPr>
          <w:b/>
          <w:bCs/>
          <w:sz w:val="20"/>
          <w:szCs w:val="20"/>
          <w:highlight w:val="white"/>
          <w:lang w:val="en-GB"/>
        </w:rPr>
        <w:t xml:space="preserve">If you have any further questions or queries you would like to discuss with </w:t>
      </w:r>
      <w:proofErr w:type="spellStart"/>
      <w:r w:rsidRPr="00B75EF7">
        <w:rPr>
          <w:b/>
          <w:bCs/>
          <w:sz w:val="20"/>
          <w:szCs w:val="20"/>
          <w:highlight w:val="white"/>
          <w:lang w:val="en-GB"/>
        </w:rPr>
        <w:t>OmniGov</w:t>
      </w:r>
      <w:proofErr w:type="spellEnd"/>
      <w:r w:rsidRPr="00B75EF7">
        <w:rPr>
          <w:b/>
          <w:bCs/>
          <w:sz w:val="20"/>
          <w:szCs w:val="20"/>
          <w:highlight w:val="white"/>
          <w:lang w:val="en-GB"/>
        </w:rPr>
        <w:t xml:space="preserve"> in relation to your account then please contact one of the </w:t>
      </w:r>
      <w:proofErr w:type="gramStart"/>
      <w:r w:rsidRPr="00B75EF7">
        <w:rPr>
          <w:b/>
          <w:bCs/>
          <w:sz w:val="20"/>
          <w:szCs w:val="20"/>
          <w:highlight w:val="white"/>
          <w:lang w:val="en-GB"/>
        </w:rPr>
        <w:t>following :</w:t>
      </w:r>
      <w:bookmarkStart w:id="1" w:name="_GoBack"/>
      <w:bookmarkEnd w:id="1"/>
      <w:proofErr w:type="gramEnd"/>
    </w:p>
    <w:p w14:paraId="4FCAEFD6" w14:textId="375FB73D" w:rsidR="00A20789" w:rsidRDefault="00A20789">
      <w:pPr>
        <w:rPr>
          <w:sz w:val="20"/>
          <w:szCs w:val="20"/>
          <w:highlight w:val="white"/>
          <w:lang w:val="en-GB"/>
        </w:rPr>
      </w:pPr>
    </w:p>
    <w:p w14:paraId="0E929A6D" w14:textId="418B2025" w:rsidR="00A20789" w:rsidRDefault="00A20789">
      <w:pPr>
        <w:rPr>
          <w:sz w:val="20"/>
          <w:szCs w:val="20"/>
          <w:highlight w:val="white"/>
          <w:lang w:val="en-GB"/>
        </w:rPr>
      </w:pPr>
      <w:r>
        <w:rPr>
          <w:sz w:val="20"/>
          <w:szCs w:val="20"/>
          <w:highlight w:val="white"/>
          <w:lang w:val="en-GB"/>
        </w:rPr>
        <w:t xml:space="preserve">Danny Cheung-Hibbert – </w:t>
      </w:r>
      <w:hyperlink r:id="rId8" w:history="1">
        <w:r w:rsidRPr="008A06EF">
          <w:rPr>
            <w:rStyle w:val="Hyperlink"/>
            <w:sz w:val="20"/>
            <w:szCs w:val="20"/>
            <w:highlight w:val="white"/>
            <w:lang w:val="en-GB"/>
          </w:rPr>
          <w:t>DCheung-Hibbert@manninggottliebomd.com</w:t>
        </w:r>
      </w:hyperlink>
      <w:r w:rsidR="00C46DA4">
        <w:rPr>
          <w:sz w:val="20"/>
          <w:szCs w:val="20"/>
          <w:highlight w:val="white"/>
          <w:lang w:val="en-GB"/>
        </w:rPr>
        <w:t xml:space="preserve"> – Op’s specialist</w:t>
      </w:r>
    </w:p>
    <w:p w14:paraId="5C9B5B52" w14:textId="1A9933AB" w:rsidR="00A20789" w:rsidRDefault="00A20789">
      <w:pPr>
        <w:rPr>
          <w:sz w:val="20"/>
          <w:szCs w:val="20"/>
          <w:highlight w:val="white"/>
          <w:lang w:val="en-GB"/>
        </w:rPr>
      </w:pPr>
      <w:r>
        <w:rPr>
          <w:sz w:val="20"/>
          <w:szCs w:val="20"/>
          <w:highlight w:val="white"/>
          <w:lang w:val="en-GB"/>
        </w:rPr>
        <w:t xml:space="preserve">Weronika Marcinek – </w:t>
      </w:r>
      <w:hyperlink r:id="rId9" w:history="1">
        <w:r w:rsidRPr="008A06EF">
          <w:rPr>
            <w:rStyle w:val="Hyperlink"/>
            <w:sz w:val="20"/>
            <w:szCs w:val="20"/>
            <w:highlight w:val="white"/>
            <w:lang w:val="en-GB"/>
          </w:rPr>
          <w:t>Wmarcinek@manninggottliebomd.com</w:t>
        </w:r>
      </w:hyperlink>
      <w:r w:rsidR="00C46DA4">
        <w:rPr>
          <w:sz w:val="20"/>
          <w:szCs w:val="20"/>
          <w:highlight w:val="white"/>
          <w:lang w:val="en-GB"/>
        </w:rPr>
        <w:t xml:space="preserve"> – Op’s specialist</w:t>
      </w:r>
    </w:p>
    <w:p w14:paraId="3955BE94" w14:textId="6B196BBF" w:rsidR="00C46DA4" w:rsidRDefault="00C46DA4" w:rsidP="00C46DA4">
      <w:pPr>
        <w:rPr>
          <w:sz w:val="20"/>
          <w:szCs w:val="20"/>
          <w:highlight w:val="white"/>
          <w:lang w:val="en-GB"/>
        </w:rPr>
      </w:pPr>
      <w:r>
        <w:rPr>
          <w:sz w:val="20"/>
          <w:szCs w:val="20"/>
          <w:highlight w:val="white"/>
          <w:lang w:val="en-GB"/>
        </w:rPr>
        <w:t xml:space="preserve">Natalie Smith – </w:t>
      </w:r>
      <w:hyperlink r:id="rId10" w:history="1">
        <w:r w:rsidRPr="008A06EF">
          <w:rPr>
            <w:rStyle w:val="Hyperlink"/>
            <w:sz w:val="20"/>
            <w:szCs w:val="20"/>
            <w:highlight w:val="white"/>
            <w:lang w:val="en-GB"/>
          </w:rPr>
          <w:t>Natalie.smith@omd.com</w:t>
        </w:r>
      </w:hyperlink>
      <w:r>
        <w:rPr>
          <w:sz w:val="20"/>
          <w:szCs w:val="20"/>
          <w:highlight w:val="white"/>
          <w:lang w:val="en-GB"/>
        </w:rPr>
        <w:t xml:space="preserve"> – Financial Controller</w:t>
      </w:r>
    </w:p>
    <w:p w14:paraId="705DC0DA" w14:textId="77777777" w:rsidR="00A20789" w:rsidRPr="0057500A" w:rsidRDefault="00A20789">
      <w:pPr>
        <w:rPr>
          <w:sz w:val="20"/>
          <w:szCs w:val="20"/>
          <w:highlight w:val="white"/>
          <w:lang w:val="en-GB"/>
        </w:rPr>
      </w:pPr>
    </w:p>
    <w:p w14:paraId="2AEB3107" w14:textId="77777777" w:rsidR="0057500A" w:rsidRPr="0057500A" w:rsidRDefault="0057500A">
      <w:pPr>
        <w:rPr>
          <w:sz w:val="20"/>
          <w:szCs w:val="20"/>
          <w:highlight w:val="white"/>
          <w:lang w:val="en-GB"/>
        </w:rPr>
      </w:pPr>
    </w:p>
    <w:p w14:paraId="10881E5D" w14:textId="77777777" w:rsidR="007D5705" w:rsidRPr="0057500A" w:rsidRDefault="007D5705">
      <w:pPr>
        <w:rPr>
          <w:sz w:val="20"/>
          <w:szCs w:val="20"/>
          <w:highlight w:val="white"/>
          <w:lang w:val="en-GB"/>
        </w:rPr>
      </w:pPr>
    </w:p>
    <w:sectPr w:rsidR="007D5705" w:rsidRPr="005750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C8"/>
    <w:rsid w:val="000C3CAA"/>
    <w:rsid w:val="00246D1C"/>
    <w:rsid w:val="003D57A4"/>
    <w:rsid w:val="0057500A"/>
    <w:rsid w:val="006230C7"/>
    <w:rsid w:val="007D5705"/>
    <w:rsid w:val="00852075"/>
    <w:rsid w:val="00A20789"/>
    <w:rsid w:val="00B75EF7"/>
    <w:rsid w:val="00C46DA4"/>
    <w:rsid w:val="00C5248C"/>
    <w:rsid w:val="00DA51F7"/>
    <w:rsid w:val="00F2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E1F2"/>
  <w15:docId w15:val="{6AD1407C-BA46-42AA-BB54-4BCCA1B0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230C7"/>
    <w:rPr>
      <w:color w:val="0000FF" w:themeColor="hyperlink"/>
      <w:u w:val="single"/>
    </w:rPr>
  </w:style>
  <w:style w:type="character" w:styleId="UnresolvedMention">
    <w:name w:val="Unresolved Mention"/>
    <w:basedOn w:val="DefaultParagraphFont"/>
    <w:uiPriority w:val="99"/>
    <w:semiHidden/>
    <w:unhideWhenUsed/>
    <w:rsid w:val="0062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heung-Hibbert@manninggottliebomd.com" TargetMode="External"/><Relationship Id="rId3" Type="http://schemas.openxmlformats.org/officeDocument/2006/relationships/webSettings" Target="webSettings.xml"/><Relationship Id="rId7" Type="http://schemas.openxmlformats.org/officeDocument/2006/relationships/hyperlink" Target="mailto:MGOMDGovernmentBuyingFinance@mgom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GClientRemits@omnicommediagroup.com" TargetMode="External"/><Relationship Id="rId11" Type="http://schemas.openxmlformats.org/officeDocument/2006/relationships/fontTable" Target="fontTable.xml"/><Relationship Id="rId5" Type="http://schemas.openxmlformats.org/officeDocument/2006/relationships/hyperlink" Target="mailto:Wmarcinek@manninggottliebomd.com" TargetMode="External"/><Relationship Id="rId10" Type="http://schemas.openxmlformats.org/officeDocument/2006/relationships/hyperlink" Target="mailto:Natalie.smith@omd.com" TargetMode="External"/><Relationship Id="rId4" Type="http://schemas.openxmlformats.org/officeDocument/2006/relationships/hyperlink" Target="mailto:DCheung-Hibbert@manninggottliebomd.com" TargetMode="External"/><Relationship Id="rId9" Type="http://schemas.openxmlformats.org/officeDocument/2006/relationships/hyperlink" Target="mailto:Wmarcinek@manninggottliebo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Smith</dc:creator>
  <cp:lastModifiedBy>Natalie Smith (OMD)</cp:lastModifiedBy>
  <cp:revision>6</cp:revision>
  <dcterms:created xsi:type="dcterms:W3CDTF">2020-08-13T12:42:00Z</dcterms:created>
  <dcterms:modified xsi:type="dcterms:W3CDTF">2020-08-13T13:59:00Z</dcterms:modified>
</cp:coreProperties>
</file>