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11 (Processing Data)</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“Processor Personnel”</w:t>
            </w:r>
          </w:p>
        </w:tc>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Status of the Controller</w:t>
      </w:r>
    </w:p>
    <w:p w:rsidR="00000000" w:rsidDel="00000000" w:rsidP="00000000" w:rsidRDefault="00000000" w:rsidRPr="00000000" w14:paraId="00000008">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one Party is Controller and the other Party its Processor </w:t>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gjdgxs" w:id="0"/>
    <w:bookmarkEnd w:id="0"/>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30j0zll" w:id="1"/>
    <w:bookmarkEnd w:id="1"/>
    <w:p w:rsidR="00000000" w:rsidDel="00000000" w:rsidP="00000000" w:rsidRDefault="00000000" w:rsidRPr="00000000" w14:paraId="00000017">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1fob9te" w:id="2"/>
    <w:bookmarkEnd w:id="2"/>
    <w:p w:rsidR="00000000" w:rsidDel="00000000" w:rsidP="00000000" w:rsidRDefault="00000000" w:rsidRPr="00000000" w14:paraId="00000018">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3znysh7" w:id="3"/>
      <w:bookmarkEnd w:id="3"/>
      <w:r w:rsidDel="00000000" w:rsidR="00000000" w:rsidRPr="00000000">
        <w:rPr>
          <w:rtl w:val="0"/>
        </w:rPr>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2et92p0" w:id="4"/>
    <w:bookmarkEnd w:id="4"/>
    <w:p w:rsidR="00000000" w:rsidDel="00000000" w:rsidP="00000000" w:rsidRDefault="00000000" w:rsidRPr="00000000" w14:paraId="0000001D">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E">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 of the Core Terms;</w:t>
      </w:r>
    </w:p>
    <w:p w:rsidR="00000000" w:rsidDel="00000000" w:rsidP="00000000" w:rsidRDefault="00000000" w:rsidRPr="00000000" w14:paraId="00000021">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5"/>
    <w:bookmarkEnd w:id="5"/>
    <w:p w:rsidR="00000000" w:rsidDel="00000000" w:rsidP="00000000" w:rsidRDefault="00000000" w:rsidRPr="00000000" w14:paraId="00000024">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EU unless the prior written consent of the Controller has been obtained and the following conditions are fulfilled:</w:t>
      </w:r>
    </w:p>
    <w:bookmarkStart w:colFirst="0" w:colLast="0" w:name="bookmark=id.3dy6vkm" w:id="6"/>
    <w:bookmarkEnd w:id="6"/>
    <w:p w:rsidR="00000000" w:rsidDel="00000000" w:rsidP="00000000" w:rsidRDefault="00000000" w:rsidRPr="00000000" w14:paraId="00000025">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1t3h5sf" w:id="7"/>
    <w:bookmarkEnd w:id="7"/>
    <w:p w:rsidR="00000000" w:rsidDel="00000000" w:rsidP="00000000" w:rsidRDefault="00000000" w:rsidRPr="00000000" w14:paraId="00000026">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4d34og8" w:id="8"/>
    <w:bookmarkEnd w:id="8"/>
    <w:p w:rsidR="00000000" w:rsidDel="00000000" w:rsidP="00000000" w:rsidRDefault="00000000" w:rsidRPr="00000000" w14:paraId="00000027">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2s8eyo1" w:id="9"/>
    <w:bookmarkEnd w:id="9"/>
    <w:p w:rsidR="00000000" w:rsidDel="00000000" w:rsidP="00000000" w:rsidRDefault="00000000" w:rsidRPr="00000000" w14:paraId="00000028">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17dp8vu" w:id="10"/>
    <w:bookmarkEnd w:id="10"/>
    <w:p w:rsidR="00000000" w:rsidDel="00000000" w:rsidP="00000000" w:rsidRDefault="00000000" w:rsidRPr="00000000" w14:paraId="00000029">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3rdcrjn" w:id="11"/>
    <w:bookmarkEnd w:id="11"/>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8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7 of this Joint Schedule 11 shall include the provision of further information to the Controller, as details become available. </w:t>
      </w:r>
    </w:p>
    <w:p w:rsidR="00000000" w:rsidDel="00000000" w:rsidP="00000000" w:rsidRDefault="00000000" w:rsidRPr="00000000" w14:paraId="00000032">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3"/>
    <w:bookmarkEnd w:id="13"/>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4"/>
    <w:bookmarkEnd w:id="14"/>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the Parties are Joint Controllers of Personal Data </w:t>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Controllers of Personal Data </w:t>
      </w:r>
    </w:p>
    <w:p w:rsidR="00000000" w:rsidDel="00000000" w:rsidP="00000000" w:rsidRDefault="00000000" w:rsidRPr="00000000" w14:paraId="00000049">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2">
      <w:pPr>
        <w:pStyle w:val="Heading2"/>
        <w:spacing w:after="240" w:before="0" w:lineRule="auto"/>
        <w:ind w:left="709" w:hanging="709"/>
        <w:rPr>
          <w:rFonts w:ascii="Arial" w:cs="Arial" w:eastAsia="Arial" w:hAnsi="Arial"/>
          <w:b w:val="0"/>
          <w:sz w:val="24"/>
          <w:szCs w:val="24"/>
        </w:rPr>
      </w:pPr>
      <w:r w:rsidDel="00000000" w:rsidR="00000000" w:rsidRPr="00000000">
        <w:rPr>
          <w:rFonts w:ascii="Arial" w:cs="Arial" w:eastAsia="Arial" w:hAnsi="Arial"/>
          <w:sz w:val="24"/>
          <w:szCs w:val="24"/>
          <w:rtl w:val="0"/>
        </w:rPr>
        <w:t xml:space="preserve">A) Template</w:t>
      </w: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64">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5">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6">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7">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8">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6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Controller and the Supplier is Processor</w:t>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3 to paragraph 16 and for the purposes of the Data Protection Legislation, the Relevant Authority is the Controller and the Supplier is the Processor of the following Personal Data:</w:t>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by the Supplier is determined by the Relevant Authority]</w:t>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 is Controller and the Relevant Authority is Processor</w:t>
            </w:r>
          </w:p>
          <w:p w:rsidR="00000000" w:rsidDel="00000000" w:rsidP="00000000" w:rsidRDefault="00000000" w:rsidRPr="00000000" w14:paraId="00000072">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i w:val="1"/>
                <w:sz w:val="24"/>
                <w:szCs w:val="24"/>
                <w:rtl w:val="0"/>
              </w:rPr>
              <w:t xml:space="preserve">to paragraph 16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 the following Personal Data:</w:t>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by the Relevant Authority  is determined by the Supplier]</w:t>
            </w:r>
          </w:p>
          <w:p w:rsidR="00000000" w:rsidDel="00000000" w:rsidP="00000000" w:rsidRDefault="00000000" w:rsidRPr="00000000" w14:paraId="00000076">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Joint Controllers</w:t>
            </w:r>
          </w:p>
          <w:p w:rsidR="00000000" w:rsidDel="00000000" w:rsidP="00000000" w:rsidRDefault="00000000" w:rsidRPr="00000000" w14:paraId="00000078">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Joint Controllers for the purposes of the Data Protection Legislation in respect of:</w:t>
            </w:r>
          </w:p>
          <w:p w:rsidR="00000000" w:rsidDel="00000000" w:rsidP="00000000" w:rsidRDefault="00000000" w:rsidRPr="00000000" w14:paraId="0000007A">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B">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is determined by the both Parties together]</w:t>
            </w:r>
          </w:p>
          <w:p w:rsidR="00000000" w:rsidDel="00000000" w:rsidP="00000000" w:rsidRDefault="00000000" w:rsidRPr="00000000" w14:paraId="0000007C">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D">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7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7F">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80">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Business contact details of Supplier Personnel for which the Supplier is the Controller,</w:t>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Business contact details of any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rsidR="00000000" w:rsidDel="00000000" w:rsidP="00000000" w:rsidRDefault="00000000" w:rsidRPr="00000000" w14:paraId="0000008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5">
            <w:pPr>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[Guidance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where multiple relationships have been identified above, please address the below rows in the table for in respect of each relationship identified] </w:t>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[Clearly set out the duration of the Processing including dates]</w:t>
            </w:r>
            <w:r w:rsidDel="00000000" w:rsidR="00000000" w:rsidRPr="00000000">
              <w:rPr>
                <w:rtl w:val="0"/>
              </w:rPr>
            </w:r>
          </w:p>
        </w:tc>
      </w:tr>
      <w:tr>
        <w:trPr>
          <w:cantSplit w:val="0"/>
          <w:trHeight w:val="1520" w:hRule="atLeast"/>
          <w:tblHeader w:val="0"/>
        </w:trPr>
        <w:tc>
          <w:tcPr>
            <w:shd w:fill="auto" w:val="clear"/>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8A">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be as specific as possible, but make sure that you cover all intended purposes. </w:t>
            </w:r>
          </w:p>
          <w:p w:rsidR="00000000" w:rsidDel="00000000" w:rsidP="00000000" w:rsidRDefault="00000000" w:rsidRPr="00000000" w14:paraId="0000008B">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purpose might include: employment processing, statutory obligation, recruitment assessment etc]</w:t>
            </w: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here include: name, address, date of birth, NI number, telephone number, pay, images, biometric data etc]</w:t>
            </w: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include: Staff (including volunteers, agents, and temporary workers), customers/ clients, suppliers, patients, students / pupils, members of the public, users of a particular</w:t>
              <w:br w:type="textWrapping"/>
              <w:t xml:space="preserve">website etc]</w:t>
            </w: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[Describe how long the data will be retained for, how it be returned or destroyed]</w:t>
            </w:r>
            <w:r w:rsidDel="00000000" w:rsidR="00000000" w:rsidRPr="00000000">
              <w:rPr>
                <w:rtl w:val="0"/>
              </w:rPr>
            </w:r>
          </w:p>
        </w:tc>
      </w:tr>
    </w:tbl>
    <w:p w:rsidR="00000000" w:rsidDel="00000000" w:rsidP="00000000" w:rsidRDefault="00000000" w:rsidRPr="00000000" w14:paraId="0000009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B) F</w:t>
      </w:r>
      <w:r w:rsidDel="00000000" w:rsidR="00000000" w:rsidRPr="00000000">
        <w:rPr>
          <w:rFonts w:ascii="Arial" w:cs="Arial" w:eastAsia="Arial" w:hAnsi="Arial"/>
          <w:b w:val="1"/>
          <w:sz w:val="24"/>
          <w:szCs w:val="24"/>
          <w:rtl w:val="0"/>
        </w:rPr>
        <w:t xml:space="preserve">ramework Contract Personal Data Processing</w:t>
      </w:r>
      <w:r w:rsidDel="00000000" w:rsidR="00000000" w:rsidRPr="00000000">
        <w:rPr>
          <w:rtl w:val="0"/>
        </w:rPr>
      </w:r>
    </w:p>
    <w:tbl>
      <w:tblPr>
        <w:tblStyle w:val="Table3"/>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20" w:hRule="atLeast"/>
          <w:tblHeader w:val="0"/>
        </w:trPr>
        <w:tc>
          <w:tcPr>
            <w:shd w:fill="bfbfbf" w:val="clear"/>
            <w:vAlign w:val="center"/>
          </w:tcPr>
          <w:p w:rsidR="00000000" w:rsidDel="00000000" w:rsidP="00000000" w:rsidRDefault="00000000" w:rsidRPr="00000000" w14:paraId="0000009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9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9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the Controller and the Supplier is Processor</w:t>
            </w:r>
          </w:p>
          <w:p w:rsidR="00000000" w:rsidDel="00000000" w:rsidP="00000000" w:rsidRDefault="00000000" w:rsidRPr="00000000" w14:paraId="000000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3 to paragraph 16 and for the purposes of the Data Protection Legislation, the Relevant Authority is the Controller and the Supplier is the Processor of the following Personal Data.</w:t>
            </w:r>
          </w:p>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 to five years after the expiry or termination of the Framework Contract </w:t>
            </w:r>
          </w:p>
        </w:tc>
      </w:tr>
      <w:tr>
        <w:trPr>
          <w:cantSplit w:val="0"/>
          <w:trHeight w:val="1520" w:hRule="atLeast"/>
          <w:tblHeader w:val="0"/>
        </w:trPr>
        <w:tc>
          <w:tcPr>
            <w:shd w:fill="auto" w:val="clear"/>
          </w:tcPr>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facilitate the fulfilment of the Supplier’s obligations arising under</w:t>
            </w:r>
          </w:p>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Contract including</w:t>
            </w:r>
          </w:p>
          <w:p w:rsidR="00000000" w:rsidDel="00000000" w:rsidP="00000000" w:rsidRDefault="00000000" w:rsidRPr="00000000" w14:paraId="000000A2">
            <w:pPr>
              <w:numPr>
                <w:ilvl w:val="0"/>
                <w:numId w:val="1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Ensuring effective communication between the Supplier and the Relevant Authority</w:t>
            </w:r>
          </w:p>
          <w:p w:rsidR="00000000" w:rsidDel="00000000" w:rsidP="00000000" w:rsidRDefault="00000000" w:rsidRPr="00000000" w14:paraId="000000A3">
            <w:pPr>
              <w:numPr>
                <w:ilvl w:val="0"/>
                <w:numId w:val="1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Maintaining full and accurate records of every Call-Off Contract arising under the Framework Contract in accordance with Core Terms Clause 15 (Record Keeping and Reporting)</w:t>
            </w:r>
          </w:p>
        </w:tc>
      </w:tr>
      <w:tr>
        <w:trPr>
          <w:cantSplit w:val="0"/>
          <w:trHeight w:val="1400" w:hRule="atLeast"/>
          <w:tblHeader w:val="0"/>
        </w:trPr>
        <w:tc>
          <w:tcPr>
            <w:shd w:fill="auto" w:val="clear"/>
          </w:tcPr>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Includes:</w:t>
            </w:r>
          </w:p>
          <w:p w:rsidR="00000000" w:rsidDel="00000000" w:rsidP="00000000" w:rsidRDefault="00000000" w:rsidRPr="00000000" w14:paraId="000000A6">
            <w:pPr>
              <w:numPr>
                <w:ilvl w:val="0"/>
                <w:numId w:val="1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of, and communications with, Relevant Authority staff concerned with management of the Framework Contract</w:t>
            </w:r>
          </w:p>
          <w:p w:rsidR="00000000" w:rsidDel="00000000" w:rsidP="00000000" w:rsidRDefault="00000000" w:rsidRPr="00000000" w14:paraId="000000A7">
            <w:pPr>
              <w:numPr>
                <w:ilvl w:val="0"/>
                <w:numId w:val="1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of, and communications with, Buyer staff concerned with award and management of Order Call-Off Contracts awarded under the Framework Contract,</w:t>
            </w:r>
          </w:p>
          <w:p w:rsidR="00000000" w:rsidDel="00000000" w:rsidP="00000000" w:rsidRDefault="00000000" w:rsidRPr="00000000" w14:paraId="000000A8">
            <w:pPr>
              <w:numPr>
                <w:ilvl w:val="0"/>
                <w:numId w:val="1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and communications with, Sub-contractor staff concerned with fulfilment of the Supplier’s obligations arising from this Framework Contract</w:t>
            </w:r>
          </w:p>
          <w:p w:rsidR="00000000" w:rsidDel="00000000" w:rsidP="00000000" w:rsidRDefault="00000000" w:rsidRPr="00000000" w14:paraId="000000A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and communications with Supplier staff concerned</w:t>
            </w:r>
          </w:p>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management of the Framework Contract</w:t>
            </w:r>
          </w:p>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Includes:</w:t>
            </w:r>
          </w:p>
          <w:p w:rsidR="00000000" w:rsidDel="00000000" w:rsidP="00000000" w:rsidRDefault="00000000" w:rsidRPr="00000000" w14:paraId="000000AF">
            <w:pPr>
              <w:numPr>
                <w:ilvl w:val="0"/>
                <w:numId w:val="1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Relevant Authority staff concerned with management of the Framework Contract</w:t>
            </w:r>
          </w:p>
          <w:p w:rsidR="00000000" w:rsidDel="00000000" w:rsidP="00000000" w:rsidRDefault="00000000" w:rsidRPr="00000000" w14:paraId="000000B0">
            <w:pPr>
              <w:numPr>
                <w:ilvl w:val="0"/>
                <w:numId w:val="1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Buyer staff concerned with award and management of Call-Off Contracts awarded under Framework Contract</w:t>
            </w:r>
          </w:p>
          <w:p w:rsidR="00000000" w:rsidDel="00000000" w:rsidP="00000000" w:rsidRDefault="00000000" w:rsidRPr="00000000" w14:paraId="000000B1">
            <w:pPr>
              <w:numPr>
                <w:ilvl w:val="0"/>
                <w:numId w:val="1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Sub-contractor staff concerned with fulfilment of the Supplier’s obligations arising from this Framework Contract</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staff concerned with fulfilment of the Supplier’s obligations</w:t>
            </w:r>
          </w:p>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arising under this Framework Contract</w:t>
            </w:r>
          </w:p>
          <w:p w:rsidR="00000000" w:rsidDel="00000000" w:rsidP="00000000" w:rsidRDefault="00000000" w:rsidRPr="00000000" w14:paraId="000000B5">
            <w:pPr>
              <w:spacing w:after="0" w:line="240" w:lineRule="auto"/>
              <w:rPr>
                <w:rFonts w:ascii="Arial" w:cs="Arial" w:eastAsia="Arial" w:hAnsi="Arial"/>
                <w:sz w:val="24"/>
                <w:szCs w:val="24"/>
              </w:rPr>
            </w:pP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B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relevant data to be deleted 5 years after the expiry or</w:t>
            </w:r>
          </w:p>
          <w:p w:rsidR="00000000" w:rsidDel="00000000" w:rsidP="00000000" w:rsidRDefault="00000000" w:rsidRPr="00000000" w14:paraId="000000B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termination of this Framework Contract unless longer retention</w:t>
            </w:r>
          </w:p>
          <w:p w:rsidR="00000000" w:rsidDel="00000000" w:rsidP="00000000" w:rsidRDefault="00000000" w:rsidRPr="00000000" w14:paraId="000000B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required by Law or the terms of any Call-Off</w:t>
            </w:r>
          </w:p>
          <w:p w:rsidR="00000000" w:rsidDel="00000000" w:rsidP="00000000" w:rsidRDefault="00000000" w:rsidRPr="00000000" w14:paraId="000000B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 arising hereunder</w:t>
            </w:r>
          </w:p>
          <w:p w:rsidR="00000000" w:rsidDel="00000000" w:rsidP="00000000" w:rsidRDefault="00000000" w:rsidRPr="00000000" w14:paraId="000000BC">
            <w:pPr>
              <w:spacing w:after="0" w:line="240" w:lineRule="auto"/>
              <w:rPr>
                <w:rFonts w:ascii="Arial" w:cs="Arial" w:eastAsia="Arial" w:hAnsi="Arial"/>
                <w:i w:val="1"/>
                <w:sz w:val="24"/>
                <w:szCs w:val="24"/>
              </w:rPr>
            </w:pPr>
            <w:r w:rsidDel="00000000" w:rsidR="00000000" w:rsidRPr="00000000">
              <w:rPr>
                <w:rtl w:val="0"/>
              </w:rPr>
            </w:r>
          </w:p>
        </w:tc>
      </w:tr>
    </w:tbl>
    <w:p w:rsidR="00000000" w:rsidDel="00000000" w:rsidP="00000000" w:rsidRDefault="00000000" w:rsidRPr="00000000" w14:paraId="000000B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Annex 2 - Joint Controller Agreement</w:t>
      </w:r>
      <w:r w:rsidDel="00000000" w:rsidR="00000000" w:rsidRPr="00000000">
        <w:rPr>
          <w:rtl w:val="0"/>
        </w:rPr>
      </w:r>
    </w:p>
    <w:p w:rsidR="00000000" w:rsidDel="00000000" w:rsidP="00000000" w:rsidRDefault="00000000" w:rsidRPr="00000000" w14:paraId="000000BF">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Joint Controller Status and Allocation of Responsibilities </w:t>
      </w:r>
    </w:p>
    <w:p w:rsidR="00000000" w:rsidDel="00000000" w:rsidP="00000000" w:rsidRDefault="00000000" w:rsidRPr="00000000" w14:paraId="000000C0">
      <w:pPr>
        <w:keepNext w:val="1"/>
        <w:rPr>
          <w:rFonts w:ascii="Arial" w:cs="Arial" w:eastAsia="Arial" w:hAnsi="Arial"/>
          <w:sz w:val="24"/>
          <w:szCs w:val="24"/>
        </w:rPr>
      </w:pPr>
      <w:bookmarkStart w:colFirst="0" w:colLast="0" w:name="_heading=h.gjdgxs" w:id="15"/>
      <w:bookmarkEnd w:id="15"/>
      <w:r w:rsidDel="00000000" w:rsidR="00000000" w:rsidRPr="00000000">
        <w:rPr>
          <w:rFonts w:ascii="Arial" w:cs="Arial" w:eastAsia="Arial" w:hAnsi="Arial"/>
          <w:sz w:val="24"/>
          <w:szCs w:val="24"/>
          <w:rtl w:val="0"/>
        </w:rPr>
        <w:t xml:space="preserve">1.1</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0C1">
      <w:pPr>
        <w:keepNext w:val="1"/>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1.2 The Parties agree that the </w:t>
      </w:r>
      <w:r w:rsidDel="00000000" w:rsidR="00000000" w:rsidRPr="00000000">
        <w:rPr>
          <w:rFonts w:ascii="Arial" w:cs="Arial" w:eastAsia="Arial" w:hAnsi="Arial"/>
          <w:sz w:val="24"/>
          <w:szCs w:val="24"/>
          <w:highlight w:val="yellow"/>
          <w:rtl w:val="0"/>
        </w:rPr>
        <w:t xml:space="preserve">[Supplier/Relevant Authority]: </w:t>
      </w:r>
      <w:r w:rsidDel="00000000" w:rsidR="00000000" w:rsidRPr="00000000">
        <w:rPr>
          <w:rtl w:val="0"/>
        </w:rPr>
      </w:r>
    </w:p>
    <w:p w:rsidR="00000000" w:rsidDel="00000000" w:rsidP="00000000" w:rsidRDefault="00000000" w:rsidRPr="00000000" w14:paraId="000000C2">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is the </w:t>
      </w:r>
      <w:r w:rsidDel="00000000" w:rsidR="00000000" w:rsidRPr="00000000">
        <w:rPr>
          <w:rFonts w:ascii="Arial" w:cs="Arial" w:eastAsia="Arial" w:hAnsi="Arial"/>
          <w:sz w:val="24"/>
          <w:szCs w:val="24"/>
          <w:rtl w:val="0"/>
        </w:rPr>
        <w:t xml:space="preserve">exclusive</w:t>
      </w:r>
      <w:r w:rsidDel="00000000" w:rsidR="00000000" w:rsidRPr="00000000">
        <w:rPr>
          <w:rFonts w:ascii="Arial" w:cs="Arial" w:eastAsia="Arial" w:hAnsi="Arial"/>
          <w:sz w:val="24"/>
          <w:szCs w:val="24"/>
          <w:highlight w:val="white"/>
          <w:rtl w:val="0"/>
        </w:rPr>
        <w:t xml:space="preserve"> point of contact for Data Subjects and is responsible for all steps necessary to comply with the UK GDPR regarding the exercise by Data Subjects of their rights under the UK GDPR;</w:t>
      </w:r>
    </w:p>
    <w:p w:rsidR="00000000" w:rsidDel="00000000" w:rsidP="00000000" w:rsidRDefault="00000000" w:rsidRPr="00000000" w14:paraId="000000C3">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shall direct Data Subjects to its Data Protection Officer or suitable alternative in connection with the exercise of their rights as Data Subjects and for any enquiries concerning their Personal Data or privacy;</w:t>
      </w:r>
    </w:p>
    <w:p w:rsidR="00000000" w:rsidDel="00000000" w:rsidP="00000000" w:rsidRDefault="00000000" w:rsidRPr="00000000" w14:paraId="000000C4">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solely responsible for the Parties’ compliance with all duties to provide information to Data Subjects under Articles 13 and 14 of the UK GDPR;</w:t>
      </w:r>
    </w:p>
    <w:p w:rsidR="00000000" w:rsidDel="00000000" w:rsidP="00000000" w:rsidRDefault="00000000" w:rsidRPr="00000000" w14:paraId="000000C5">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responsible for obtaining the informed consent of Data Subjects, in accordance with the UK GDPR, for Processing in connection with the Deliverables where consent is the relevant legal basis for that Processing; and</w:t>
      </w:r>
    </w:p>
    <w:p w:rsidR="00000000" w:rsidDel="00000000" w:rsidP="00000000" w:rsidRDefault="00000000" w:rsidRPr="00000000" w14:paraId="000000C6">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sz w:val="24"/>
          <w:szCs w:val="24"/>
          <w:rtl w:val="0"/>
        </w:rPr>
        <w:t xml:space="preserve">1.3 Notwithstanding the terms of clause 1.2, the Parties acknowledge that a Data Subject has the right to exercise their legal rights under the Data Protection Legislation as against the relevant Party as Controller.</w:t>
      </w:r>
    </w:p>
    <w:p w:rsidR="00000000" w:rsidDel="00000000" w:rsidP="00000000" w:rsidRDefault="00000000" w:rsidRPr="00000000" w14:paraId="000000C8">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Undertakings of both Parties</w:t>
      </w:r>
    </w:p>
    <w:p w:rsidR="00000000" w:rsidDel="00000000" w:rsidP="00000000" w:rsidRDefault="00000000" w:rsidRPr="00000000" w14:paraId="000000C9">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 the Relevant Authority each undertake that they shall: </w:t>
      </w:r>
    </w:p>
    <w:p w:rsidR="00000000" w:rsidDel="00000000" w:rsidP="00000000" w:rsidRDefault="00000000" w:rsidRPr="00000000" w14:paraId="000000CA">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 to the other Party every </w:t>
      </w:r>
      <w:r w:rsidDel="00000000" w:rsidR="00000000" w:rsidRPr="00000000">
        <w:rPr>
          <w:rFonts w:ascii="Arial" w:cs="Arial" w:eastAsia="Arial" w:hAnsi="Arial"/>
          <w:sz w:val="24"/>
          <w:szCs w:val="24"/>
          <w:highlight w:val="yellow"/>
          <w:rtl w:val="0"/>
        </w:rPr>
        <w:t xml:space="preserve">[x]</w:t>
      </w:r>
      <w:r w:rsidDel="00000000" w:rsidR="00000000" w:rsidRPr="00000000">
        <w:rPr>
          <w:rFonts w:ascii="Arial" w:cs="Arial" w:eastAsia="Arial" w:hAnsi="Arial"/>
          <w:sz w:val="24"/>
          <w:szCs w:val="24"/>
          <w:rtl w:val="0"/>
        </w:rPr>
        <w:t xml:space="preserve"> months on:</w:t>
      </w:r>
    </w:p>
    <w:p w:rsidR="00000000" w:rsidDel="00000000" w:rsidP="00000000" w:rsidRDefault="00000000" w:rsidRPr="00000000" w14:paraId="000000CB">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Data Subject Access Request (or purported Data Subject  Access Requests) from Data Subjects (or third parties on their behalf);</w:t>
      </w:r>
    </w:p>
    <w:p w:rsidR="00000000" w:rsidDel="00000000" w:rsidP="00000000" w:rsidRDefault="00000000" w:rsidRPr="00000000" w14:paraId="000000CC">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requests from Data Subjects (or third parties on their behalf) to rectify, block or erase any Personal Data; </w:t>
      </w:r>
    </w:p>
    <w:p w:rsidR="00000000" w:rsidDel="00000000" w:rsidP="00000000" w:rsidRDefault="00000000" w:rsidRPr="00000000" w14:paraId="000000CD">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requests, complaints or communications from Data Subjects (or third parties on their behalf) relating to the other Party’s obligations under applicable Data Protection Legislation;</w:t>
      </w:r>
    </w:p>
    <w:p w:rsidR="00000000" w:rsidDel="00000000" w:rsidP="00000000" w:rsidRDefault="00000000" w:rsidRPr="00000000" w14:paraId="000000CE">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communications from the Information Commissioner or any other regulatory authority in connection with Personal Data; and</w:t>
      </w:r>
    </w:p>
    <w:p w:rsidR="00000000" w:rsidDel="00000000" w:rsidP="00000000" w:rsidRDefault="00000000" w:rsidRPr="00000000" w14:paraId="000000CF">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requests from any third party for disclosure of Personal Data where compliance with such request is required or purported to be required by Law,</w:t>
      </w:r>
    </w:p>
    <w:p w:rsidR="00000000" w:rsidDel="00000000" w:rsidP="00000000" w:rsidRDefault="00000000" w:rsidRPr="00000000" w14:paraId="000000D0">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that it has received in relation to the subject matter of the Contract during that period; </w:t>
      </w:r>
    </w:p>
    <w:p w:rsidR="00000000" w:rsidDel="00000000" w:rsidP="00000000" w:rsidRDefault="00000000" w:rsidRPr="00000000" w14:paraId="000000D1">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each other immediately if it receives any request, complaint or communication made as referred to in Clauses 2.1(a)(i) to (v); </w:t>
      </w:r>
    </w:p>
    <w:p w:rsidR="00000000" w:rsidDel="00000000" w:rsidP="00000000" w:rsidRDefault="00000000" w:rsidRPr="00000000" w14:paraId="000000D2">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000000" w:rsidDel="00000000" w:rsidP="00000000" w:rsidRDefault="00000000" w:rsidRPr="00000000" w14:paraId="000000D3">
      <w:pPr>
        <w:numPr>
          <w:ilvl w:val="2"/>
          <w:numId w:val="14"/>
        </w:numPr>
        <w:pBdr>
          <w:top w:space="0" w:sz="0" w:val="nil"/>
          <w:left w:space="0" w:sz="0" w:val="nil"/>
          <w:bottom w:space="0" w:sz="0" w:val="nil"/>
          <w:right w:space="0" w:sz="0" w:val="nil"/>
          <w:between w:space="0" w:sz="0" w:val="nil"/>
        </w:pBdr>
        <w:tabs>
          <w:tab w:val="left" w:pos="4395"/>
        </w:tabs>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00000" w:rsidDel="00000000" w:rsidP="00000000" w:rsidRDefault="00000000" w:rsidRPr="00000000" w14:paraId="000000D4">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request from the Data Subject only the minimum information necessary to provide the Deliverables and treat such extracted information as Confidential Information;</w:t>
      </w:r>
    </w:p>
    <w:p w:rsidR="00000000" w:rsidDel="00000000" w:rsidP="00000000" w:rsidRDefault="00000000" w:rsidRPr="00000000" w14:paraId="000000D5">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00000" w:rsidDel="00000000" w:rsidP="00000000" w:rsidRDefault="00000000" w:rsidRPr="00000000" w14:paraId="000000D6">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 all reasonable steps to ensure the reliability and integrity of any of its Personnel who have access to the Personal Data and ensure that its Personnel:</w:t>
      </w:r>
    </w:p>
    <w:p w:rsidR="00000000" w:rsidDel="00000000" w:rsidP="00000000" w:rsidRDefault="00000000" w:rsidRPr="00000000" w14:paraId="000000D7">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their duties under this Annex 2 (Joint Controller Agreement) and those in respect of Confidential Information; </w:t>
      </w:r>
    </w:p>
    <w:p w:rsidR="00000000" w:rsidDel="00000000" w:rsidP="00000000" w:rsidRDefault="00000000" w:rsidRPr="00000000" w14:paraId="000000D8">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and</w:t>
      </w:r>
    </w:p>
    <w:p w:rsidR="00000000" w:rsidDel="00000000" w:rsidP="00000000" w:rsidRDefault="00000000" w:rsidRPr="00000000" w14:paraId="000000D9">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as required by the applicable Data Protection Legislation;</w:t>
      </w:r>
    </w:p>
    <w:p w:rsidR="00000000" w:rsidDel="00000000" w:rsidP="00000000" w:rsidRDefault="00000000" w:rsidRPr="00000000" w14:paraId="000000DA">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as appropriate to protect against a Personal Data Breach having taken account of the:</w:t>
      </w:r>
    </w:p>
    <w:p w:rsidR="00000000" w:rsidDel="00000000" w:rsidP="00000000" w:rsidRDefault="00000000" w:rsidRPr="00000000" w14:paraId="000000DB">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p>
    <w:p w:rsidR="00000000" w:rsidDel="00000000" w:rsidP="00000000" w:rsidRDefault="00000000" w:rsidRPr="00000000" w14:paraId="000000DC">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DD">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DE">
      <w:pPr>
        <w:numPr>
          <w:ilvl w:val="3"/>
          <w:numId w:val="14"/>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w:t>
      </w:r>
    </w:p>
    <w:p w:rsidR="00000000" w:rsidDel="00000000" w:rsidP="00000000" w:rsidRDefault="00000000" w:rsidRPr="00000000" w14:paraId="000000DF">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the capability (whether technological or otherwise), to the extent required by Data Protection Legislation, to provide or correct or delete at the request of a Data Subject all the Personal Data relating to that Data Subject that it holds; and</w:t>
      </w:r>
    </w:p>
    <w:p w:rsidR="00000000" w:rsidDel="00000000" w:rsidP="00000000" w:rsidRDefault="00000000" w:rsidRPr="00000000" w14:paraId="000000E0">
      <w:pPr>
        <w:numPr>
          <w:ilvl w:val="2"/>
          <w:numId w:val="1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notifies the other Party as soon as it becomes aware of a Personal Data Breach. </w:t>
      </w:r>
    </w:p>
    <w:p w:rsidR="00000000" w:rsidDel="00000000" w:rsidP="00000000" w:rsidRDefault="00000000" w:rsidRPr="00000000" w14:paraId="000000E1">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00000" w:rsidDel="00000000" w:rsidP="00000000" w:rsidRDefault="00000000" w:rsidRPr="00000000" w14:paraId="000000E2">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Breach</w:t>
      </w:r>
    </w:p>
    <w:p w:rsidR="00000000" w:rsidDel="00000000" w:rsidP="00000000" w:rsidRDefault="00000000" w:rsidRPr="00000000" w14:paraId="000000E3">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00000" w:rsidDel="00000000" w:rsidP="00000000" w:rsidRDefault="00000000" w:rsidRPr="00000000" w14:paraId="000000E4">
      <w:pPr>
        <w:numPr>
          <w:ilvl w:val="2"/>
          <w:numId w:val="1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sufficient information and in a timescale which allows the other Party to meet any obligations to report a Personal Data Breach under the Data Protection Legislation; and</w:t>
      </w:r>
    </w:p>
    <w:p w:rsidR="00000000" w:rsidDel="00000000" w:rsidP="00000000" w:rsidRDefault="00000000" w:rsidRPr="00000000" w14:paraId="000000E5">
      <w:pPr>
        <w:numPr>
          <w:ilvl w:val="2"/>
          <w:numId w:val="1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reasonable assistance, including:</w:t>
      </w:r>
    </w:p>
    <w:p w:rsidR="00000000" w:rsidDel="00000000" w:rsidP="00000000" w:rsidRDefault="00000000" w:rsidRPr="00000000" w14:paraId="000000E6">
      <w:pPr>
        <w:numPr>
          <w:ilvl w:val="3"/>
          <w:numId w:val="1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and the Information Commissioner investigating the Personal Data Breach and its cause, containing and recovering the compromised Personal Data and compliance with the applicable guidance;</w:t>
      </w:r>
    </w:p>
    <w:p w:rsidR="00000000" w:rsidDel="00000000" w:rsidP="00000000" w:rsidRDefault="00000000" w:rsidRPr="00000000" w14:paraId="000000E7">
      <w:pPr>
        <w:numPr>
          <w:ilvl w:val="3"/>
          <w:numId w:val="1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including taking such reasonable steps as are directed by the other Party to assist in the investigation, mitigation and remediation of a Personal Data Breach;</w:t>
      </w:r>
    </w:p>
    <w:p w:rsidR="00000000" w:rsidDel="00000000" w:rsidP="00000000" w:rsidRDefault="00000000" w:rsidRPr="00000000" w14:paraId="000000E8">
      <w:pPr>
        <w:numPr>
          <w:ilvl w:val="3"/>
          <w:numId w:val="1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co-ordination with the other Party regarding the management of public relations and public statements relating to the Personal Data Breach; and/or</w:t>
      </w:r>
    </w:p>
    <w:p w:rsidR="00000000" w:rsidDel="00000000" w:rsidP="00000000" w:rsidRDefault="00000000" w:rsidRPr="00000000" w14:paraId="000000E9">
      <w:pPr>
        <w:numPr>
          <w:ilvl w:val="3"/>
          <w:numId w:val="1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00000" w:rsidDel="00000000" w:rsidP="00000000" w:rsidRDefault="00000000" w:rsidRPr="00000000" w14:paraId="000000EA">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00000" w:rsidDel="00000000" w:rsidP="00000000" w:rsidRDefault="00000000" w:rsidRPr="00000000" w14:paraId="000000EB">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the Personal Data Breach; </w:t>
      </w:r>
    </w:p>
    <w:p w:rsidR="00000000" w:rsidDel="00000000" w:rsidP="00000000" w:rsidRDefault="00000000" w:rsidRPr="00000000" w14:paraId="000000EC">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Personal Data affected;</w:t>
      </w:r>
    </w:p>
    <w:p w:rsidR="00000000" w:rsidDel="00000000" w:rsidP="00000000" w:rsidRDefault="00000000" w:rsidRPr="00000000" w14:paraId="000000ED">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categories and number of Data Subjects concerned;</w:t>
      </w:r>
    </w:p>
    <w:p w:rsidR="00000000" w:rsidDel="00000000" w:rsidP="00000000" w:rsidRDefault="00000000" w:rsidRPr="00000000" w14:paraId="000000EE">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contact details of the Supplier’s Data Protection Officer or other relevant contact from whom more information may be obtained;</w:t>
      </w:r>
    </w:p>
    <w:p w:rsidR="00000000" w:rsidDel="00000000" w:rsidP="00000000" w:rsidRDefault="00000000" w:rsidRPr="00000000" w14:paraId="000000EF">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measures taken or proposed to be taken to address the Personal Data Breach; and</w:t>
      </w:r>
    </w:p>
    <w:p w:rsidR="00000000" w:rsidDel="00000000" w:rsidP="00000000" w:rsidRDefault="00000000" w:rsidRPr="00000000" w14:paraId="000000F0">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likely consequences of the Personal Data Breach.</w:t>
      </w:r>
    </w:p>
    <w:p w:rsidR="00000000" w:rsidDel="00000000" w:rsidP="00000000" w:rsidRDefault="00000000" w:rsidRPr="00000000" w14:paraId="000000F1">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p w:rsidR="00000000" w:rsidDel="00000000" w:rsidP="00000000" w:rsidRDefault="00000000" w:rsidRPr="00000000" w14:paraId="000000F2">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permit:</w:t>
        <w:tab/>
      </w:r>
    </w:p>
    <w:p w:rsidR="00000000" w:rsidDel="00000000" w:rsidP="00000000" w:rsidRDefault="00000000" w:rsidRPr="00000000" w14:paraId="000000F3">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000000" w:rsidDel="00000000" w:rsidP="00000000" w:rsidRDefault="00000000" w:rsidRPr="00000000" w14:paraId="000000F4">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may, in its sole discretion, require the Supplier to provide evidence of the Supplier’s compliance with Clause 4.1 in lieu of conducting such an audit, assessment or inspection.</w:t>
      </w:r>
    </w:p>
    <w:p w:rsidR="00000000" w:rsidDel="00000000" w:rsidP="00000000" w:rsidRDefault="00000000" w:rsidRPr="00000000" w14:paraId="000000F7">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Assessments</w:t>
      </w:r>
    </w:p>
    <w:p w:rsidR="00000000" w:rsidDel="00000000" w:rsidP="00000000" w:rsidRDefault="00000000" w:rsidRPr="00000000" w14:paraId="000000F8">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w:t>
      </w:r>
    </w:p>
    <w:p w:rsidR="00000000" w:rsidDel="00000000" w:rsidP="00000000" w:rsidRDefault="00000000" w:rsidRPr="00000000" w14:paraId="000000F9">
      <w:pPr>
        <w:numPr>
          <w:ilvl w:val="2"/>
          <w:numId w:val="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all reasonable assistance to each other to prepare any Data Protection Impact Assessment as may be required (including provision of detailed information and assessments in relation to Processing operations, risks and measures); and</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80"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numPr>
          <w:ilvl w:val="2"/>
          <w:numId w:val="4"/>
        </w:numPr>
        <w:pBdr>
          <w:top w:space="0" w:sz="0" w:val="nil"/>
          <w:left w:space="0" w:sz="0" w:val="nil"/>
          <w:bottom w:space="0" w:sz="0" w:val="nil"/>
          <w:right w:space="0" w:sz="0" w:val="nil"/>
          <w:between w:space="0" w:sz="0" w:val="nil"/>
        </w:pBdr>
        <w:spacing w:after="120" w:before="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full and complete records of all Processing carried out in respect of the Personal Data in connection with the Contract, in accordance with the terms of Article 30 UK GDPR.</w:t>
      </w:r>
    </w:p>
    <w:p w:rsidR="00000000" w:rsidDel="00000000" w:rsidP="00000000" w:rsidRDefault="00000000" w:rsidRPr="00000000" w14:paraId="000000FC">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ICO Guidance</w:t>
      </w:r>
    </w:p>
    <w:p w:rsidR="00000000" w:rsidDel="00000000" w:rsidP="00000000" w:rsidRDefault="00000000" w:rsidRPr="00000000" w14:paraId="000000FE">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000000" w:rsidDel="00000000" w:rsidP="00000000" w:rsidRDefault="00000000" w:rsidRPr="00000000" w14:paraId="000000FF">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Liabilities for Data Protection Breach</w:t>
      </w:r>
    </w:p>
    <w:p w:rsidR="00000000" w:rsidDel="00000000" w:rsidP="00000000" w:rsidRDefault="00000000" w:rsidRPr="00000000" w14:paraId="00000100">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clause represents a risk share, you may wish to reconsider the apportionment of liability and whether recoverability of losses are likely to be hindered by the contractual limitation of liability provisions] </w:t>
      </w:r>
      <w:r w:rsidDel="00000000" w:rsidR="00000000" w:rsidRPr="00000000">
        <w:rPr>
          <w:rtl w:val="0"/>
        </w:rPr>
      </w:r>
    </w:p>
    <w:p w:rsidR="00000000" w:rsidDel="00000000" w:rsidP="00000000" w:rsidRDefault="00000000" w:rsidRPr="00000000" w14:paraId="00000101">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financial penalties are imposed by the Information Commissioner on either the Relevant Authority or the Supplier for a Personal Data Breach ("</w:t>
      </w:r>
      <w:r w:rsidDel="00000000" w:rsidR="00000000" w:rsidRPr="00000000">
        <w:rPr>
          <w:rFonts w:ascii="Arial" w:cs="Arial" w:eastAsia="Arial" w:hAnsi="Arial"/>
          <w:b w:val="1"/>
          <w:color w:val="000000"/>
          <w:sz w:val="24"/>
          <w:szCs w:val="24"/>
          <w:rtl w:val="0"/>
        </w:rPr>
        <w:t xml:space="preserve">Financial Penalties</w:t>
      </w:r>
      <w:r w:rsidDel="00000000" w:rsidR="00000000" w:rsidRPr="00000000">
        <w:rPr>
          <w:rFonts w:ascii="Arial" w:cs="Arial" w:eastAsia="Arial" w:hAnsi="Arial"/>
          <w:color w:val="000000"/>
          <w:sz w:val="24"/>
          <w:szCs w:val="24"/>
          <w:rtl w:val="0"/>
        </w:rPr>
        <w:t xml:space="preserve">") then the following shall occur:</w:t>
      </w:r>
    </w:p>
    <w:p w:rsidR="00000000" w:rsidDel="00000000" w:rsidP="00000000" w:rsidRDefault="00000000" w:rsidRPr="00000000" w14:paraId="00000102">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103">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000000" w:rsidDel="00000000" w:rsidP="00000000" w:rsidRDefault="00000000" w:rsidRPr="00000000" w14:paraId="00000104">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rsidR="00000000" w:rsidDel="00000000" w:rsidP="00000000" w:rsidRDefault="00000000" w:rsidRPr="00000000" w14:paraId="00000105">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106">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losses, cost claims or expenses incurred by either Party as a result of a Personal Data Breach (the “Claim Losses”):</w:t>
      </w:r>
    </w:p>
    <w:p w:rsidR="00000000" w:rsidDel="00000000" w:rsidP="00000000" w:rsidRDefault="00000000" w:rsidRPr="00000000" w14:paraId="00000107">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Relevant Authority is responsible for the relevant Personal Data Breach, then the Relevant Authority shall be responsible for the Claim Losses;</w:t>
      </w:r>
    </w:p>
    <w:p w:rsidR="00000000" w:rsidDel="00000000" w:rsidP="00000000" w:rsidRDefault="00000000" w:rsidRPr="00000000" w14:paraId="00000108">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responsible for the relevant Personal Data Breach, then the Supplier shall be responsible for the Claim Losses: and</w:t>
      </w:r>
    </w:p>
    <w:p w:rsidR="00000000" w:rsidDel="00000000" w:rsidP="00000000" w:rsidRDefault="00000000" w:rsidRPr="00000000" w14:paraId="00000109">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responsibility for the relevant Personal Data Breach is unclear, then the Relevant Authority and the Supplier shall be responsible for the Claim Losses equally.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000000" w:rsidDel="00000000" w:rsidP="00000000" w:rsidRDefault="00000000" w:rsidRPr="00000000" w14:paraId="0000010C">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w:t>
      </w:r>
    </w:p>
    <w:p w:rsidR="00000000" w:rsidDel="00000000" w:rsidP="00000000" w:rsidRDefault="00000000" w:rsidRPr="00000000" w14:paraId="0000010D">
      <w:pPr>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in material Default under any of its obligations under this Annex 2 (</w:t>
      </w:r>
      <w:r w:rsidDel="00000000" w:rsidR="00000000" w:rsidRPr="00000000">
        <w:rPr>
          <w:rFonts w:ascii="Arial" w:cs="Arial" w:eastAsia="Arial" w:hAnsi="Arial"/>
          <w:i w:val="1"/>
          <w:sz w:val="24"/>
          <w:szCs w:val="24"/>
          <w:rtl w:val="0"/>
        </w:rPr>
        <w:t xml:space="preserve">Joint Controller Agreement</w:t>
      </w:r>
      <w:r w:rsidDel="00000000" w:rsidR="00000000" w:rsidRPr="00000000">
        <w:rPr>
          <w:rFonts w:ascii="Arial" w:cs="Arial" w:eastAsia="Arial" w:hAnsi="Arial"/>
          <w:sz w:val="24"/>
          <w:szCs w:val="24"/>
          <w:rtl w:val="0"/>
        </w:rPr>
        <w:t xml:space="preserve">), the Relevant Authority shall be entitled to terminate the Contract by issuing a Termination Notice to the Supplier in accordance with Clause 10 of the Core Terms (</w:t>
      </w:r>
      <w:r w:rsidDel="00000000" w:rsidR="00000000" w:rsidRPr="00000000">
        <w:rPr>
          <w:rFonts w:ascii="Arial" w:cs="Arial" w:eastAsia="Arial" w:hAnsi="Arial"/>
          <w:i w:val="1"/>
          <w:sz w:val="24"/>
          <w:szCs w:val="24"/>
          <w:rtl w:val="0"/>
        </w:rPr>
        <w:t xml:space="preserve">Ending the contract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0E">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Sub-Processing</w:t>
      </w:r>
      <w:r w:rsidDel="00000000" w:rsidR="00000000" w:rsidRPr="00000000">
        <w:rPr>
          <w:rtl w:val="0"/>
        </w:rPr>
      </w:r>
    </w:p>
    <w:p w:rsidR="00000000" w:rsidDel="00000000" w:rsidP="00000000" w:rsidRDefault="00000000" w:rsidRPr="00000000" w14:paraId="0000010F">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Processing of Personal Data performed by a third party on behalf of a Party, that Party shall:</w:t>
      </w:r>
    </w:p>
    <w:p w:rsidR="00000000" w:rsidDel="00000000" w:rsidP="00000000" w:rsidRDefault="00000000" w:rsidRPr="00000000" w14:paraId="00000110">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00000" w:rsidDel="00000000" w:rsidP="00000000" w:rsidRDefault="00000000" w:rsidRPr="00000000" w14:paraId="00000111">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 suitable agreement is in place with the third party as required under applicable Data Protection Legislation.</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Data Retention</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179"/>
        </w:tabs>
        <w:spacing w:after="120" w:line="240" w:lineRule="auto"/>
        <w:ind w:left="720"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179"/>
        </w:tabs>
        <w:spacing w:after="120" w:line="240" w:lineRule="auto"/>
        <w:ind w:left="2160" w:hanging="2160"/>
        <w:jc w:val="both"/>
        <w:rPr>
          <w:rFonts w:ascii="Arial" w:cs="Arial" w:eastAsia="Arial" w:hAnsi="Arial"/>
          <w:color w:val="000000"/>
          <w:sz w:val="24"/>
          <w:szCs w:val="24"/>
        </w:rPr>
      </w:pPr>
      <w:r w:rsidDel="00000000" w:rsidR="00000000" w:rsidRPr="00000000">
        <w:rPr>
          <w:rtl w:val="0"/>
        </w:rPr>
      </w:r>
    </w:p>
    <w:bookmarkStart w:colFirst="0" w:colLast="0" w:name="bookmark=id.1ksv4uv" w:id="16"/>
    <w:bookmarkEnd w:id="16"/>
    <w:p w:rsidR="00000000" w:rsidDel="00000000" w:rsidP="00000000" w:rsidRDefault="00000000" w:rsidRPr="00000000" w14:paraId="00000116">
      <w:pPr>
        <w:keepNext w:val="1"/>
        <w:pBdr>
          <w:top w:space="0" w:sz="0" w:val="nil"/>
          <w:left w:space="0" w:sz="0" w:val="nil"/>
          <w:bottom w:space="0" w:sz="0" w:val="nil"/>
          <w:right w:space="0" w:sz="0" w:val="nil"/>
          <w:between w:space="0" w:sz="0" w:val="nil"/>
        </w:pBdr>
        <w:spacing w:after="240" w:before="240" w:lineRule="auto"/>
        <w:ind w:left="720" w:hanging="720"/>
        <w:jc w:val="both"/>
        <w:rPr>
          <w:rFonts w:ascii="Arial" w:cs="Arial" w:eastAsia="Arial" w:hAnsi="Arial"/>
          <w:b w:val="1"/>
          <w:color w:val="000000"/>
          <w:sz w:val="24"/>
          <w:szCs w:val="24"/>
        </w:rPr>
      </w:pPr>
      <w:bookmarkStart w:colFirst="0" w:colLast="0" w:name="_heading=h.44sinio" w:id="17"/>
      <w:bookmarkEnd w:id="17"/>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1C">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RM6195</w:t>
      <w:tab/>
      <w:t xml:space="preserve">                                           </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1F">
    <w:pPr>
      <w:spacing w:after="0" w:lineRule="auto"/>
      <w:rPr/>
    </w:pPr>
    <w:r w:rsidDel="00000000" w:rsidR="00000000" w:rsidRPr="00000000">
      <w:rPr>
        <w:rFonts w:ascii="Arial" w:cs="Arial" w:eastAsia="Arial" w:hAnsi="Arial"/>
        <w:sz w:val="20"/>
        <w:szCs w:val="20"/>
        <w:rtl w:val="0"/>
      </w:rPr>
      <w:t xml:space="preserve">Model Version: v4.5</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-13331</wp:posOffset>
          </wp:positionV>
          <wp:extent cx="849085" cy="685627"/>
          <wp:effectExtent b="0" l="0" r="0" t="0"/>
          <wp:wrapNone/>
          <wp:docPr descr="Crown Commercial Service" id="4"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11 (Processing Data)</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cs="Arial" w:eastAsia="STZhongsong"/>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cs="Arial" w:eastAsia="Times New Roman"/>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cs="Times New Roman"/>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14"/>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14"/>
      </w:numPr>
      <w:spacing w:after="0" w:line="300" w:lineRule="atLeast"/>
      <w:jc w:val="both"/>
    </w:pPr>
    <w:rPr>
      <w:rFonts w:ascii="Times New Roman" w:cs="Times New Roman" w:hAnsi="Times New Roman"/>
    </w:rPr>
  </w:style>
  <w:style w:type="paragraph" w:styleId="TLTLevel1" w:customStyle="1">
    <w:name w:val="TLT Level 1"/>
    <w:basedOn w:val="Normal"/>
    <w:rsid w:val="002404A4"/>
    <w:pPr>
      <w:tabs>
        <w:tab w:val="num" w:pos="720"/>
      </w:tabs>
      <w:spacing w:before="100" w:line="240" w:lineRule="auto"/>
      <w:ind w:left="720" w:hanging="720"/>
    </w:pPr>
    <w:rPr>
      <w:rFonts w:ascii="Arial" w:cs="Arial" w:hAnsi="Arial"/>
      <w:sz w:val="20"/>
      <w:szCs w:val="20"/>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tabs>
        <w:tab w:val="num" w:pos="1440"/>
      </w:tabs>
      <w:spacing w:before="100" w:line="240" w:lineRule="auto"/>
      <w:ind w:left="1440" w:hanging="720"/>
    </w:pPr>
  </w:style>
  <w:style w:type="paragraph" w:styleId="TLTLevel3" w:customStyle="1">
    <w:name w:val="TLT Level 3"/>
    <w:basedOn w:val="Normal"/>
    <w:rsid w:val="002404A4"/>
    <w:pPr>
      <w:numPr>
        <w:ilvl w:val="2"/>
        <w:numId w:val="15"/>
      </w:numPr>
      <w:spacing w:before="100" w:line="240" w:lineRule="auto"/>
      <w:ind w:hanging="180"/>
    </w:pPr>
    <w:rPr>
      <w:rFonts w:ascii="Times New Roman" w:cs="Times New Roman" w:hAnsi="Times New Roman"/>
    </w:rPr>
  </w:style>
  <w:style w:type="paragraph" w:styleId="TLTLevel4" w:customStyle="1">
    <w:name w:val="TLT Level 4"/>
    <w:basedOn w:val="Normal"/>
    <w:rsid w:val="002404A4"/>
    <w:pPr>
      <w:numPr>
        <w:ilvl w:val="3"/>
        <w:numId w:val="15"/>
      </w:numPr>
      <w:spacing w:before="100" w:line="240" w:lineRule="auto"/>
      <w:ind w:hanging="360"/>
    </w:pPr>
    <w:rPr>
      <w:rFonts w:ascii="Times New Roman" w:cs="Times New Roman" w:hAnsi="Times New Roman"/>
    </w:rPr>
  </w:style>
  <w:style w:type="paragraph" w:styleId="TLTLevel5" w:customStyle="1">
    <w:name w:val="TLT Level 5"/>
    <w:basedOn w:val="Normal"/>
    <w:rsid w:val="002404A4"/>
    <w:pPr>
      <w:numPr>
        <w:ilvl w:val="4"/>
        <w:numId w:val="15"/>
      </w:numPr>
      <w:spacing w:before="100" w:line="240" w:lineRule="auto"/>
      <w:ind w:hanging="360"/>
    </w:pPr>
    <w:rPr>
      <w:rFonts w:ascii="Times New Roman" w:cs="Times New Roman" w:hAnsi="Times New Roman"/>
    </w:rPr>
  </w:style>
  <w:style w:type="numbering" w:styleId="Level" w:customStyle="1">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BrV5Dr5+H58bnoBzev+FegNhg==">AMUW2mVxlHQCIb7MquiSkMAlBQC4Hdddz2u24LTE+0dY9ipHSVwPsGcQvDo6tCN+3Fn+CIDIgeKiYjl0Kz4PAtQSyI2+hC7vvcn5qmcpZya+fdZ5k1H7Pc6MJ2D5Degq4I3wgP34cw2FdHqYDSga/1dX0ZXN4ii2weO0lG9MoLEPY2VDFK9lI3Ez/t9vzR78oG1YSjD/mdvJHI60IPcy9hHYdrsFVS/rc4flMoFQA3DS+aVsHaE14170SMdifwID/O3M5UIaXplFoFMV0nhiP3gT7QN5pYP1fnrJ4CFmY/+74jO7t1+8laD4M2DT2o6v1WcyK3v+D3E6+x8ghrNBt7qDPsizTp0YNsD/Krs6Rf1ByXuqm0IgkJ7RqxHB+ZY1c2gHSNunH38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2021-02-25T18:36:00Z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