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E7E21" w14:textId="77777777" w:rsidR="00E041AC" w:rsidRDefault="00E041AC">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E041AC" w14:paraId="6A6E7E23" w14:textId="77777777" w:rsidTr="00993FC2">
        <w:tc>
          <w:tcPr>
            <w:tcW w:w="9026" w:type="dxa"/>
            <w:shd w:val="clear" w:color="auto" w:fill="auto"/>
            <w:tcMar>
              <w:top w:w="100" w:type="dxa"/>
              <w:left w:w="100" w:type="dxa"/>
              <w:bottom w:w="100" w:type="dxa"/>
              <w:right w:w="100" w:type="dxa"/>
            </w:tcMar>
          </w:tcPr>
          <w:p w14:paraId="6A6E7E22" w14:textId="77777777" w:rsidR="00E041AC" w:rsidRDefault="0053204C">
            <w:pPr>
              <w:widowControl w:val="0"/>
              <w:spacing w:after="0" w:line="240" w:lineRule="auto"/>
              <w:rPr>
                <w:rFonts w:ascii="Arial" w:eastAsia="Arial" w:hAnsi="Arial" w:cs="Arial"/>
                <w:b/>
                <w:highlight w:val="yellow"/>
              </w:rPr>
            </w:pPr>
            <w:bookmarkStart w:id="0" w:name="_GoBack"/>
            <w:bookmarkEnd w:id="0"/>
            <w:r w:rsidRPr="00993FC2">
              <w:rPr>
                <w:rFonts w:ascii="Arial" w:hAnsi="Arial"/>
                <w:b/>
                <w:highlight w:val="yellow"/>
              </w:rPr>
              <w:t>PLEASE RETAIN A COPY OF THIS SCHEDULE AS THIS FORMS PART OF YOUR CALL-OFF CONTRACT</w:t>
            </w:r>
          </w:p>
        </w:tc>
      </w:tr>
    </w:tbl>
    <w:p w14:paraId="6A6E7E24" w14:textId="77777777" w:rsidR="00E041AC" w:rsidRDefault="00E041AC">
      <w:pPr>
        <w:spacing w:after="240" w:line="240" w:lineRule="auto"/>
        <w:jc w:val="both"/>
        <w:rPr>
          <w:rFonts w:ascii="Arial" w:eastAsia="Arial" w:hAnsi="Arial" w:cs="Arial"/>
          <w:b/>
          <w:sz w:val="36"/>
          <w:szCs w:val="36"/>
        </w:rPr>
      </w:pPr>
    </w:p>
    <w:p w14:paraId="6A6E7E25" w14:textId="77777777" w:rsidR="00E041AC" w:rsidRDefault="0053204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14:paraId="6A6E7E26" w14:textId="77777777" w:rsidR="00E041AC" w:rsidRDefault="00E041A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14:paraId="6A6E7E27" w14:textId="77777777" w:rsidR="00E041AC" w:rsidRDefault="005320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6A6E7E28"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W w:w="9016" w:type="dxa"/>
        <w:tblBorders>
          <w:top w:val="nil"/>
          <w:left w:val="nil"/>
          <w:bottom w:val="nil"/>
          <w:right w:val="nil"/>
          <w:insideH w:val="nil"/>
          <w:insideV w:val="nil"/>
        </w:tblBorders>
        <w:tblLayout w:type="fixed"/>
        <w:tblCellMar>
          <w:left w:w="115" w:type="dxa"/>
          <w:right w:w="115" w:type="dxa"/>
        </w:tblCellMar>
        <w:tblLook w:val="0400" w:firstRow="0" w:lastRow="0" w:firstColumn="0" w:lastColumn="0" w:noHBand="0" w:noVBand="1"/>
      </w:tblPr>
      <w:tblGrid>
        <w:gridCol w:w="2263"/>
        <w:gridCol w:w="6753"/>
      </w:tblGrid>
      <w:tr w:rsidR="00E041AC" w14:paraId="6A6E7E2B" w14:textId="77777777" w:rsidTr="00993FC2">
        <w:tc>
          <w:tcPr>
            <w:tcW w:w="2263" w:type="dxa"/>
          </w:tcPr>
          <w:p w14:paraId="6A6E7E29" w14:textId="77777777" w:rsidR="00E041AC" w:rsidRDefault="0053204C">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14:paraId="6A6E7E2A" w14:textId="77777777" w:rsidR="00E041AC" w:rsidRDefault="0053204C">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6A6E7E2C" w14:textId="77777777" w:rsidR="00E041AC" w:rsidRDefault="005320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6A6E7E2D"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6A6E7E2E"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6A6E7E2F"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6A6E7E30"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6A6E7E31"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6A6E7E32" w14:textId="77777777" w:rsidR="00E041AC" w:rsidRDefault="0053204C">
      <w:pPr>
        <w:pBdr>
          <w:top w:val="nil"/>
          <w:left w:val="nil"/>
          <w:bottom w:val="nil"/>
          <w:right w:val="nil"/>
          <w:between w:val="nil"/>
        </w:pBdr>
        <w:spacing w:before="280" w:after="120"/>
        <w:ind w:left="809"/>
        <w:rPr>
          <w:rFonts w:ascii="Arial" w:eastAsia="Arial" w:hAnsi="Arial" w:cs="Arial"/>
          <w:sz w:val="24"/>
          <w:szCs w:val="24"/>
        </w:rPr>
      </w:pPr>
      <w:proofErr w:type="gramStart"/>
      <w:r>
        <w:rPr>
          <w:rFonts w:ascii="Arial" w:eastAsia="Arial" w:hAnsi="Arial" w:cs="Arial"/>
          <w:sz w:val="24"/>
          <w:szCs w:val="24"/>
        </w:rPr>
        <w:t>in</w:t>
      </w:r>
      <w:proofErr w:type="gramEnd"/>
      <w:r>
        <w:rPr>
          <w:rFonts w:ascii="Arial" w:eastAsia="Arial" w:hAnsi="Arial" w:cs="Arial"/>
          <w:sz w:val="24"/>
          <w:szCs w:val="24"/>
        </w:rPr>
        <w:t xml:space="preserve">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6A6E7E33" w14:textId="77777777" w:rsidR="00E041AC" w:rsidRDefault="005320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6A6E7E34"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6A6E7E35"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6A6E7E36"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provide all reasonable assistance to the Controller in the preparation of any Data Protection Impact Assessment prior to commencing </w:t>
      </w:r>
      <w:r>
        <w:rPr>
          <w:rFonts w:ascii="Arial" w:eastAsia="Arial" w:hAnsi="Arial" w:cs="Arial"/>
          <w:sz w:val="24"/>
          <w:szCs w:val="24"/>
        </w:rPr>
        <w:lastRenderedPageBreak/>
        <w:t>any Processing.  Such assistance may, at the discretion of the Controller, include:</w:t>
      </w:r>
    </w:p>
    <w:p w14:paraId="6A6E7E37"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6A6E7E38"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6A6E7E39"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risks to the rights and freedoms of Data Subjects; and</w:t>
      </w:r>
    </w:p>
    <w:p w14:paraId="6A6E7E3A"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measures envisaged to address the risks, including safeguards, security measures and mechanisms to ensure the protection of Personal Data.</w:t>
      </w:r>
    </w:p>
    <w:p w14:paraId="6A6E7E3B"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bookmarkStart w:id="1" w:name="bookmark=id.gjdgxs" w:colFirst="0" w:colLast="0"/>
      <w:bookmarkEnd w:id="1"/>
      <w:r>
        <w:rPr>
          <w:rFonts w:ascii="Arial" w:eastAsia="Arial" w:hAnsi="Arial" w:cs="Arial"/>
          <w:sz w:val="24"/>
          <w:szCs w:val="24"/>
        </w:rPr>
        <w:t>The Processor shall, in relation to any Personal Data Processed in connection with its obligations under the Contract:</w:t>
      </w:r>
    </w:p>
    <w:p w14:paraId="6A6E7E3C"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30j0zll" w:colFirst="0" w:colLast="0"/>
      <w:bookmarkEnd w:id="2"/>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6A6E7E3D"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3" w:name="bookmark=id.1fob9te" w:colFirst="0" w:colLast="0"/>
      <w:bookmarkEnd w:id="3"/>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of the adequacy of the Protective Measures) having taken account of the:</w:t>
      </w:r>
    </w:p>
    <w:p w14:paraId="6A6E7E3E"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4" w:name="bookmark=id.3znysh7" w:colFirst="0" w:colLast="0"/>
      <w:bookmarkEnd w:id="4"/>
    </w:p>
    <w:p w14:paraId="6A6E7E3F"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A6E7E40"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6A6E7E41"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6A6E7E42"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2et92p0" w:colFirst="0" w:colLast="0"/>
      <w:bookmarkEnd w:id="5"/>
      <w:r>
        <w:rPr>
          <w:rFonts w:ascii="Arial" w:eastAsia="Arial" w:hAnsi="Arial" w:cs="Arial"/>
          <w:sz w:val="24"/>
          <w:szCs w:val="24"/>
        </w:rPr>
        <w:t>ensure that :</w:t>
      </w:r>
    </w:p>
    <w:p w14:paraId="6A6E7E43"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6A6E7E44"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6A6E7E45" w14:textId="77777777" w:rsidR="00E041AC" w:rsidRDefault="0053204C" w:rsidP="00993FC2">
      <w:pPr>
        <w:numPr>
          <w:ilvl w:val="4"/>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w:t>
      </w:r>
    </w:p>
    <w:p w14:paraId="6A6E7E46" w14:textId="77777777" w:rsidR="00E041AC" w:rsidRDefault="0053204C" w:rsidP="00993FC2">
      <w:pPr>
        <w:numPr>
          <w:ilvl w:val="4"/>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6A6E7E47" w14:textId="77777777" w:rsidR="00E041AC" w:rsidRDefault="0053204C" w:rsidP="00993FC2">
      <w:pPr>
        <w:numPr>
          <w:ilvl w:val="4"/>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6A6E7E48" w14:textId="77777777" w:rsidR="00E041AC" w:rsidRDefault="0053204C" w:rsidP="00993FC2">
      <w:pPr>
        <w:numPr>
          <w:ilvl w:val="4"/>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have undergone adequate training in the use, care, protection and handling of Personal Data; </w:t>
      </w:r>
    </w:p>
    <w:p w14:paraId="6A6E7E49"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6" w:name="bookmark=id.tyjcwt" w:colFirst="0" w:colLast="0"/>
      <w:bookmarkEnd w:id="6"/>
      <w:r>
        <w:rPr>
          <w:rFonts w:ascii="Arial" w:eastAsia="Arial" w:hAnsi="Arial" w:cs="Arial"/>
          <w:sz w:val="24"/>
          <w:szCs w:val="24"/>
        </w:rPr>
        <w:t>not transfer Personal Data outside of the EU unless the prior written consent of the Controller has been obtained and the following conditions are fulfilled:</w:t>
      </w:r>
    </w:p>
    <w:p w14:paraId="6A6E7E4A"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3dy6vkm" w:colFirst="0" w:colLast="0"/>
      <w:bookmarkEnd w:id="7"/>
      <w:r>
        <w:rPr>
          <w:rFonts w:ascii="Arial" w:eastAsia="Arial" w:hAnsi="Arial" w:cs="Arial"/>
          <w:sz w:val="24"/>
          <w:szCs w:val="24"/>
        </w:rPr>
        <w:t>the Controller or the Processor has provided appropriate safeguards in relation to the transfer (whether in accordance with UK GDPR Article 46 or LED Article 37) as determined by the Controller;</w:t>
      </w:r>
    </w:p>
    <w:p w14:paraId="6A6E7E4B"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1t3h5sf" w:colFirst="0" w:colLast="0"/>
      <w:bookmarkEnd w:id="8"/>
      <w:r>
        <w:rPr>
          <w:rFonts w:ascii="Arial" w:eastAsia="Arial" w:hAnsi="Arial" w:cs="Arial"/>
          <w:sz w:val="24"/>
          <w:szCs w:val="24"/>
        </w:rPr>
        <w:t>the Data Subject has enforceable rights and effective legal remedies;</w:t>
      </w:r>
    </w:p>
    <w:p w14:paraId="6A6E7E4C"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4d34og8" w:colFirst="0" w:colLast="0"/>
      <w:bookmarkEnd w:id="9"/>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6A6E7E4D" w14:textId="77777777" w:rsidR="00E041AC" w:rsidRDefault="0053204C" w:rsidP="00993FC2">
      <w:pPr>
        <w:numPr>
          <w:ilvl w:val="3"/>
          <w:numId w:val="18"/>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10" w:name="bookmark=id.2s8eyo1" w:colFirst="0" w:colLast="0"/>
      <w:bookmarkEnd w:id="10"/>
      <w:r>
        <w:rPr>
          <w:rFonts w:ascii="Arial" w:eastAsia="Arial" w:hAnsi="Arial" w:cs="Arial"/>
          <w:sz w:val="24"/>
          <w:szCs w:val="24"/>
        </w:rPr>
        <w:t>the Processor complies with any reasonable instructions notified to it in advance by the Controller with respect to the Processing of the Personal Data; and</w:t>
      </w:r>
    </w:p>
    <w:p w14:paraId="6A6E7E4E"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11" w:name="bookmark=id.17dp8vu" w:colFirst="0" w:colLast="0"/>
      <w:bookmarkEnd w:id="11"/>
      <w:proofErr w:type="gramStart"/>
      <w:r>
        <w:rPr>
          <w:rFonts w:ascii="Arial" w:eastAsia="Arial" w:hAnsi="Arial" w:cs="Arial"/>
          <w:sz w:val="24"/>
          <w:szCs w:val="24"/>
        </w:rPr>
        <w:t>at</w:t>
      </w:r>
      <w:proofErr w:type="gramEnd"/>
      <w:r>
        <w:rPr>
          <w:rFonts w:ascii="Arial" w:eastAsia="Arial" w:hAnsi="Arial" w:cs="Arial"/>
          <w:sz w:val="24"/>
          <w:szCs w:val="24"/>
        </w:rPr>
        <w:t xml:space="preserve"> the written direction of the Controller, delete or return Personal Data (and any copies of it) to the Controller on termination of the Contract unless the Processor is required by Law to retain the Personal Data.</w:t>
      </w:r>
    </w:p>
    <w:p w14:paraId="6A6E7E4F"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bookmarkStart w:id="12" w:name="bookmark=id.3rdcrjn" w:colFirst="0" w:colLast="0"/>
      <w:bookmarkEnd w:id="12"/>
      <w:r>
        <w:rPr>
          <w:rFonts w:ascii="Arial" w:eastAsia="Arial" w:hAnsi="Arial" w:cs="Arial"/>
          <w:sz w:val="24"/>
          <w:szCs w:val="24"/>
        </w:rPr>
        <w:t>Subject to paragraph 7 of this Joint Schedule 11, the Processor  shall notify the Controller immediately if in relation to it Processing Personal Data under or in connection with the Contract it:</w:t>
      </w:r>
    </w:p>
    <w:p w14:paraId="6A6E7E50"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6A6E7E51"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6A6E7E52"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6A6E7E53"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6A6E7E54"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6A6E7E55"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becomes</w:t>
      </w:r>
      <w:proofErr w:type="gramEnd"/>
      <w:r>
        <w:rPr>
          <w:rFonts w:ascii="Arial" w:eastAsia="Arial" w:hAnsi="Arial" w:cs="Arial"/>
          <w:sz w:val="24"/>
          <w:szCs w:val="24"/>
        </w:rPr>
        <w:t xml:space="preserve"> aware of a Personal Data Breach.</w:t>
      </w:r>
    </w:p>
    <w:p w14:paraId="6A6E7E56"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6 of this Joint Schedule 11 shall include the provision of further information to the Controller, as details become available. </w:t>
      </w:r>
    </w:p>
    <w:p w14:paraId="6A6E7E57"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Taking into account the nature of the Processing, the Processor shall provide the Controller with assistance in relation to either Party's obligations under Data Protection Legislation and any complaint, communication or request made </w:t>
      </w:r>
      <w:r>
        <w:rPr>
          <w:rFonts w:ascii="Arial" w:eastAsia="Arial" w:hAnsi="Arial" w:cs="Arial"/>
          <w:sz w:val="24"/>
          <w:szCs w:val="24"/>
        </w:rPr>
        <w:lastRenderedPageBreak/>
        <w:t>under paragraph 6 of this Joint Schedule 11 (and insofar as possible within the timescales reasonably required by the Controller) including by immediately providing:</w:t>
      </w:r>
    </w:p>
    <w:p w14:paraId="6A6E7E58"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6A6E7E59"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such assistance as is reasonably requested by the Controller to enable it to comply with a Data Subject Access Request within the relevant timescales set out in the Data Protection Legislation; </w:t>
      </w:r>
    </w:p>
    <w:p w14:paraId="6A6E7E5A"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6A6E7E5B"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14:paraId="6A6E7E5C"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assistance</w:t>
      </w:r>
      <w:proofErr w:type="gramEnd"/>
      <w:r>
        <w:rPr>
          <w:rFonts w:ascii="Arial" w:eastAsia="Arial" w:hAnsi="Arial" w:cs="Arial"/>
          <w:sz w:val="24"/>
          <w:szCs w:val="24"/>
        </w:rPr>
        <w:t xml:space="preserve"> as requested by the Controller with respect to any request from the Information Commissioner’s Office, or any consultation by the Controller with the Information Commissioner's Office.</w:t>
      </w:r>
    </w:p>
    <w:p w14:paraId="6A6E7E5D"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6A6E7E5E"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6A6E7E5F"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bookmarkStart w:id="13" w:name="_heading=h.26in1rg" w:colFirst="0" w:colLast="0"/>
      <w:bookmarkEnd w:id="13"/>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6A6E7E60"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the</w:t>
      </w:r>
      <w:proofErr w:type="gramEnd"/>
      <w:r>
        <w:rPr>
          <w:rFonts w:ascii="Arial" w:eastAsia="Arial" w:hAnsi="Arial" w:cs="Arial"/>
          <w:sz w:val="24"/>
          <w:szCs w:val="24"/>
        </w:rPr>
        <w:t xml:space="preserve"> Controller determines that the Processing is likely to result in a risk to the rights and freedoms of Data Subjects.</w:t>
      </w:r>
    </w:p>
    <w:p w14:paraId="6A6E7E61"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lnxbz9" w:colFirst="0" w:colLast="0"/>
      <w:bookmarkEnd w:id="14"/>
      <w:r>
        <w:rPr>
          <w:rFonts w:ascii="Arial" w:eastAsia="Arial" w:hAnsi="Arial" w:cs="Arial"/>
          <w:sz w:val="24"/>
          <w:szCs w:val="24"/>
        </w:rPr>
        <w:t>The Processor shall allow for audits of its Data Processing activity by the Controller or the Controller’s designated auditor.</w:t>
      </w:r>
    </w:p>
    <w:p w14:paraId="6A6E7E62"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6A6E7E63"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6A6E7E64"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6A6E7E65"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6A6E7E66"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6A6E7E67" w14:textId="77777777" w:rsidR="00E041AC" w:rsidRDefault="0053204C" w:rsidP="00993FC2">
      <w:pPr>
        <w:numPr>
          <w:ilvl w:val="2"/>
          <w:numId w:val="18"/>
        </w:numPr>
        <w:pBdr>
          <w:top w:val="nil"/>
          <w:left w:val="nil"/>
          <w:bottom w:val="nil"/>
          <w:right w:val="nil"/>
          <w:between w:val="nil"/>
        </w:pBdr>
        <w:spacing w:after="120" w:line="240" w:lineRule="auto"/>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6A6E7E68"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6A6E7E69"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bookmarkStart w:id="15" w:name="bookmark=id.35nkun2" w:colFirst="0" w:colLast="0"/>
      <w:bookmarkEnd w:id="15"/>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6A6E7E6A"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6A6E7E6B" w14:textId="77777777" w:rsidR="00E041AC" w:rsidRDefault="005320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6A6E7E6C"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6A6E7E6D" w14:textId="77777777" w:rsidR="00E041AC" w:rsidRDefault="0053204C">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6A6E7E6E"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A6E7E6F"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6A6E7E70"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8 of this Joint Schedule 11 above, the recipient of the Personal Data will provide all such relevant documents and information relating to its data protection policies and procedures as the other Party may reasonably require.</w:t>
      </w:r>
    </w:p>
    <w:p w14:paraId="6A6E7E71"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6A6E7E72"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6A6E7E73"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6A6E7E74"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6A6E7E75"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where</w:t>
      </w:r>
      <w:proofErr w:type="gramEnd"/>
      <w:r>
        <w:rPr>
          <w:rFonts w:ascii="Arial" w:eastAsia="Arial" w:hAnsi="Arial" w:cs="Arial"/>
          <w:sz w:val="24"/>
          <w:szCs w:val="24"/>
        </w:rPr>
        <w:t xml:space="preserve"> it has recorded it in Annex 1 </w:t>
      </w:r>
      <w:r>
        <w:rPr>
          <w:rFonts w:ascii="Arial" w:eastAsia="Arial" w:hAnsi="Arial" w:cs="Arial"/>
          <w:i/>
          <w:sz w:val="24"/>
          <w:szCs w:val="24"/>
        </w:rPr>
        <w:t>(Processing Personal Data).</w:t>
      </w:r>
    </w:p>
    <w:p w14:paraId="6A6E7E76"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14:paraId="6A6E7E77"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6A6E7E78"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6A6E7E79"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6A6E7E7A"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to the other Party and/or relates to that other Party's Processing of the Personal Data, the Request Recipient  will:</w:t>
      </w:r>
    </w:p>
    <w:p w14:paraId="6A6E7E7B" w14:textId="77777777" w:rsidR="00E041AC" w:rsidRDefault="0053204C" w:rsidP="00993FC2">
      <w:pPr>
        <w:numPr>
          <w:ilvl w:val="3"/>
          <w:numId w:val="1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6A6E7E7C" w14:textId="77777777" w:rsidR="00E041AC" w:rsidRDefault="0053204C" w:rsidP="00993FC2">
      <w:pPr>
        <w:numPr>
          <w:ilvl w:val="3"/>
          <w:numId w:val="18"/>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provide</w:t>
      </w:r>
      <w:proofErr w:type="gramEnd"/>
      <w:r>
        <w:rPr>
          <w:rFonts w:ascii="Arial" w:eastAsia="Arial" w:hAnsi="Arial" w:cs="Arial"/>
          <w:sz w:val="24"/>
          <w:szCs w:val="24"/>
        </w:rPr>
        <w:t xml:space="preserve"> any information and/or assistance as reasonably requested by the other Party to help it respond to the request or correspondence in the timeframes specified by Data Protection Legislation.</w:t>
      </w:r>
    </w:p>
    <w:p w14:paraId="6A6E7E7D"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6A6E7E7E"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6A6E7E7F"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6A6E7E80"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6A6E7E81"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not</w:t>
      </w:r>
      <w:proofErr w:type="gramEnd"/>
      <w:r>
        <w:rPr>
          <w:rFonts w:ascii="Arial" w:eastAsia="Arial" w:hAnsi="Arial" w:cs="Arial"/>
          <w:sz w:val="24"/>
          <w:szCs w:val="24"/>
        </w:rPr>
        <w:t xml:space="preserve"> do anything which may damage the reputation of the other Party or that Party's relationship with the relevant Data Subjects, save as required by Law. </w:t>
      </w:r>
    </w:p>
    <w:p w14:paraId="6A6E7E82"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A6E7E83"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A6E7E84" w14:textId="77777777" w:rsidR="00E041AC" w:rsidRDefault="0053204C" w:rsidP="00993FC2">
      <w:pPr>
        <w:numPr>
          <w:ilvl w:val="1"/>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27 of this Joint Schedule 11.</w:t>
      </w:r>
    </w:p>
    <w:p w14:paraId="6A6E7E85" w14:textId="77777777" w:rsidR="00E041AC" w:rsidRDefault="00E041AC">
      <w:pPr>
        <w:pBdr>
          <w:top w:val="nil"/>
          <w:left w:val="nil"/>
          <w:bottom w:val="nil"/>
          <w:right w:val="nil"/>
          <w:between w:val="nil"/>
        </w:pBdr>
        <w:spacing w:before="280" w:after="120"/>
        <w:ind w:left="709"/>
        <w:rPr>
          <w:rFonts w:ascii="Arial" w:eastAsia="Arial" w:hAnsi="Arial" w:cs="Arial"/>
          <w:sz w:val="24"/>
          <w:szCs w:val="24"/>
        </w:rPr>
      </w:pPr>
    </w:p>
    <w:p w14:paraId="6A6E7E86" w14:textId="77777777" w:rsidR="00E041AC" w:rsidRDefault="0053204C">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t>Annex 1 - Processing Personal Data</w:t>
      </w:r>
    </w:p>
    <w:p w14:paraId="6A6E7E87" w14:textId="77777777" w:rsidR="00E041AC" w:rsidRDefault="0053204C">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6A6E7E88" w14:textId="77777777" w:rsidR="00E041AC" w:rsidRDefault="0053204C" w:rsidP="00993FC2">
      <w:pPr>
        <w:keepNext/>
        <w:numPr>
          <w:ilvl w:val="3"/>
          <w:numId w:val="23"/>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6A6E7E89" w14:textId="77777777" w:rsidR="00E041AC" w:rsidRDefault="0053204C" w:rsidP="00993FC2">
      <w:pPr>
        <w:keepNext/>
        <w:numPr>
          <w:ilvl w:val="3"/>
          <w:numId w:val="23"/>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Supplier’s Data Protection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14:paraId="6A6E7E8A" w14:textId="77777777" w:rsidR="00E041AC" w:rsidRDefault="0053204C" w:rsidP="00993FC2">
      <w:pPr>
        <w:keepNext/>
        <w:numPr>
          <w:ilvl w:val="3"/>
          <w:numId w:val="23"/>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6A6E7E8B" w14:textId="77777777" w:rsidR="00E041AC" w:rsidRDefault="0053204C" w:rsidP="00993FC2">
      <w:pPr>
        <w:keepNext/>
        <w:numPr>
          <w:ilvl w:val="3"/>
          <w:numId w:val="23"/>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6A6E7E8C" w14:textId="77777777" w:rsidR="00E041AC" w:rsidRDefault="00E041AC">
      <w:pPr>
        <w:keepNext/>
        <w:ind w:left="720"/>
        <w:rPr>
          <w:rFonts w:ascii="Arial" w:eastAsia="Arial" w:hAnsi="Arial" w:cs="Arial"/>
          <w:sz w:val="24"/>
          <w:szCs w:val="24"/>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7423"/>
      </w:tblGrid>
      <w:tr w:rsidR="00E041AC" w14:paraId="6A6E7E8F" w14:textId="77777777" w:rsidTr="00993FC2">
        <w:trPr>
          <w:trHeight w:val="700"/>
        </w:trPr>
        <w:tc>
          <w:tcPr>
            <w:tcW w:w="2263" w:type="dxa"/>
            <w:shd w:val="clear" w:color="auto" w:fill="BFBFBF"/>
            <w:vAlign w:val="center"/>
          </w:tcPr>
          <w:p w14:paraId="6A6E7E8D" w14:textId="77777777" w:rsidR="00E041AC" w:rsidRDefault="0053204C">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14:paraId="6A6E7E8E" w14:textId="77777777" w:rsidR="00E041AC" w:rsidRDefault="0053204C">
            <w:pPr>
              <w:jc w:val="center"/>
              <w:rPr>
                <w:rFonts w:ascii="Arial" w:eastAsia="Arial" w:hAnsi="Arial" w:cs="Arial"/>
                <w:b/>
                <w:sz w:val="24"/>
                <w:szCs w:val="24"/>
              </w:rPr>
            </w:pPr>
            <w:r>
              <w:rPr>
                <w:rFonts w:ascii="Arial" w:eastAsia="Arial" w:hAnsi="Arial" w:cs="Arial"/>
                <w:b/>
                <w:sz w:val="24"/>
                <w:szCs w:val="24"/>
              </w:rPr>
              <w:t>Details</w:t>
            </w:r>
          </w:p>
        </w:tc>
      </w:tr>
      <w:tr w:rsidR="00E041AC" w14:paraId="6A6E7EAC" w14:textId="77777777" w:rsidTr="00993FC2">
        <w:trPr>
          <w:trHeight w:val="1620"/>
        </w:trPr>
        <w:tc>
          <w:tcPr>
            <w:tcW w:w="2263" w:type="dxa"/>
            <w:shd w:val="clear" w:color="auto" w:fill="auto"/>
          </w:tcPr>
          <w:p w14:paraId="6A6E7E90" w14:textId="77777777" w:rsidR="00E041AC" w:rsidRDefault="0053204C">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14:paraId="6A6E7E91" w14:textId="77777777" w:rsidR="00E041AC" w:rsidRDefault="0053204C">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14:paraId="6A6E7E92" w14:textId="77777777" w:rsidR="00E041AC" w:rsidRDefault="0053204C">
            <w:pPr>
              <w:rPr>
                <w:rFonts w:ascii="Arial" w:eastAsia="Arial" w:hAnsi="Arial" w:cs="Arial"/>
                <w:sz w:val="24"/>
                <w:szCs w:val="24"/>
              </w:rPr>
            </w:pPr>
            <w:r>
              <w:rPr>
                <w:rFonts w:ascii="Arial" w:eastAsia="Arial" w:hAnsi="Arial" w:cs="Arial"/>
                <w:sz w:val="24"/>
                <w:szCs w:val="24"/>
              </w:rPr>
              <w:t>The Parties acknowledge that in accordance with paragraph 2 to paragraph 15 and for the purposes of the Data Protection Legislation, the Relevant Authority is the Controller and the Supplier is the Processor of the following Personal Data:</w:t>
            </w:r>
          </w:p>
          <w:p w14:paraId="6A6E7E93" w14:textId="77777777" w:rsidR="00E041AC" w:rsidRDefault="00E041AC">
            <w:pPr>
              <w:rPr>
                <w:rFonts w:ascii="Arial" w:eastAsia="Arial" w:hAnsi="Arial" w:cs="Arial"/>
                <w:sz w:val="24"/>
                <w:szCs w:val="24"/>
              </w:rPr>
            </w:pPr>
          </w:p>
          <w:p w14:paraId="6A6E7E94" w14:textId="77777777" w:rsidR="00E041AC" w:rsidRDefault="0053204C" w:rsidP="00993FC2">
            <w:pPr>
              <w:numPr>
                <w:ilvl w:val="0"/>
                <w:numId w:val="26"/>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Supplier is determined by the Relevant Authority]</w:t>
            </w:r>
          </w:p>
          <w:p w14:paraId="6A6E7E95" w14:textId="77777777" w:rsidR="00E041AC" w:rsidRDefault="00E041AC">
            <w:pPr>
              <w:rPr>
                <w:rFonts w:ascii="Arial" w:eastAsia="Arial" w:hAnsi="Arial" w:cs="Arial"/>
                <w:sz w:val="24"/>
                <w:szCs w:val="24"/>
              </w:rPr>
            </w:pPr>
          </w:p>
          <w:p w14:paraId="6A6E7E96" w14:textId="77777777" w:rsidR="00E041AC" w:rsidRDefault="0053204C">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14:paraId="6A6E7E97" w14:textId="77777777" w:rsidR="00E041AC" w:rsidRDefault="00E041AC">
            <w:pPr>
              <w:rPr>
                <w:rFonts w:ascii="Arial" w:eastAsia="Arial" w:hAnsi="Arial" w:cs="Arial"/>
                <w:i/>
                <w:sz w:val="24"/>
                <w:szCs w:val="24"/>
              </w:rPr>
            </w:pPr>
          </w:p>
          <w:p w14:paraId="6A6E7E98" w14:textId="77777777" w:rsidR="00E041AC" w:rsidRDefault="0053204C">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2 </w:t>
            </w:r>
            <w:r>
              <w:rPr>
                <w:rFonts w:ascii="Arial" w:eastAsia="Arial" w:hAnsi="Arial" w:cs="Arial"/>
                <w:i/>
                <w:sz w:val="24"/>
                <w:szCs w:val="24"/>
              </w:rPr>
              <w:t>to paragraph 15</w:t>
            </w:r>
            <w:r>
              <w:rPr>
                <w:rFonts w:ascii="Arial" w:eastAsia="Arial" w:hAnsi="Arial" w:cs="Arial"/>
                <w:sz w:val="24"/>
                <w:szCs w:val="24"/>
              </w:rPr>
              <w:t xml:space="preserve"> </w:t>
            </w:r>
            <w:r>
              <w:rPr>
                <w:rFonts w:ascii="Arial" w:eastAsia="Arial" w:hAnsi="Arial" w:cs="Arial"/>
                <w:i/>
                <w:sz w:val="24"/>
                <w:szCs w:val="24"/>
              </w:rPr>
              <w:t>of the following Personal Data:</w:t>
            </w:r>
          </w:p>
          <w:p w14:paraId="6A6E7E99" w14:textId="77777777" w:rsidR="00E041AC" w:rsidRDefault="00E041AC">
            <w:pPr>
              <w:rPr>
                <w:rFonts w:ascii="Arial" w:eastAsia="Arial" w:hAnsi="Arial" w:cs="Arial"/>
                <w:sz w:val="24"/>
                <w:szCs w:val="24"/>
              </w:rPr>
            </w:pPr>
          </w:p>
          <w:p w14:paraId="6A6E7E9A" w14:textId="77777777" w:rsidR="00E041AC" w:rsidRDefault="0053204C" w:rsidP="00993FC2">
            <w:pPr>
              <w:numPr>
                <w:ilvl w:val="0"/>
                <w:numId w:val="26"/>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by the Relevant Authority  is determined by the Supplier]</w:t>
            </w:r>
          </w:p>
          <w:p w14:paraId="6A6E7E9B" w14:textId="77777777" w:rsidR="00E041AC" w:rsidRDefault="00E041AC">
            <w:pPr>
              <w:rPr>
                <w:rFonts w:ascii="Arial" w:eastAsia="Arial" w:hAnsi="Arial" w:cs="Arial"/>
                <w:sz w:val="24"/>
                <w:szCs w:val="24"/>
                <w:highlight w:val="yellow"/>
              </w:rPr>
            </w:pPr>
          </w:p>
          <w:p w14:paraId="6A6E7E9C" w14:textId="77777777" w:rsidR="00E041AC" w:rsidRDefault="0053204C">
            <w:pPr>
              <w:rPr>
                <w:rFonts w:ascii="Arial" w:eastAsia="Arial" w:hAnsi="Arial" w:cs="Arial"/>
                <w:b/>
                <w:sz w:val="24"/>
                <w:szCs w:val="24"/>
              </w:rPr>
            </w:pPr>
            <w:r>
              <w:rPr>
                <w:rFonts w:ascii="Arial" w:eastAsia="Arial" w:hAnsi="Arial" w:cs="Arial"/>
                <w:b/>
                <w:sz w:val="24"/>
                <w:szCs w:val="24"/>
              </w:rPr>
              <w:t>The Parties are Joint Controllers</w:t>
            </w:r>
          </w:p>
          <w:p w14:paraId="6A6E7E9D" w14:textId="77777777" w:rsidR="00E041AC" w:rsidRDefault="00E041AC">
            <w:pPr>
              <w:rPr>
                <w:rFonts w:ascii="Arial" w:eastAsia="Arial" w:hAnsi="Arial" w:cs="Arial"/>
                <w:i/>
                <w:sz w:val="24"/>
                <w:szCs w:val="24"/>
              </w:rPr>
            </w:pPr>
          </w:p>
          <w:p w14:paraId="6A6E7E9E" w14:textId="77777777" w:rsidR="00E041AC" w:rsidRDefault="0053204C">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Legislation in respect of:</w:t>
            </w:r>
          </w:p>
          <w:p w14:paraId="6A6E7E9F" w14:textId="77777777" w:rsidR="00E041AC" w:rsidRDefault="00E041AC">
            <w:pPr>
              <w:rPr>
                <w:rFonts w:ascii="Arial" w:eastAsia="Arial" w:hAnsi="Arial" w:cs="Arial"/>
                <w:b/>
                <w:i/>
                <w:sz w:val="24"/>
                <w:szCs w:val="24"/>
                <w:highlight w:val="yellow"/>
              </w:rPr>
            </w:pPr>
          </w:p>
          <w:p w14:paraId="6A6E7EA0" w14:textId="77777777" w:rsidR="00E041AC" w:rsidRDefault="0053204C" w:rsidP="00993FC2">
            <w:pPr>
              <w:numPr>
                <w:ilvl w:val="0"/>
                <w:numId w:val="25"/>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14:paraId="6A6E7EA1" w14:textId="77777777" w:rsidR="00E041AC" w:rsidRDefault="00E041AC">
            <w:pPr>
              <w:rPr>
                <w:rFonts w:ascii="Arial" w:eastAsia="Arial" w:hAnsi="Arial" w:cs="Arial"/>
                <w:i/>
                <w:sz w:val="24"/>
                <w:szCs w:val="24"/>
              </w:rPr>
            </w:pPr>
          </w:p>
          <w:p w14:paraId="6A6E7EA2" w14:textId="77777777" w:rsidR="00E041AC" w:rsidRDefault="0053204C">
            <w:pPr>
              <w:rPr>
                <w:rFonts w:ascii="Arial" w:eastAsia="Arial" w:hAnsi="Arial" w:cs="Arial"/>
                <w:i/>
                <w:sz w:val="24"/>
                <w:szCs w:val="24"/>
              </w:rPr>
            </w:pPr>
            <w:r>
              <w:rPr>
                <w:rFonts w:ascii="Arial" w:eastAsia="Arial" w:hAnsi="Arial" w:cs="Arial"/>
                <w:i/>
                <w:sz w:val="24"/>
                <w:szCs w:val="24"/>
              </w:rPr>
              <w:t xml:space="preserve"> </w:t>
            </w:r>
          </w:p>
          <w:p w14:paraId="6A6E7EA3" w14:textId="77777777" w:rsidR="00E041AC" w:rsidRDefault="0053204C">
            <w:pPr>
              <w:rPr>
                <w:rFonts w:ascii="Arial" w:eastAsia="Arial" w:hAnsi="Arial" w:cs="Arial"/>
                <w:b/>
                <w:sz w:val="24"/>
                <w:szCs w:val="24"/>
              </w:rPr>
            </w:pPr>
            <w:r>
              <w:rPr>
                <w:rFonts w:ascii="Arial" w:eastAsia="Arial" w:hAnsi="Arial" w:cs="Arial"/>
                <w:b/>
                <w:sz w:val="24"/>
                <w:szCs w:val="24"/>
              </w:rPr>
              <w:t>The Parties are Independent Controllers of Personal Data</w:t>
            </w:r>
          </w:p>
          <w:p w14:paraId="6A6E7EA4" w14:textId="77777777" w:rsidR="00E041AC" w:rsidRDefault="00E041AC">
            <w:pPr>
              <w:rPr>
                <w:rFonts w:ascii="Arial" w:eastAsia="Arial" w:hAnsi="Arial" w:cs="Arial"/>
                <w:b/>
                <w:i/>
                <w:sz w:val="24"/>
                <w:szCs w:val="24"/>
                <w:highlight w:val="yellow"/>
              </w:rPr>
            </w:pPr>
          </w:p>
          <w:p w14:paraId="6A6E7EA5" w14:textId="77777777" w:rsidR="00E041AC" w:rsidRDefault="0053204C">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14:paraId="6A6E7EA6" w14:textId="77777777" w:rsidR="00E041AC" w:rsidRDefault="0053204C" w:rsidP="00993FC2">
            <w:pPr>
              <w:numPr>
                <w:ilvl w:val="0"/>
                <w:numId w:val="21"/>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14:paraId="6A6E7EA7" w14:textId="77777777" w:rsidR="00E041AC" w:rsidRDefault="0053204C" w:rsidP="00993FC2">
            <w:pPr>
              <w:numPr>
                <w:ilvl w:val="0"/>
                <w:numId w:val="21"/>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directors, officers, employees, agents, consultants and contractors of Relevant Authority (excluding the Supplier Personnel) engaged in the performance of the Relevant Authority’s duties under the Contract) for which the Relevant Authority is the Controller,</w:t>
            </w:r>
          </w:p>
          <w:p w14:paraId="6A6E7EA8" w14:textId="77777777" w:rsidR="00E041AC" w:rsidRDefault="0053204C" w:rsidP="00993FC2">
            <w:pPr>
              <w:numPr>
                <w:ilvl w:val="0"/>
                <w:numId w:val="2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Relevant Authority cannot dictate the way in which Personal Data is processed by the Supplier, or (3) where the  Supplier comes to the transaction with Personal Data for which it is already Controller for use by the Relevant Authority] </w:t>
            </w:r>
          </w:p>
          <w:p w14:paraId="6A6E7EA9" w14:textId="77777777" w:rsidR="00E041AC" w:rsidRDefault="0053204C">
            <w:pPr>
              <w:rPr>
                <w:rFonts w:ascii="Arial" w:eastAsia="Arial" w:hAnsi="Arial" w:cs="Arial"/>
                <w:i/>
                <w:sz w:val="24"/>
                <w:szCs w:val="24"/>
              </w:rPr>
            </w:pPr>
            <w:r>
              <w:rPr>
                <w:rFonts w:ascii="Arial" w:eastAsia="Arial" w:hAnsi="Arial" w:cs="Arial"/>
                <w:i/>
                <w:sz w:val="24"/>
                <w:szCs w:val="24"/>
              </w:rPr>
              <w:t xml:space="preserve"> </w:t>
            </w:r>
          </w:p>
          <w:p w14:paraId="6A6E7EAA" w14:textId="77777777" w:rsidR="00E041AC" w:rsidRDefault="0053204C">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14:paraId="6A6E7EAB" w14:textId="77777777" w:rsidR="00E041AC" w:rsidRDefault="00E041AC">
            <w:pPr>
              <w:rPr>
                <w:rFonts w:ascii="Arial" w:eastAsia="Arial" w:hAnsi="Arial" w:cs="Arial"/>
                <w:sz w:val="24"/>
                <w:szCs w:val="24"/>
              </w:rPr>
            </w:pPr>
          </w:p>
        </w:tc>
      </w:tr>
      <w:tr w:rsidR="00E041AC" w14:paraId="6A6E7EAF" w14:textId="77777777" w:rsidTr="00993FC2">
        <w:trPr>
          <w:trHeight w:val="1460"/>
        </w:trPr>
        <w:tc>
          <w:tcPr>
            <w:tcW w:w="2263" w:type="dxa"/>
            <w:shd w:val="clear" w:color="auto" w:fill="auto"/>
          </w:tcPr>
          <w:p w14:paraId="6A6E7EAD" w14:textId="77777777" w:rsidR="00E041AC" w:rsidRDefault="0053204C">
            <w:pPr>
              <w:rPr>
                <w:rFonts w:ascii="Arial" w:eastAsia="Arial" w:hAnsi="Arial" w:cs="Arial"/>
                <w:sz w:val="24"/>
                <w:szCs w:val="24"/>
              </w:rPr>
            </w:pPr>
            <w:r>
              <w:rPr>
                <w:rFonts w:ascii="Arial" w:eastAsia="Arial" w:hAnsi="Arial" w:cs="Arial"/>
                <w:sz w:val="24"/>
                <w:szCs w:val="24"/>
              </w:rPr>
              <w:t>Duration of the Processing</w:t>
            </w:r>
          </w:p>
        </w:tc>
        <w:tc>
          <w:tcPr>
            <w:tcW w:w="7423" w:type="dxa"/>
            <w:shd w:val="clear" w:color="auto" w:fill="auto"/>
          </w:tcPr>
          <w:p w14:paraId="6A6E7EAE" w14:textId="77777777" w:rsidR="00E041AC" w:rsidRDefault="0053204C">
            <w:pPr>
              <w:rPr>
                <w:rFonts w:ascii="Arial" w:eastAsia="Arial" w:hAnsi="Arial" w:cs="Arial"/>
                <w:sz w:val="24"/>
                <w:szCs w:val="24"/>
              </w:rPr>
            </w:pPr>
            <w:r>
              <w:rPr>
                <w:rFonts w:ascii="Arial" w:eastAsia="Arial" w:hAnsi="Arial" w:cs="Arial"/>
                <w:i/>
                <w:sz w:val="24"/>
                <w:szCs w:val="24"/>
              </w:rPr>
              <w:t>[Clearly set out the duration of the Processing including dates]</w:t>
            </w:r>
          </w:p>
        </w:tc>
      </w:tr>
      <w:tr w:rsidR="00E041AC" w14:paraId="6A6E7EB4" w14:textId="77777777" w:rsidTr="00993FC2">
        <w:trPr>
          <w:trHeight w:val="1520"/>
        </w:trPr>
        <w:tc>
          <w:tcPr>
            <w:tcW w:w="2263" w:type="dxa"/>
            <w:shd w:val="clear" w:color="auto" w:fill="auto"/>
          </w:tcPr>
          <w:p w14:paraId="6A6E7EB0" w14:textId="77777777" w:rsidR="00E041AC" w:rsidRDefault="0053204C">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14:paraId="6A6E7EB1" w14:textId="77777777" w:rsidR="00E041AC" w:rsidRDefault="0053204C">
            <w:pPr>
              <w:rPr>
                <w:rFonts w:ascii="Arial" w:eastAsia="Arial" w:hAnsi="Arial" w:cs="Arial"/>
                <w:i/>
                <w:sz w:val="24"/>
                <w:szCs w:val="24"/>
              </w:rPr>
            </w:pPr>
            <w:r>
              <w:rPr>
                <w:rFonts w:ascii="Arial" w:eastAsia="Arial" w:hAnsi="Arial" w:cs="Arial"/>
                <w:i/>
                <w:sz w:val="24"/>
                <w:szCs w:val="24"/>
              </w:rPr>
              <w:t xml:space="preserve">[Please be as specific as possible, but make sure that you cover all intended purposes. </w:t>
            </w:r>
          </w:p>
          <w:p w14:paraId="6A6E7EB2" w14:textId="77777777" w:rsidR="00E041AC" w:rsidRDefault="0053204C">
            <w:pPr>
              <w:rPr>
                <w:rFonts w:ascii="Arial" w:eastAsia="Arial" w:hAnsi="Arial" w:cs="Arial"/>
                <w:i/>
                <w:sz w:val="24"/>
                <w:szCs w:val="24"/>
              </w:rPr>
            </w:pPr>
            <w:r>
              <w:rPr>
                <w:rFonts w:ascii="Arial" w:eastAsia="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6A6E7EB3" w14:textId="77777777" w:rsidR="00E041AC" w:rsidRDefault="0053204C">
            <w:pPr>
              <w:rPr>
                <w:rFonts w:ascii="Arial" w:eastAsia="Arial" w:hAnsi="Arial" w:cs="Arial"/>
                <w:sz w:val="24"/>
                <w:szCs w:val="24"/>
              </w:rPr>
            </w:pPr>
            <w:r>
              <w:rPr>
                <w:rFonts w:ascii="Arial" w:eastAsia="Arial" w:hAnsi="Arial" w:cs="Arial"/>
                <w:i/>
                <w:sz w:val="24"/>
                <w:szCs w:val="24"/>
              </w:rPr>
              <w:t xml:space="preserve">The purpose might include: employment processing, statutory obligation, recruitment assessment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E041AC" w14:paraId="6A6E7EB7" w14:textId="77777777" w:rsidTr="00993FC2">
        <w:trPr>
          <w:trHeight w:val="1400"/>
        </w:trPr>
        <w:tc>
          <w:tcPr>
            <w:tcW w:w="2263" w:type="dxa"/>
            <w:shd w:val="clear" w:color="auto" w:fill="auto"/>
          </w:tcPr>
          <w:p w14:paraId="6A6E7EB5" w14:textId="77777777" w:rsidR="00E041AC" w:rsidRDefault="0053204C">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14:paraId="6A6E7EB6" w14:textId="77777777" w:rsidR="00E041AC" w:rsidRDefault="0053204C">
            <w:pPr>
              <w:rPr>
                <w:rFonts w:ascii="Arial" w:eastAsia="Arial" w:hAnsi="Arial" w:cs="Arial"/>
                <w:sz w:val="24"/>
                <w:szCs w:val="24"/>
              </w:rPr>
            </w:pPr>
            <w:r>
              <w:rPr>
                <w:rFonts w:ascii="Arial" w:eastAsia="Arial" w:hAnsi="Arial" w:cs="Arial"/>
                <w:i/>
                <w:sz w:val="24"/>
                <w:szCs w:val="24"/>
              </w:rPr>
              <w:t xml:space="preserve">[Examples here include: name, address, date of birth, NI number, telephone number, pay, images, biometric data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E041AC" w14:paraId="6A6E7EBA" w14:textId="77777777" w:rsidTr="00993FC2">
        <w:trPr>
          <w:trHeight w:val="1560"/>
        </w:trPr>
        <w:tc>
          <w:tcPr>
            <w:tcW w:w="2263" w:type="dxa"/>
            <w:shd w:val="clear" w:color="auto" w:fill="auto"/>
          </w:tcPr>
          <w:p w14:paraId="6A6E7EB8" w14:textId="77777777" w:rsidR="00E041AC" w:rsidRDefault="0053204C">
            <w:pPr>
              <w:rPr>
                <w:rFonts w:ascii="Arial" w:eastAsia="Arial" w:hAnsi="Arial" w:cs="Arial"/>
                <w:sz w:val="24"/>
                <w:szCs w:val="24"/>
              </w:rPr>
            </w:pPr>
            <w:r>
              <w:rPr>
                <w:rFonts w:ascii="Arial" w:eastAsia="Arial" w:hAnsi="Arial" w:cs="Arial"/>
                <w:sz w:val="24"/>
                <w:szCs w:val="24"/>
              </w:rPr>
              <w:t>Categories of Data Subject</w:t>
            </w:r>
          </w:p>
        </w:tc>
        <w:tc>
          <w:tcPr>
            <w:tcW w:w="7423" w:type="dxa"/>
            <w:shd w:val="clear" w:color="auto" w:fill="auto"/>
          </w:tcPr>
          <w:p w14:paraId="6A6E7EB9" w14:textId="77777777" w:rsidR="00E041AC" w:rsidRDefault="0053204C">
            <w:pPr>
              <w:rPr>
                <w:rFonts w:ascii="Arial" w:eastAsia="Arial" w:hAnsi="Arial" w:cs="Arial"/>
                <w:sz w:val="24"/>
                <w:szCs w:val="24"/>
              </w:rPr>
            </w:pPr>
            <w:r>
              <w:rPr>
                <w:rFonts w:ascii="Arial" w:eastAsia="Arial" w:hAnsi="Arial" w:cs="Arial"/>
                <w:i/>
                <w:sz w:val="24"/>
                <w:szCs w:val="24"/>
              </w:rPr>
              <w:t>[Examples include: Staff (including volunteers, agents, and temporary workers), customers/ clients, suppliers, patients, students / pupils, members of the public, users of a particular</w:t>
            </w:r>
            <w:r>
              <w:rPr>
                <w:rFonts w:ascii="Arial" w:eastAsia="Arial" w:hAnsi="Arial" w:cs="Arial"/>
                <w:i/>
                <w:sz w:val="24"/>
                <w:szCs w:val="24"/>
              </w:rPr>
              <w:br/>
              <w:t xml:space="preserve">website </w:t>
            </w:r>
            <w:proofErr w:type="spellStart"/>
            <w:r>
              <w:rPr>
                <w:rFonts w:ascii="Arial" w:eastAsia="Arial" w:hAnsi="Arial" w:cs="Arial"/>
                <w:i/>
                <w:sz w:val="24"/>
                <w:szCs w:val="24"/>
              </w:rPr>
              <w:t>etc</w:t>
            </w:r>
            <w:proofErr w:type="spellEnd"/>
            <w:r>
              <w:rPr>
                <w:rFonts w:ascii="Arial" w:eastAsia="Arial" w:hAnsi="Arial" w:cs="Arial"/>
                <w:i/>
                <w:sz w:val="24"/>
                <w:szCs w:val="24"/>
              </w:rPr>
              <w:t>]</w:t>
            </w:r>
          </w:p>
        </w:tc>
      </w:tr>
      <w:tr w:rsidR="00E041AC" w14:paraId="6A6E7EBF" w14:textId="77777777" w:rsidTr="00993FC2">
        <w:trPr>
          <w:trHeight w:val="1660"/>
        </w:trPr>
        <w:tc>
          <w:tcPr>
            <w:tcW w:w="2263" w:type="dxa"/>
            <w:shd w:val="clear" w:color="auto" w:fill="auto"/>
          </w:tcPr>
          <w:p w14:paraId="6A6E7EBB" w14:textId="77777777" w:rsidR="00E041AC" w:rsidRDefault="0053204C">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6A6E7EBC" w14:textId="77777777" w:rsidR="00E041AC" w:rsidRDefault="0053204C">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shd w:val="clear" w:color="auto" w:fill="auto"/>
          </w:tcPr>
          <w:p w14:paraId="6A6E7EBD" w14:textId="77777777" w:rsidR="00E041AC" w:rsidRDefault="0053204C">
            <w:pPr>
              <w:rPr>
                <w:rFonts w:ascii="Arial" w:eastAsia="Arial" w:hAnsi="Arial" w:cs="Arial"/>
                <w:i/>
                <w:sz w:val="24"/>
                <w:szCs w:val="24"/>
              </w:rPr>
            </w:pPr>
            <w:r>
              <w:rPr>
                <w:rFonts w:ascii="Arial" w:eastAsia="Arial" w:hAnsi="Arial" w:cs="Arial"/>
                <w:i/>
                <w:sz w:val="24"/>
                <w:szCs w:val="24"/>
              </w:rPr>
              <w:t>[Describe how long the data will be retained for, how it be returned or destroyed]</w:t>
            </w:r>
          </w:p>
          <w:p w14:paraId="6A6E7EBE" w14:textId="77777777" w:rsidR="00E041AC" w:rsidRDefault="00E041AC">
            <w:pPr>
              <w:rPr>
                <w:rFonts w:ascii="Arial" w:eastAsia="Arial" w:hAnsi="Arial" w:cs="Arial"/>
                <w:i/>
                <w:sz w:val="24"/>
                <w:szCs w:val="24"/>
              </w:rPr>
            </w:pPr>
          </w:p>
        </w:tc>
      </w:tr>
      <w:tr w:rsidR="00E041AC" w14:paraId="6A6E7EC2" w14:textId="77777777" w:rsidTr="00993FC2">
        <w:trPr>
          <w:trHeight w:val="1660"/>
        </w:trPr>
        <w:tc>
          <w:tcPr>
            <w:tcW w:w="2263" w:type="dxa"/>
            <w:shd w:val="clear" w:color="auto" w:fill="auto"/>
          </w:tcPr>
          <w:p w14:paraId="6A6E7EC0" w14:textId="77777777" w:rsidR="00E041AC" w:rsidRDefault="0053204C">
            <w:pPr>
              <w:rPr>
                <w:rFonts w:ascii="Arial" w:eastAsia="Arial" w:hAnsi="Arial" w:cs="Arial"/>
                <w:sz w:val="24"/>
                <w:szCs w:val="24"/>
              </w:rPr>
            </w:pPr>
            <w:r>
              <w:rPr>
                <w:rFonts w:ascii="Arial" w:eastAsia="Arial" w:hAnsi="Arial" w:cs="Arial"/>
                <w:sz w:val="24"/>
                <w:szCs w:val="24"/>
              </w:rPr>
              <w:t xml:space="preserve">Data Transfer </w:t>
            </w:r>
          </w:p>
        </w:tc>
        <w:tc>
          <w:tcPr>
            <w:tcW w:w="7423" w:type="dxa"/>
            <w:shd w:val="clear" w:color="auto" w:fill="auto"/>
          </w:tcPr>
          <w:p w14:paraId="6A6E7EC1" w14:textId="77777777" w:rsidR="00E041AC" w:rsidRDefault="0053204C">
            <w:pPr>
              <w:rPr>
                <w:rFonts w:ascii="Arial" w:eastAsia="Arial" w:hAnsi="Arial" w:cs="Arial"/>
              </w:rPr>
            </w:pPr>
            <w:r>
              <w:rPr>
                <w:rFonts w:ascii="Arial" w:eastAsia="Arial" w:hAnsi="Arial" w:cs="Arial"/>
              </w:rPr>
              <w:t xml:space="preserve">The Supplier agrees that they will not transfer </w:t>
            </w:r>
            <w:r>
              <w:rPr>
                <w:rFonts w:ascii="Arial" w:eastAsia="Arial" w:hAnsi="Arial" w:cs="Arial"/>
                <w:b/>
              </w:rPr>
              <w:t>Personal Data or Metadata outside of the EU</w:t>
            </w:r>
            <w:r>
              <w:rPr>
                <w:rFonts w:ascii="Arial" w:eastAsia="Arial" w:hAnsi="Arial" w:cs="Arial"/>
              </w:rPr>
              <w:t xml:space="preserve"> unless the prior written consent of the Controller has been obtained</w:t>
            </w:r>
          </w:p>
        </w:tc>
      </w:tr>
    </w:tbl>
    <w:p w14:paraId="6A6E7EC3" w14:textId="77777777" w:rsidR="00E041AC" w:rsidRDefault="00E041AC">
      <w:pPr>
        <w:rPr>
          <w:rFonts w:ascii="Arial" w:eastAsia="Arial" w:hAnsi="Arial" w:cs="Arial"/>
          <w:b/>
          <w:sz w:val="24"/>
          <w:szCs w:val="24"/>
        </w:rPr>
      </w:pPr>
    </w:p>
    <w:p w14:paraId="6A6E7EC4" w14:textId="77777777" w:rsidR="00E041AC" w:rsidRDefault="0053204C">
      <w:pPr>
        <w:rPr>
          <w:rFonts w:ascii="Arial" w:eastAsia="Arial" w:hAnsi="Arial" w:cs="Arial"/>
          <w:b/>
          <w:sz w:val="24"/>
          <w:szCs w:val="24"/>
        </w:rPr>
      </w:pPr>
      <w:r>
        <w:br w:type="page"/>
      </w:r>
    </w:p>
    <w:p w14:paraId="6A6E7EC5" w14:textId="77777777" w:rsidR="00E041AC" w:rsidRDefault="0053204C">
      <w:pPr>
        <w:rPr>
          <w:rFonts w:ascii="Arial" w:eastAsia="Arial" w:hAnsi="Arial" w:cs="Arial"/>
          <w:sz w:val="24"/>
          <w:szCs w:val="24"/>
        </w:rPr>
      </w:pPr>
      <w:r>
        <w:rPr>
          <w:rFonts w:ascii="Arial" w:eastAsia="Arial" w:hAnsi="Arial" w:cs="Arial"/>
          <w:b/>
          <w:sz w:val="24"/>
          <w:szCs w:val="24"/>
        </w:rPr>
        <w:t>Annex 2 - Joint Controller Agreement</w:t>
      </w:r>
    </w:p>
    <w:p w14:paraId="6A6E7EC6" w14:textId="77777777" w:rsidR="00E041AC" w:rsidRDefault="0053204C">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6A6E7EC7" w14:textId="77777777" w:rsidR="00E041AC" w:rsidRDefault="0053204C">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2-15 of Joint Schedule 11 (Where one Party is Controller and the other Party is Processor) and paragraphs 7-27 of Joint Schedule 11 (Independent Controllers of Personal Data). Accordingly, the Parties each undertake to comply with the applicable Data Protection Legislation in respect of their Processing of such Personal Data as Data Controllers. </w:t>
      </w:r>
    </w:p>
    <w:p w14:paraId="6A6E7EC8" w14:textId="77777777" w:rsidR="00E041AC" w:rsidRDefault="0053204C">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14:paraId="6A6E7EC9"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6A6E7ECA"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6A6E7ECB"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6A6E7ECC"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6A6E7ECD" w14:textId="77777777" w:rsidR="00E041AC" w:rsidRDefault="0053204C" w:rsidP="00993FC2">
      <w:pPr>
        <w:numPr>
          <w:ilvl w:val="2"/>
          <w:numId w:val="1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6A6E7ECE" w14:textId="77777777" w:rsidR="00E041AC" w:rsidRDefault="0053204C">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6A6E7ECF"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6A6E7ED0"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6A6E7ED1"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6A6E7ED2"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Data Subject Access Request (or purported Data Subject  Access Requests) from Data Subjects (or third parties on their behalf);</w:t>
      </w:r>
    </w:p>
    <w:p w14:paraId="6A6E7ED3"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6A6E7ED4"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6A6E7ED5"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6A6E7ED6"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6A6E7ED7" w14:textId="77777777" w:rsidR="00E041AC" w:rsidRDefault="0053204C">
      <w:pPr>
        <w:ind w:left="720"/>
        <w:rPr>
          <w:rFonts w:ascii="Arial" w:eastAsia="Arial" w:hAnsi="Arial" w:cs="Arial"/>
          <w:sz w:val="24"/>
          <w:szCs w:val="24"/>
        </w:rPr>
      </w:pPr>
      <w:proofErr w:type="gramStart"/>
      <w:r>
        <w:rPr>
          <w:rFonts w:ascii="Arial" w:eastAsia="Arial" w:hAnsi="Arial" w:cs="Arial"/>
          <w:sz w:val="24"/>
          <w:szCs w:val="24"/>
        </w:rPr>
        <w:t>that</w:t>
      </w:r>
      <w:proofErr w:type="gramEnd"/>
      <w:r>
        <w:rPr>
          <w:rFonts w:ascii="Arial" w:eastAsia="Arial" w:hAnsi="Arial" w:cs="Arial"/>
          <w:sz w:val="24"/>
          <w:szCs w:val="24"/>
        </w:rPr>
        <w:t xml:space="preserve"> it has received in relation to the subject matter of the Contract during that period; </w:t>
      </w:r>
    </w:p>
    <w:p w14:paraId="6A6E7ED8"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notify each other immediately if it receives any request, complaint or communication made as referred to in Clauses 2.1(a)(</w:t>
      </w:r>
      <w:proofErr w:type="spellStart"/>
      <w:r>
        <w:rPr>
          <w:rFonts w:ascii="Arial" w:eastAsia="Arial" w:hAnsi="Arial" w:cs="Arial"/>
          <w:sz w:val="24"/>
          <w:szCs w:val="24"/>
        </w:rPr>
        <w:t>i</w:t>
      </w:r>
      <w:proofErr w:type="spellEnd"/>
      <w:r>
        <w:rPr>
          <w:rFonts w:ascii="Arial" w:eastAsia="Arial" w:hAnsi="Arial" w:cs="Arial"/>
          <w:sz w:val="24"/>
          <w:szCs w:val="24"/>
        </w:rPr>
        <w:t xml:space="preserve">) to (v); </w:t>
      </w:r>
    </w:p>
    <w:p w14:paraId="6A6E7ED9"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6A6E7EDA"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6A6E7EDB"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6A6E7EDC"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A6E7EDD"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take all reasonable steps to ensure the reliability and integrity of any of its Personnel who have access to the Personal Data and ensure that its Personnel:</w:t>
      </w:r>
    </w:p>
    <w:p w14:paraId="6A6E7EDE"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6A6E7EDF"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6A6E7EE0"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6A6E7EE1"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6A6E7EE2"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6A6E7EE3"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6A6E7EE4"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6A6E7EE5" w14:textId="77777777" w:rsidR="00E041AC" w:rsidRDefault="0053204C" w:rsidP="00993FC2">
      <w:pPr>
        <w:numPr>
          <w:ilvl w:val="3"/>
          <w:numId w:val="27"/>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6A6E7EE6"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6A6E7EE7" w14:textId="77777777" w:rsidR="00E041AC" w:rsidRDefault="0053204C" w:rsidP="00993FC2">
      <w:pPr>
        <w:numPr>
          <w:ilvl w:val="2"/>
          <w:numId w:val="27"/>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it notifies the other Party as soon as it becomes aware of a Personal Data Breach. </w:t>
      </w:r>
    </w:p>
    <w:p w14:paraId="6A6E7EE8"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6A6E7EE9"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6A6E7EEA"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6A6E7EEB" w14:textId="77777777" w:rsidR="00E041AC" w:rsidRDefault="0053204C" w:rsidP="00993FC2">
      <w:pPr>
        <w:numPr>
          <w:ilvl w:val="2"/>
          <w:numId w:val="2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sufficient information and in a timescale which allows the other Party to meet any obligations to report a Personal Data Breach under the Data Protection Legislation; and</w:t>
      </w:r>
    </w:p>
    <w:p w14:paraId="6A6E7EEC" w14:textId="77777777" w:rsidR="00E041AC" w:rsidRDefault="0053204C" w:rsidP="00993FC2">
      <w:pPr>
        <w:numPr>
          <w:ilvl w:val="2"/>
          <w:numId w:val="28"/>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6A6E7EED" w14:textId="77777777" w:rsidR="00E041AC" w:rsidRDefault="0053204C" w:rsidP="00993FC2">
      <w:pPr>
        <w:numPr>
          <w:ilvl w:val="3"/>
          <w:numId w:val="2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6A6E7EEE" w14:textId="77777777" w:rsidR="00E041AC" w:rsidRDefault="0053204C" w:rsidP="00993FC2">
      <w:pPr>
        <w:numPr>
          <w:ilvl w:val="3"/>
          <w:numId w:val="2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6A6E7EEF" w14:textId="77777777" w:rsidR="00E041AC" w:rsidRDefault="0053204C" w:rsidP="00993FC2">
      <w:pPr>
        <w:numPr>
          <w:ilvl w:val="3"/>
          <w:numId w:val="28"/>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6A6E7EF0" w14:textId="77777777" w:rsidR="00E041AC" w:rsidRDefault="0053204C" w:rsidP="00993FC2">
      <w:pPr>
        <w:numPr>
          <w:ilvl w:val="3"/>
          <w:numId w:val="28"/>
        </w:numPr>
        <w:pBdr>
          <w:top w:val="nil"/>
          <w:left w:val="nil"/>
          <w:bottom w:val="nil"/>
          <w:right w:val="nil"/>
          <w:between w:val="nil"/>
        </w:pBdr>
        <w:spacing w:before="280" w:after="120" w:line="240" w:lineRule="auto"/>
        <w:ind w:hanging="707"/>
        <w:jc w:val="both"/>
        <w:rPr>
          <w:rFonts w:ascii="Arial" w:eastAsia="Arial" w:hAnsi="Arial" w:cs="Arial"/>
          <w:sz w:val="24"/>
          <w:szCs w:val="24"/>
        </w:rPr>
      </w:pPr>
      <w:proofErr w:type="gramStart"/>
      <w:r>
        <w:rPr>
          <w:rFonts w:ascii="Arial" w:eastAsia="Arial" w:hAnsi="Arial" w:cs="Arial"/>
          <w:sz w:val="24"/>
          <w:szCs w:val="24"/>
        </w:rPr>
        <w:t>providing</w:t>
      </w:r>
      <w:proofErr w:type="gramEnd"/>
      <w:r>
        <w:rPr>
          <w:rFonts w:ascii="Arial" w:eastAsia="Arial" w:hAnsi="Arial" w:cs="Arial"/>
          <w:sz w:val="24"/>
          <w:szCs w:val="24"/>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6A6E7EF1"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A6E7EF2"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6A6E7EF3"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6A6E7EF4"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6A6E7EF5"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6A6E7EF6"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6A6E7EF7" w14:textId="77777777" w:rsidR="00E041AC" w:rsidRDefault="0053204C" w:rsidP="00993FC2">
      <w:pPr>
        <w:numPr>
          <w:ilvl w:val="2"/>
          <w:numId w:val="16"/>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describe</w:t>
      </w:r>
      <w:proofErr w:type="gramEnd"/>
      <w:r>
        <w:rPr>
          <w:rFonts w:ascii="Arial" w:eastAsia="Arial" w:hAnsi="Arial" w:cs="Arial"/>
          <w:sz w:val="24"/>
          <w:szCs w:val="24"/>
        </w:rPr>
        <w:t xml:space="preserve"> the likely consequences of the Personal Data Breach.</w:t>
      </w:r>
    </w:p>
    <w:p w14:paraId="6A6E7EF8"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6A6E7EF9"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6A6E7EFA" w14:textId="77777777" w:rsidR="00E041AC" w:rsidRDefault="0053204C" w:rsidP="00993FC2">
      <w:pPr>
        <w:numPr>
          <w:ilvl w:val="2"/>
          <w:numId w:val="1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6A6E7EFB" w14:textId="77777777" w:rsidR="00E041AC" w:rsidRDefault="0053204C" w:rsidP="00993FC2">
      <w:pPr>
        <w:numPr>
          <w:ilvl w:val="2"/>
          <w:numId w:val="1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6A6E7EFC" w14:textId="77777777" w:rsidR="00E041AC" w:rsidRDefault="00E041AC">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6A6E7EFD"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6A6E7EFE"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6A6E7EFF"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6A6E7F00" w14:textId="77777777" w:rsidR="00E041AC" w:rsidRDefault="0053204C" w:rsidP="00993FC2">
      <w:pPr>
        <w:numPr>
          <w:ilvl w:val="2"/>
          <w:numId w:val="1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6A6E7F01" w14:textId="77777777" w:rsidR="00E041AC" w:rsidRDefault="00E041AC">
      <w:pPr>
        <w:pBdr>
          <w:top w:val="nil"/>
          <w:left w:val="nil"/>
          <w:bottom w:val="nil"/>
          <w:right w:val="nil"/>
          <w:between w:val="nil"/>
        </w:pBdr>
        <w:spacing w:after="80"/>
        <w:ind w:left="11"/>
        <w:rPr>
          <w:rFonts w:ascii="Arial" w:eastAsia="Arial" w:hAnsi="Arial" w:cs="Arial"/>
          <w:sz w:val="24"/>
          <w:szCs w:val="24"/>
        </w:rPr>
      </w:pPr>
    </w:p>
    <w:p w14:paraId="6A6E7F02" w14:textId="77777777" w:rsidR="00E041AC" w:rsidRDefault="0053204C" w:rsidP="00993FC2">
      <w:pPr>
        <w:numPr>
          <w:ilvl w:val="2"/>
          <w:numId w:val="19"/>
        </w:numPr>
        <w:pBdr>
          <w:top w:val="nil"/>
          <w:left w:val="nil"/>
          <w:bottom w:val="nil"/>
          <w:right w:val="nil"/>
          <w:between w:val="nil"/>
        </w:pBdr>
        <w:spacing w:before="80" w:after="120" w:line="240" w:lineRule="auto"/>
        <w:jc w:val="both"/>
        <w:rPr>
          <w:rFonts w:ascii="Arial" w:eastAsia="Arial" w:hAnsi="Arial" w:cs="Arial"/>
          <w:sz w:val="24"/>
          <w:szCs w:val="24"/>
        </w:rPr>
      </w:pPr>
      <w:proofErr w:type="gramStart"/>
      <w:r>
        <w:rPr>
          <w:rFonts w:ascii="Arial" w:eastAsia="Arial" w:hAnsi="Arial" w:cs="Arial"/>
          <w:sz w:val="24"/>
          <w:szCs w:val="24"/>
        </w:rPr>
        <w:t>maintain</w:t>
      </w:r>
      <w:proofErr w:type="gramEnd"/>
      <w:r>
        <w:rPr>
          <w:rFonts w:ascii="Arial" w:eastAsia="Arial" w:hAnsi="Arial" w:cs="Arial"/>
          <w:sz w:val="24"/>
          <w:szCs w:val="24"/>
        </w:rPr>
        <w:t xml:space="preserve"> full and complete records of all Processing carried out in respect of the Personal Data in connection with the Contract, in accordance with the terms of Article 30 UK GDPR.</w:t>
      </w:r>
    </w:p>
    <w:p w14:paraId="6A6E7F03" w14:textId="77777777" w:rsidR="00E041AC" w:rsidRDefault="00E041AC">
      <w:pPr>
        <w:keepNext/>
        <w:rPr>
          <w:rFonts w:ascii="Arial" w:eastAsia="Arial" w:hAnsi="Arial" w:cs="Arial"/>
          <w:sz w:val="24"/>
          <w:szCs w:val="24"/>
        </w:rPr>
      </w:pPr>
    </w:p>
    <w:p w14:paraId="6A6E7F04"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6A6E7F05" w14:textId="77777777" w:rsidR="00E041AC" w:rsidRDefault="0053204C">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6A6E7F06"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6A6E7F07" w14:textId="77777777" w:rsidR="00E041AC" w:rsidRDefault="0053204C">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are likely to be hindered by the contractual limitation of liability provisions] </w:t>
      </w:r>
    </w:p>
    <w:p w14:paraId="6A6E7F08"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6A6E7F09" w14:textId="77777777" w:rsidR="00E041AC" w:rsidRDefault="0053204C" w:rsidP="00993FC2">
      <w:pPr>
        <w:numPr>
          <w:ilvl w:val="2"/>
          <w:numId w:val="2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third party investigators and auditors, on request and at the Supplier's reasonable cost, full cooperation and access to conduct a thorough audit of such Personal Data Breach; </w:t>
      </w:r>
    </w:p>
    <w:p w14:paraId="6A6E7F0A" w14:textId="77777777" w:rsidR="00E041AC" w:rsidRDefault="0053204C" w:rsidP="00993FC2">
      <w:pPr>
        <w:numPr>
          <w:ilvl w:val="2"/>
          <w:numId w:val="20"/>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6A6E7F0B" w14:textId="77777777" w:rsidR="00E041AC" w:rsidRDefault="0053204C" w:rsidP="00993FC2">
      <w:pPr>
        <w:numPr>
          <w:ilvl w:val="2"/>
          <w:numId w:val="20"/>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6A6E7F0C"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6A6E7F0D"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6A6E7F0E" w14:textId="77777777" w:rsidR="00E041AC" w:rsidRDefault="0053204C" w:rsidP="00993FC2">
      <w:pPr>
        <w:numPr>
          <w:ilvl w:val="2"/>
          <w:numId w:val="2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6A6E7F0F" w14:textId="77777777" w:rsidR="00E041AC" w:rsidRDefault="0053204C" w:rsidP="00993FC2">
      <w:pPr>
        <w:numPr>
          <w:ilvl w:val="2"/>
          <w:numId w:val="2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6A6E7F10" w14:textId="77777777" w:rsidR="00E041AC" w:rsidRDefault="0053204C" w:rsidP="00993FC2">
      <w:pPr>
        <w:numPr>
          <w:ilvl w:val="2"/>
          <w:numId w:val="24"/>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if</w:t>
      </w:r>
      <w:proofErr w:type="gramEnd"/>
      <w:r>
        <w:rPr>
          <w:rFonts w:ascii="Arial" w:eastAsia="Arial" w:hAnsi="Arial" w:cs="Arial"/>
          <w:sz w:val="24"/>
          <w:szCs w:val="24"/>
        </w:rPr>
        <w:t xml:space="preserve"> responsibility for the relevant Personal Data Breach is unclear, then the Relevant Authority and the Supplier shall be responsible for the Claim Losses equally. </w:t>
      </w:r>
    </w:p>
    <w:p w14:paraId="6A6E7F11" w14:textId="77777777" w:rsidR="00E041AC" w:rsidRDefault="00E041AC">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6A6E7F12"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6A6E7F13"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6A6E7F14" w14:textId="77777777" w:rsidR="00E041AC" w:rsidRDefault="0053204C">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6A6E7F15"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6A6E7F16" w14:textId="77777777" w:rsidR="00E041AC" w:rsidRDefault="0053204C" w:rsidP="00993FC2">
      <w:pPr>
        <w:numPr>
          <w:ilvl w:val="3"/>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6A6E7F17" w14:textId="77777777" w:rsidR="00E041AC" w:rsidRDefault="0053204C" w:rsidP="00993FC2">
      <w:pPr>
        <w:numPr>
          <w:ilvl w:val="2"/>
          <w:numId w:val="2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6A6E7F18" w14:textId="77777777" w:rsidR="00E041AC" w:rsidRDefault="0053204C" w:rsidP="00993FC2">
      <w:pPr>
        <w:numPr>
          <w:ilvl w:val="2"/>
          <w:numId w:val="22"/>
        </w:numPr>
        <w:pBdr>
          <w:top w:val="nil"/>
          <w:left w:val="nil"/>
          <w:bottom w:val="nil"/>
          <w:right w:val="nil"/>
          <w:between w:val="nil"/>
        </w:pBd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ensure</w:t>
      </w:r>
      <w:proofErr w:type="gramEnd"/>
      <w:r>
        <w:rPr>
          <w:rFonts w:ascii="Arial" w:eastAsia="Arial" w:hAnsi="Arial" w:cs="Arial"/>
          <w:sz w:val="24"/>
          <w:szCs w:val="24"/>
        </w:rPr>
        <w:t xml:space="preserve"> that a suitable agreement is in place with the third party as required under applicable Data Protection Legislation.</w:t>
      </w:r>
    </w:p>
    <w:p w14:paraId="6A6E7F19" w14:textId="77777777" w:rsidR="00E041AC" w:rsidRDefault="00E041AC">
      <w:pPr>
        <w:pBdr>
          <w:top w:val="nil"/>
          <w:left w:val="nil"/>
          <w:bottom w:val="nil"/>
          <w:right w:val="nil"/>
          <w:between w:val="nil"/>
        </w:pBdr>
        <w:spacing w:before="280" w:after="120" w:line="240" w:lineRule="auto"/>
        <w:ind w:left="809"/>
        <w:jc w:val="both"/>
        <w:rPr>
          <w:rFonts w:ascii="Arial" w:eastAsia="Arial" w:hAnsi="Arial" w:cs="Arial"/>
          <w:sz w:val="24"/>
          <w:szCs w:val="24"/>
        </w:rPr>
      </w:pPr>
    </w:p>
    <w:p w14:paraId="6A6E7F1A" w14:textId="77777777" w:rsidR="00E041AC" w:rsidRDefault="0053204C" w:rsidP="00993FC2">
      <w:pPr>
        <w:numPr>
          <w:ilvl w:val="2"/>
          <w:numId w:val="23"/>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6A6E7F1B" w14:textId="77777777" w:rsidR="00E041AC" w:rsidRDefault="0053204C">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6A6E7F1C" w14:textId="77777777" w:rsidR="00E041AC" w:rsidRDefault="00E041AC">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14:paraId="6A6E7F1D" w14:textId="77777777" w:rsidR="00E041AC" w:rsidRDefault="00E041AC">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6" w:name="bookmark=id.1ksv4uv" w:colFirst="0" w:colLast="0"/>
      <w:bookmarkStart w:id="17" w:name="_heading=h.44sinio" w:colFirst="0" w:colLast="0"/>
      <w:bookmarkEnd w:id="16"/>
      <w:bookmarkEnd w:id="17"/>
    </w:p>
    <w:sectPr w:rsidR="00E041AC">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E7F2B" w14:textId="77777777" w:rsidR="0053204C" w:rsidRDefault="0053204C">
      <w:pPr>
        <w:spacing w:after="0" w:line="240" w:lineRule="auto"/>
      </w:pPr>
      <w:r>
        <w:separator/>
      </w:r>
    </w:p>
  </w:endnote>
  <w:endnote w:type="continuationSeparator" w:id="0">
    <w:p w14:paraId="6A6E7F2D" w14:textId="77777777" w:rsidR="0053204C" w:rsidRDefault="0053204C">
      <w:pPr>
        <w:spacing w:after="0" w:line="240" w:lineRule="auto"/>
      </w:pPr>
      <w:r>
        <w:continuationSeparator/>
      </w:r>
    </w:p>
  </w:endnote>
  <w:endnote w:type="continuationNotice" w:id="1">
    <w:p w14:paraId="6A1493A0" w14:textId="77777777" w:rsidR="00772C27" w:rsidRDefault="00772C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7F20" w14:textId="77777777" w:rsidR="0053204C" w:rsidRDefault="0053204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RM6174</w:t>
    </w:r>
    <w:r>
      <w:rPr>
        <w:rFonts w:ascii="Arial" w:eastAsia="Arial" w:hAnsi="Arial" w:cs="Arial"/>
        <w:sz w:val="20"/>
        <w:szCs w:val="20"/>
      </w:rPr>
      <w:tab/>
      <w:t xml:space="preserve">                                           </w:t>
    </w:r>
  </w:p>
  <w:p w14:paraId="6A6E7F21" w14:textId="3F20ED50" w:rsidR="0053204C" w:rsidRDefault="005320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sidR="00993FC2">
      <w:rPr>
        <w:rFonts w:ascii="Arial" w:eastAsia="Arial" w:hAnsi="Arial" w:cs="Arial"/>
        <w:color w:val="000000"/>
        <w:sz w:val="20"/>
        <w:szCs w:val="20"/>
      </w:rPr>
      <w:fldChar w:fldCharType="begin"/>
    </w:r>
    <w:r w:rsidR="00993FC2">
      <w:rPr>
        <w:rFonts w:ascii="Arial" w:eastAsia="Arial" w:hAnsi="Arial" w:cs="Arial"/>
        <w:color w:val="000000"/>
        <w:sz w:val="20"/>
        <w:szCs w:val="20"/>
      </w:rPr>
      <w:instrText>PAGE</w:instrText>
    </w:r>
    <w:r w:rsidR="00772C27">
      <w:rPr>
        <w:rFonts w:ascii="Arial" w:eastAsia="Arial" w:hAnsi="Arial" w:cs="Arial"/>
        <w:color w:val="000000"/>
        <w:sz w:val="20"/>
        <w:szCs w:val="20"/>
      </w:rPr>
      <w:fldChar w:fldCharType="separate"/>
    </w:r>
    <w:r w:rsidR="00993FC2">
      <w:rPr>
        <w:rFonts w:ascii="Arial" w:eastAsia="Arial" w:hAnsi="Arial" w:cs="Arial"/>
        <w:noProof/>
        <w:color w:val="000000"/>
        <w:sz w:val="20"/>
        <w:szCs w:val="20"/>
      </w:rPr>
      <w:t>2</w:t>
    </w:r>
    <w:r w:rsidR="00993FC2">
      <w:rPr>
        <w:rFonts w:ascii="Arial" w:eastAsia="Arial" w:hAnsi="Arial" w:cs="Arial"/>
        <w:color w:val="000000"/>
        <w:sz w:val="20"/>
        <w:szCs w:val="20"/>
      </w:rPr>
      <w:fldChar w:fldCharType="end"/>
    </w:r>
    <w:r>
      <w:rPr>
        <w:rFonts w:ascii="Arial" w:eastAsia="Arial" w:hAnsi="Arial" w:cs="Arial"/>
        <w:color w:val="000000"/>
        <w:sz w:val="20"/>
        <w:szCs w:val="20"/>
      </w:rPr>
      <w:t>-</w:t>
    </w:r>
  </w:p>
  <w:p w14:paraId="6A6E7F22" w14:textId="77777777" w:rsidR="0053204C" w:rsidRDefault="0053204C">
    <w:pPr>
      <w:spacing w:after="0"/>
    </w:pPr>
    <w:r>
      <w:rPr>
        <w:rFonts w:ascii="Arial" w:eastAsia="Arial" w:hAnsi="Arial" w:cs="Arial"/>
        <w:sz w:val="20"/>
        <w:szCs w:val="20"/>
      </w:rPr>
      <w:t>Model Version: v4.3</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7F24" w14:textId="77777777" w:rsidR="0053204C" w:rsidRDefault="0053204C">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A6E7F25" w14:textId="77777777" w:rsidR="0053204C" w:rsidRDefault="005320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14:paraId="6A6E7F26" w14:textId="77777777" w:rsidR="0053204C" w:rsidRDefault="0053204C">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E7F27" w14:textId="77777777" w:rsidR="0053204C" w:rsidRDefault="0053204C">
      <w:pPr>
        <w:spacing w:after="0" w:line="240" w:lineRule="auto"/>
      </w:pPr>
      <w:r>
        <w:separator/>
      </w:r>
    </w:p>
  </w:footnote>
  <w:footnote w:type="continuationSeparator" w:id="0">
    <w:p w14:paraId="6A6E7F29" w14:textId="77777777" w:rsidR="0053204C" w:rsidRDefault="0053204C">
      <w:pPr>
        <w:spacing w:after="0" w:line="240" w:lineRule="auto"/>
      </w:pPr>
      <w:r>
        <w:continuationSeparator/>
      </w:r>
    </w:p>
  </w:footnote>
  <w:footnote w:type="continuationNotice" w:id="1">
    <w:p w14:paraId="7BAA5DCD" w14:textId="77777777" w:rsidR="00772C27" w:rsidRDefault="00772C2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7F1E" w14:textId="77777777" w:rsidR="0053204C" w:rsidRDefault="0053204C">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14:paraId="6A6E7F1F" w14:textId="77777777" w:rsidR="0053204C" w:rsidRDefault="0053204C">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E7F23" w14:textId="77777777" w:rsidR="0053204C" w:rsidRDefault="0053204C">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A6E7F27" wp14:editId="6A6E7F28">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23DF"/>
    <w:multiLevelType w:val="multilevel"/>
    <w:tmpl w:val="BDE0EA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A6126B"/>
    <w:multiLevelType w:val="multilevel"/>
    <w:tmpl w:val="A5DA07F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0F4A2CA5"/>
    <w:multiLevelType w:val="multilevel"/>
    <w:tmpl w:val="072A1D6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1A030E12"/>
    <w:multiLevelType w:val="multilevel"/>
    <w:tmpl w:val="DE4C9EB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1EE01C8A"/>
    <w:multiLevelType w:val="multilevel"/>
    <w:tmpl w:val="2F2874C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 w15:restartNumberingAfterBreak="0">
    <w:nsid w:val="1FEC49E6"/>
    <w:multiLevelType w:val="multilevel"/>
    <w:tmpl w:val="A0824C0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22A71D4C"/>
    <w:multiLevelType w:val="multilevel"/>
    <w:tmpl w:val="2D6E507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2BE93DD3"/>
    <w:multiLevelType w:val="multilevel"/>
    <w:tmpl w:val="F4BA20E4"/>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2D72280E"/>
    <w:multiLevelType w:val="multilevel"/>
    <w:tmpl w:val="90488DE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311827CA"/>
    <w:multiLevelType w:val="multilevel"/>
    <w:tmpl w:val="5C9C2F04"/>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38C63021"/>
    <w:multiLevelType w:val="multilevel"/>
    <w:tmpl w:val="33F2494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3AF6374A"/>
    <w:multiLevelType w:val="multilevel"/>
    <w:tmpl w:val="9E12AA5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CB8152B"/>
    <w:multiLevelType w:val="multilevel"/>
    <w:tmpl w:val="7604004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216D2F"/>
    <w:multiLevelType w:val="multilevel"/>
    <w:tmpl w:val="C2FE0B4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4" w15:restartNumberingAfterBreak="0">
    <w:nsid w:val="47A30B91"/>
    <w:multiLevelType w:val="multilevel"/>
    <w:tmpl w:val="DA9ABE2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5" w15:restartNumberingAfterBreak="0">
    <w:nsid w:val="4C4B19E5"/>
    <w:multiLevelType w:val="multilevel"/>
    <w:tmpl w:val="1D360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8E1D9D"/>
    <w:multiLevelType w:val="multilevel"/>
    <w:tmpl w:val="94BA2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DAF0505"/>
    <w:multiLevelType w:val="multilevel"/>
    <w:tmpl w:val="9EA0F0A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4E0015A4"/>
    <w:multiLevelType w:val="multilevel"/>
    <w:tmpl w:val="C41ACD0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BC21A1"/>
    <w:multiLevelType w:val="multilevel"/>
    <w:tmpl w:val="B34C03D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0" w15:restartNumberingAfterBreak="0">
    <w:nsid w:val="582603FE"/>
    <w:multiLevelType w:val="multilevel"/>
    <w:tmpl w:val="B61E31F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 w15:restartNumberingAfterBreak="0">
    <w:nsid w:val="5DC64026"/>
    <w:multiLevelType w:val="multilevel"/>
    <w:tmpl w:val="787801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5A738D"/>
    <w:multiLevelType w:val="multilevel"/>
    <w:tmpl w:val="5E62342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3" w15:restartNumberingAfterBreak="0">
    <w:nsid w:val="5F201B86"/>
    <w:multiLevelType w:val="multilevel"/>
    <w:tmpl w:val="12E63DBE"/>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BC652ED"/>
    <w:multiLevelType w:val="multilevel"/>
    <w:tmpl w:val="4E243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E3F3B07"/>
    <w:multiLevelType w:val="multilevel"/>
    <w:tmpl w:val="753C070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6" w15:restartNumberingAfterBreak="0">
    <w:nsid w:val="707B00A6"/>
    <w:multiLevelType w:val="multilevel"/>
    <w:tmpl w:val="FF98FBF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7" w15:restartNumberingAfterBreak="0">
    <w:nsid w:val="7DB278D8"/>
    <w:multiLevelType w:val="multilevel"/>
    <w:tmpl w:val="82E87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1"/>
  </w:num>
  <w:num w:numId="3">
    <w:abstractNumId w:val="14"/>
  </w:num>
  <w:num w:numId="4">
    <w:abstractNumId w:val="6"/>
  </w:num>
  <w:num w:numId="5">
    <w:abstractNumId w:val="13"/>
  </w:num>
  <w:num w:numId="6">
    <w:abstractNumId w:val="24"/>
  </w:num>
  <w:num w:numId="7">
    <w:abstractNumId w:val="19"/>
  </w:num>
  <w:num w:numId="8">
    <w:abstractNumId w:val="12"/>
  </w:num>
  <w:num w:numId="9">
    <w:abstractNumId w:val="5"/>
  </w:num>
  <w:num w:numId="10">
    <w:abstractNumId w:val="16"/>
  </w:num>
  <w:num w:numId="11">
    <w:abstractNumId w:val="21"/>
  </w:num>
  <w:num w:numId="12">
    <w:abstractNumId w:val="3"/>
  </w:num>
  <w:num w:numId="13">
    <w:abstractNumId w:val="4"/>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26"/>
  </w:num>
  <w:num w:numId="19">
    <w:abstractNumId w:val="20"/>
  </w:num>
  <w:num w:numId="20">
    <w:abstractNumId w:val="17"/>
  </w:num>
  <w:num w:numId="21">
    <w:abstractNumId w:val="27"/>
  </w:num>
  <w:num w:numId="22">
    <w:abstractNumId w:val="22"/>
  </w:num>
  <w:num w:numId="23">
    <w:abstractNumId w:val="18"/>
  </w:num>
  <w:num w:numId="24">
    <w:abstractNumId w:val="10"/>
  </w:num>
  <w:num w:numId="25">
    <w:abstractNumId w:val="15"/>
  </w:num>
  <w:num w:numId="26">
    <w:abstractNumId w:val="0"/>
  </w:num>
  <w:num w:numId="27">
    <w:abstractNumId w:val="8"/>
  </w:num>
  <w:num w:numId="28">
    <w:abstractNumId w:val="25"/>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AC"/>
    <w:rsid w:val="0053204C"/>
    <w:rsid w:val="00772C27"/>
    <w:rsid w:val="00776844"/>
    <w:rsid w:val="00993FC2"/>
    <w:rsid w:val="00A033AB"/>
    <w:rsid w:val="00E0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E7E21"/>
  <w15:docId w15:val="{67D332CF-3F6D-466A-8696-E9A387E6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6"/>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6"/>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6"/>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6"/>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6"/>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6"/>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29"/>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29"/>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30"/>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30"/>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30"/>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3">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x9SJdyJop51Azb0vQa0E8mdYGg==">AMUW2mXziM1mR2F0n0A8o4bckzuGHkNFijciLqTg8VUo1aNorFQgHzORZTj5qh9IIg7wX2WAd6aTJV3uI8oJxjneTc+NWh9QLOb/eLT7hqzcArzueCZfB8pxnhVY8BquTamPm4adPr6P2zih5r69y+91njS+qaOJTNyla/L2RL6cD5rcRbs8VSmX/mDFElbHztq3Mu8tbRt1BCMK0r0XE0HTPXkSis0UBqbPvi6L3izVgj6+lYeA0UUxhmeSL5iAEbN67LvhRMgmhuInEPkmKGLToOqOA1uOy4q6h8gXdCnJvslOuDuxQwp/aZed2epsYHnwwHE3t8PRzohwB307o9DfPbO4I6zBnaMyqzHtUt7Fqqv4dfa8DE2/ikKR0LLUIdPKEAouEe+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Natasha Gowan</cp:lastModifiedBy>
  <cp:revision>3</cp:revision>
  <dcterms:created xsi:type="dcterms:W3CDTF">2020-12-15T16:39:00Z</dcterms:created>
  <dcterms:modified xsi:type="dcterms:W3CDTF">2021-04-01T17:58:00Z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