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9897" w14:textId="77777777" w:rsidR="00DC1A38" w:rsidRDefault="00DC1A38">
      <w:pPr>
        <w:rPr>
          <w:rFonts w:ascii="Arial" w:eastAsia="Arial" w:hAnsi="Arial" w:cs="Arial"/>
          <w:b/>
          <w:sz w:val="36"/>
          <w:szCs w:val="36"/>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DC1A38" w14:paraId="591A4445" w14:textId="77777777">
        <w:tc>
          <w:tcPr>
            <w:tcW w:w="9026" w:type="dxa"/>
            <w:shd w:val="clear" w:color="auto" w:fill="auto"/>
            <w:tcMar>
              <w:top w:w="100" w:type="dxa"/>
              <w:left w:w="100" w:type="dxa"/>
              <w:bottom w:w="100" w:type="dxa"/>
              <w:right w:w="100" w:type="dxa"/>
            </w:tcMar>
          </w:tcPr>
          <w:p w14:paraId="1B4FA283" w14:textId="77777777" w:rsidR="00DC1A38" w:rsidRDefault="00377091">
            <w:pPr>
              <w:widowControl w:val="0"/>
              <w:spacing w:after="0"/>
              <w:jc w:val="left"/>
              <w:rPr>
                <w:rFonts w:ascii="Arial" w:eastAsia="Arial" w:hAnsi="Arial" w:cs="Arial"/>
                <w:b/>
                <w:highlight w:val="cyan"/>
              </w:rPr>
            </w:pPr>
            <w:r w:rsidRPr="005B29E6">
              <w:rPr>
                <w:rFonts w:ascii="Arial" w:eastAsia="Arial" w:hAnsi="Arial" w:cs="Arial"/>
                <w:b/>
                <w:highlight w:val="yellow"/>
              </w:rPr>
              <w:t>PLEASE RETAIN A COPY OF THIS SCHEDULE AS THIS FORMS PART OF YOUR CALL-OFF CONTRACT</w:t>
            </w:r>
          </w:p>
        </w:tc>
      </w:tr>
    </w:tbl>
    <w:p w14:paraId="5FB9EC3F" w14:textId="77777777" w:rsidR="00DC1A38" w:rsidRDefault="00DC1A38">
      <w:pPr>
        <w:rPr>
          <w:rFonts w:ascii="Arial" w:eastAsia="Arial" w:hAnsi="Arial" w:cs="Arial"/>
          <w:b/>
          <w:sz w:val="36"/>
          <w:szCs w:val="36"/>
        </w:rPr>
      </w:pPr>
    </w:p>
    <w:p w14:paraId="7AA91D47"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b/>
          <w:color w:val="000000"/>
          <w:sz w:val="36"/>
          <w:szCs w:val="36"/>
        </w:rPr>
      </w:pPr>
      <w:r>
        <w:rPr>
          <w:rFonts w:ascii="Arial" w:eastAsia="Arial" w:hAnsi="Arial" w:cs="Arial"/>
          <w:b/>
          <w:color w:val="000000"/>
          <w:sz w:val="36"/>
          <w:szCs w:val="36"/>
        </w:rPr>
        <w:t>Joint Schedule 3 (Insurance Requirements)</w:t>
      </w:r>
    </w:p>
    <w:p w14:paraId="44D51851"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The insurance you need to have</w:t>
      </w:r>
    </w:p>
    <w:p w14:paraId="3E12A814"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cs="Arial"/>
          <w:b/>
          <w:color w:val="000000"/>
          <w:sz w:val="24"/>
          <w:szCs w:val="24"/>
        </w:rPr>
        <w:t>Additional Insurances</w:t>
      </w:r>
      <w:r>
        <w:rPr>
          <w:rFonts w:ascii="Arial" w:eastAsia="Arial" w:hAnsi="Arial" w:cs="Arial"/>
          <w:color w:val="000000"/>
          <w:sz w:val="24"/>
          <w:szCs w:val="24"/>
        </w:rPr>
        <w:t>") and any other insurances as may be required by applicable Law (together the “</w:t>
      </w:r>
      <w:r>
        <w:rPr>
          <w:rFonts w:ascii="Arial" w:eastAsia="Arial" w:hAnsi="Arial" w:cs="Arial"/>
          <w:b/>
          <w:color w:val="000000"/>
          <w:sz w:val="24"/>
          <w:szCs w:val="24"/>
        </w:rPr>
        <w:t>Insurances</w:t>
      </w:r>
      <w:r>
        <w:rPr>
          <w:rFonts w:ascii="Arial" w:eastAsia="Arial" w:hAnsi="Arial" w:cs="Arial"/>
          <w:color w:val="000000"/>
          <w:sz w:val="24"/>
          <w:szCs w:val="24"/>
        </w:rPr>
        <w:t xml:space="preserve">”).  The Supplier shall ensure that each of the Insurances is effective no later than: </w:t>
      </w:r>
    </w:p>
    <w:p w14:paraId="6CC6DA22"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the Framework Start Date in respect of those Insurances set out in the Annex to this Schedule and those required by applicable Law; and </w:t>
      </w:r>
    </w:p>
    <w:p w14:paraId="23AB4683"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the Call-Off Contract Effective Date in respect of the Additional Insurances.</w:t>
      </w:r>
    </w:p>
    <w:p w14:paraId="7CBCC250" w14:textId="77777777" w:rsidR="00DC1A38" w:rsidRDefault="00377091">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 xml:space="preserve">The Insurances shall be: </w:t>
      </w:r>
    </w:p>
    <w:p w14:paraId="70777623"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 xml:space="preserve">maintained in accordance with Good Industry Practice; </w:t>
      </w:r>
    </w:p>
    <w:p w14:paraId="31FC1F51"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(so far as is reasonably practicable) on terms no less favourable than those generally available to a prudent contractor in respect of risks insured in the international insurance market from time to time;</w:t>
      </w:r>
    </w:p>
    <w:p w14:paraId="304A30FB"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taken out and maintained with insurers of good financial standing and good repute in the international insurance market; and</w:t>
      </w:r>
    </w:p>
    <w:p w14:paraId="2945DCC2" w14:textId="77777777" w:rsidR="00DC1A38" w:rsidRDefault="00377091">
      <w:pPr>
        <w:numPr>
          <w:ilvl w:val="2"/>
          <w:numId w:val="2"/>
        </w:numPr>
        <w:pBdr>
          <w:top w:val="nil"/>
          <w:left w:val="nil"/>
          <w:bottom w:val="nil"/>
          <w:right w:val="nil"/>
          <w:between w:val="nil"/>
        </w:pBdr>
        <w:spacing w:before="120" w:after="120"/>
        <w:ind w:left="1620"/>
        <w:jc w:val="left"/>
      </w:pPr>
      <w:r>
        <w:rPr>
          <w:rFonts w:ascii="Arial" w:eastAsia="Arial" w:hAnsi="Arial" w:cs="Arial"/>
          <w:color w:val="000000"/>
          <w:sz w:val="24"/>
          <w:szCs w:val="24"/>
        </w:rPr>
        <w:t>maintained for at least six (6) years after the End Date.</w:t>
      </w:r>
    </w:p>
    <w:p w14:paraId="7832D491"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5111B390"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How to manage the insurance</w:t>
      </w:r>
    </w:p>
    <w:p w14:paraId="2F2282F1" w14:textId="77777777" w:rsidR="00DC1A38" w:rsidRDefault="00377091">
      <w:pPr>
        <w:keepNext/>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Without limiting the other provisions of this Contract, the Supplier shall:</w:t>
      </w:r>
    </w:p>
    <w:p w14:paraId="5A06130B" w14:textId="77777777" w:rsidR="00DC1A38" w:rsidRDefault="00377091">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36156F61" w14:textId="77777777" w:rsidR="00DC1A38" w:rsidRDefault="00377091">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lastRenderedPageBreak/>
        <w:t>promptly notify the insurers in writing of any relevant material fact under any Insurances of which the Supplier is or becomes aware; and</w:t>
      </w:r>
    </w:p>
    <w:p w14:paraId="6F5EA2AB" w14:textId="77777777" w:rsidR="00DC1A38" w:rsidRDefault="00377091">
      <w:pPr>
        <w:numPr>
          <w:ilvl w:val="2"/>
          <w:numId w:val="2"/>
        </w:numPr>
        <w:pBdr>
          <w:top w:val="nil"/>
          <w:left w:val="nil"/>
          <w:bottom w:val="nil"/>
          <w:right w:val="nil"/>
          <w:between w:val="nil"/>
        </w:pBdr>
        <w:tabs>
          <w:tab w:val="left" w:pos="2835"/>
        </w:tabs>
        <w:spacing w:before="120" w:after="120"/>
        <w:ind w:left="1620"/>
        <w:jc w:val="left"/>
      </w:pPr>
      <w:r>
        <w:rPr>
          <w:rFonts w:ascii="Arial" w:eastAsia="Arial" w:hAnsi="Arial" w:cs="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1C93706F"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What happens if you aren’t insured</w:t>
      </w:r>
    </w:p>
    <w:p w14:paraId="5F4D24F8"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2D902559"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DF5865A"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Evidence of insurance you must provide</w:t>
      </w:r>
    </w:p>
    <w:p w14:paraId="1F2FD4F5"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upon the Start Date and within fifteen (15) Working Days after the renewal of each of the Insurances, provide evidence, in a form satisfactory to the Relevant Authority, that the Insurances are in force and effect and meet in full the requirements of this Schedule.</w:t>
      </w:r>
    </w:p>
    <w:p w14:paraId="09097F91"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Making sure you are insured to the required amount</w:t>
      </w:r>
    </w:p>
    <w:p w14:paraId="4C6F98DE"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bookmarkStart w:id="0" w:name="_heading=h.gjdgxs" w:colFirst="0" w:colLast="0"/>
      <w:bookmarkEnd w:id="0"/>
      <w:r>
        <w:rPr>
          <w:rFonts w:ascii="Arial" w:eastAsia="Arial" w:hAnsi="Arial" w:cs="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70486984"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t>Cancelled Insurance</w:t>
      </w:r>
    </w:p>
    <w:p w14:paraId="2504EA3C"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notify the Relevant Authority in writing at least five (5) Working Days prior to the cancellation, suspension, termination or non-renewal of any of the Insurances.</w:t>
      </w:r>
    </w:p>
    <w:p w14:paraId="489ACE3F"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5E7278B" w14:textId="77777777" w:rsidR="00DC1A38" w:rsidRDefault="00377091">
      <w:pPr>
        <w:keepNext/>
        <w:numPr>
          <w:ilvl w:val="0"/>
          <w:numId w:val="2"/>
        </w:numPr>
        <w:pBdr>
          <w:top w:val="nil"/>
          <w:left w:val="nil"/>
          <w:bottom w:val="nil"/>
          <w:right w:val="nil"/>
          <w:between w:val="nil"/>
        </w:pBdr>
        <w:tabs>
          <w:tab w:val="left" w:pos="142"/>
        </w:tabs>
        <w:spacing w:before="120"/>
        <w:jc w:val="left"/>
      </w:pPr>
      <w:r>
        <w:rPr>
          <w:rFonts w:ascii="Arial Bold" w:eastAsia="Arial Bold" w:hAnsi="Arial Bold" w:cs="Arial Bold"/>
          <w:b/>
          <w:color w:val="000000"/>
          <w:sz w:val="24"/>
          <w:szCs w:val="24"/>
        </w:rPr>
        <w:lastRenderedPageBreak/>
        <w:t>Insurance claims</w:t>
      </w:r>
    </w:p>
    <w:p w14:paraId="3FE4E579"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4B44350A"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12B3918F" w14:textId="77777777" w:rsidR="00DC1A38" w:rsidRDefault="00377091">
      <w:pPr>
        <w:numPr>
          <w:ilvl w:val="1"/>
          <w:numId w:val="2"/>
        </w:numPr>
        <w:pBdr>
          <w:top w:val="nil"/>
          <w:left w:val="nil"/>
          <w:bottom w:val="nil"/>
          <w:right w:val="nil"/>
          <w:between w:val="nil"/>
        </w:pBdr>
        <w:tabs>
          <w:tab w:val="left" w:pos="1134"/>
        </w:tabs>
        <w:spacing w:before="120" w:after="120"/>
        <w:ind w:left="900" w:hanging="540"/>
        <w:jc w:val="left"/>
      </w:pPr>
      <w:r>
        <w:rPr>
          <w:rFonts w:ascii="Arial" w:eastAsia="Arial" w:hAnsi="Arial" w:cs="Arial"/>
          <w:color w:val="000000"/>
          <w:sz w:val="24"/>
          <w:szCs w:val="24"/>
        </w:rPr>
        <w:t>Where any Insurance requires payment of a premium, the Supplier shall be liable for and shall promptly pay such premium.</w:t>
      </w:r>
    </w:p>
    <w:p w14:paraId="0DE3D506" w14:textId="77777777" w:rsidR="00DC1A38" w:rsidRDefault="00377091">
      <w:pPr>
        <w:numPr>
          <w:ilvl w:val="1"/>
          <w:numId w:val="2"/>
        </w:numPr>
        <w:pBdr>
          <w:top w:val="nil"/>
          <w:left w:val="nil"/>
          <w:bottom w:val="nil"/>
          <w:right w:val="nil"/>
          <w:between w:val="nil"/>
        </w:pBdr>
        <w:tabs>
          <w:tab w:val="left" w:pos="1134"/>
        </w:tabs>
        <w:spacing w:before="120" w:after="200"/>
        <w:ind w:left="900" w:hanging="540"/>
        <w:jc w:val="left"/>
      </w:pPr>
      <w:r>
        <w:rPr>
          <w:rFonts w:ascii="Arial" w:eastAsia="Arial" w:hAnsi="Arial" w:cs="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786FF1E3" w14:textId="77777777" w:rsidR="00DC1A38" w:rsidRDefault="00377091">
      <w:pPr>
        <w:pBdr>
          <w:top w:val="nil"/>
          <w:left w:val="nil"/>
          <w:bottom w:val="nil"/>
          <w:right w:val="nil"/>
          <w:between w:val="nil"/>
        </w:pBdr>
        <w:tabs>
          <w:tab w:val="left" w:pos="1134"/>
        </w:tabs>
        <w:spacing w:before="120" w:after="120"/>
        <w:ind w:left="648"/>
        <w:jc w:val="left"/>
        <w:rPr>
          <w:rFonts w:ascii="Arial" w:eastAsia="Arial" w:hAnsi="Arial" w:cs="Arial"/>
          <w:b/>
          <w:color w:val="000000"/>
          <w:sz w:val="24"/>
          <w:szCs w:val="24"/>
        </w:rPr>
      </w:pPr>
      <w:r>
        <w:rPr>
          <w:rFonts w:ascii="Arial" w:eastAsia="Arial" w:hAnsi="Arial" w:cs="Arial"/>
          <w:b/>
          <w:color w:val="000000"/>
          <w:sz w:val="24"/>
          <w:szCs w:val="24"/>
        </w:rPr>
        <w:lastRenderedPageBreak/>
        <w:t>ANNEX: REQUIRED INSURANCES</w:t>
      </w:r>
    </w:p>
    <w:p w14:paraId="799F7FD5" w14:textId="77777777" w:rsidR="00DC1A38" w:rsidRPr="00FA0238" w:rsidRDefault="00377091">
      <w:pPr>
        <w:keepNext/>
        <w:numPr>
          <w:ilvl w:val="0"/>
          <w:numId w:val="1"/>
        </w:numPr>
        <w:pBdr>
          <w:top w:val="nil"/>
          <w:left w:val="nil"/>
          <w:bottom w:val="nil"/>
          <w:right w:val="nil"/>
          <w:between w:val="nil"/>
        </w:pBdr>
        <w:tabs>
          <w:tab w:val="left" w:pos="142"/>
        </w:tabs>
        <w:spacing w:before="120"/>
        <w:jc w:val="left"/>
        <w:rPr>
          <w:rFonts w:ascii="Arial" w:eastAsia="Arial" w:hAnsi="Arial" w:cs="Arial"/>
          <w:sz w:val="24"/>
          <w:szCs w:val="24"/>
        </w:rPr>
      </w:pPr>
      <w:bookmarkStart w:id="1" w:name="_heading=h.30j0zll" w:colFirst="0" w:colLast="0"/>
      <w:bookmarkEnd w:id="1"/>
      <w:r>
        <w:rPr>
          <w:rFonts w:ascii="Arial" w:eastAsia="Arial" w:hAnsi="Arial" w:cs="Arial"/>
          <w:color w:val="000000"/>
          <w:sz w:val="24"/>
          <w:szCs w:val="24"/>
        </w:rPr>
        <w:t xml:space="preserve">The Supplier shall hold the following standard </w:t>
      </w:r>
      <w:r w:rsidRPr="00FA0238">
        <w:rPr>
          <w:rFonts w:ascii="Arial" w:eastAsia="Arial" w:hAnsi="Arial" w:cs="Arial"/>
          <w:color w:val="000000"/>
          <w:sz w:val="24"/>
          <w:szCs w:val="24"/>
        </w:rPr>
        <w:t>insurance cover from the Framework Start Date in accordance with this Schedule:</w:t>
      </w:r>
    </w:p>
    <w:tbl>
      <w:tblPr>
        <w:tblStyle w:val="a1"/>
        <w:tblW w:w="10969" w:type="dxa"/>
        <w:tblInd w:w="-9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701"/>
        <w:gridCol w:w="1824"/>
        <w:gridCol w:w="1813"/>
        <w:gridCol w:w="1629"/>
        <w:gridCol w:w="2127"/>
      </w:tblGrid>
      <w:tr w:rsidR="00F72E54" w:rsidRPr="00FA0238" w14:paraId="7A236871" w14:textId="68BEDBEE" w:rsidTr="00F72E54">
        <w:trPr>
          <w:trHeight w:val="440"/>
        </w:trPr>
        <w:tc>
          <w:tcPr>
            <w:tcW w:w="1875" w:type="dxa"/>
            <w:vMerge w:val="restart"/>
            <w:shd w:val="clear" w:color="auto" w:fill="auto"/>
            <w:tcMar>
              <w:top w:w="100" w:type="dxa"/>
              <w:left w:w="100" w:type="dxa"/>
              <w:bottom w:w="100" w:type="dxa"/>
              <w:right w:w="100" w:type="dxa"/>
            </w:tcMar>
          </w:tcPr>
          <w:p w14:paraId="76F7FDA5" w14:textId="77777777" w:rsidR="00F72E54" w:rsidRPr="00FA0238" w:rsidRDefault="00F72E54">
            <w:pPr>
              <w:widowControl w:val="0"/>
              <w:spacing w:after="0"/>
              <w:jc w:val="left"/>
              <w:rPr>
                <w:rFonts w:ascii="Arial" w:eastAsia="Arial" w:hAnsi="Arial" w:cs="Arial"/>
                <w:sz w:val="24"/>
                <w:szCs w:val="24"/>
              </w:rPr>
            </w:pPr>
          </w:p>
          <w:p w14:paraId="22CA991B" w14:textId="77777777" w:rsidR="00F72E54" w:rsidRPr="00FA0238" w:rsidRDefault="00F72E54">
            <w:pPr>
              <w:widowControl w:val="0"/>
              <w:spacing w:after="0"/>
              <w:jc w:val="left"/>
              <w:rPr>
                <w:rFonts w:ascii="Arial" w:eastAsia="Arial" w:hAnsi="Arial" w:cs="Arial"/>
                <w:b/>
                <w:sz w:val="24"/>
                <w:szCs w:val="24"/>
              </w:rPr>
            </w:pPr>
            <w:r w:rsidRPr="00FA0238">
              <w:rPr>
                <w:rFonts w:ascii="Arial" w:eastAsia="Arial" w:hAnsi="Arial" w:cs="Arial"/>
                <w:b/>
                <w:sz w:val="24"/>
                <w:szCs w:val="24"/>
              </w:rPr>
              <w:t>Lot No. &amp; Description</w:t>
            </w:r>
          </w:p>
        </w:tc>
        <w:tc>
          <w:tcPr>
            <w:tcW w:w="9094" w:type="dxa"/>
            <w:gridSpan w:val="5"/>
            <w:shd w:val="clear" w:color="auto" w:fill="auto"/>
            <w:tcMar>
              <w:top w:w="100" w:type="dxa"/>
              <w:left w:w="100" w:type="dxa"/>
              <w:bottom w:w="100" w:type="dxa"/>
              <w:right w:w="100" w:type="dxa"/>
            </w:tcMar>
          </w:tcPr>
          <w:p w14:paraId="7D081971" w14:textId="79CB0E4B" w:rsidR="00F72E54" w:rsidRPr="00FA0238" w:rsidRDefault="00F72E54">
            <w:pPr>
              <w:widowControl w:val="0"/>
              <w:pBdr>
                <w:top w:val="nil"/>
                <w:left w:val="nil"/>
                <w:bottom w:val="nil"/>
                <w:right w:val="nil"/>
                <w:between w:val="nil"/>
              </w:pBdr>
              <w:spacing w:after="0"/>
              <w:jc w:val="center"/>
              <w:rPr>
                <w:rFonts w:ascii="Arial" w:eastAsia="Arial" w:hAnsi="Arial" w:cs="Arial"/>
                <w:b/>
                <w:sz w:val="24"/>
                <w:szCs w:val="24"/>
              </w:rPr>
            </w:pPr>
            <w:r w:rsidRPr="00FA0238">
              <w:rPr>
                <w:rFonts w:ascii="Arial" w:eastAsia="Arial" w:hAnsi="Arial" w:cs="Arial"/>
                <w:b/>
                <w:sz w:val="24"/>
                <w:szCs w:val="24"/>
              </w:rPr>
              <w:t>Insurance and Level of Cover Required</w:t>
            </w:r>
          </w:p>
        </w:tc>
      </w:tr>
      <w:tr w:rsidR="00F72E54" w:rsidRPr="00FA0238" w14:paraId="32FB16D1" w14:textId="3AC4F80A" w:rsidTr="00F72E54">
        <w:trPr>
          <w:trHeight w:val="440"/>
        </w:trPr>
        <w:tc>
          <w:tcPr>
            <w:tcW w:w="1875" w:type="dxa"/>
            <w:vMerge/>
            <w:shd w:val="clear" w:color="auto" w:fill="auto"/>
            <w:tcMar>
              <w:top w:w="100" w:type="dxa"/>
              <w:left w:w="100" w:type="dxa"/>
              <w:bottom w:w="100" w:type="dxa"/>
              <w:right w:w="100" w:type="dxa"/>
            </w:tcMar>
          </w:tcPr>
          <w:p w14:paraId="3B6AC20B" w14:textId="77777777" w:rsidR="00F72E54" w:rsidRPr="00FA0238" w:rsidRDefault="00F72E54">
            <w:pPr>
              <w:widowControl w:val="0"/>
              <w:pBdr>
                <w:top w:val="nil"/>
                <w:left w:val="nil"/>
                <w:bottom w:val="nil"/>
                <w:right w:val="nil"/>
                <w:between w:val="nil"/>
              </w:pBdr>
              <w:spacing w:after="0" w:line="276" w:lineRule="auto"/>
              <w:jc w:val="left"/>
              <w:rPr>
                <w:rFonts w:ascii="Arial" w:eastAsia="Arial" w:hAnsi="Arial" w:cs="Arial"/>
                <w:b/>
                <w:sz w:val="24"/>
                <w:szCs w:val="24"/>
              </w:rPr>
            </w:pPr>
          </w:p>
        </w:tc>
        <w:tc>
          <w:tcPr>
            <w:tcW w:w="1701" w:type="dxa"/>
            <w:shd w:val="clear" w:color="auto" w:fill="auto"/>
            <w:tcMar>
              <w:top w:w="100" w:type="dxa"/>
              <w:left w:w="100" w:type="dxa"/>
              <w:bottom w:w="100" w:type="dxa"/>
              <w:right w:w="100" w:type="dxa"/>
            </w:tcMar>
          </w:tcPr>
          <w:p w14:paraId="09A2F7BE" w14:textId="77777777"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Professional Indemnity</w:t>
            </w:r>
          </w:p>
        </w:tc>
        <w:tc>
          <w:tcPr>
            <w:tcW w:w="1824" w:type="dxa"/>
            <w:shd w:val="clear" w:color="auto" w:fill="auto"/>
            <w:tcMar>
              <w:top w:w="100" w:type="dxa"/>
              <w:left w:w="100" w:type="dxa"/>
              <w:bottom w:w="100" w:type="dxa"/>
              <w:right w:w="100" w:type="dxa"/>
            </w:tcMar>
          </w:tcPr>
          <w:p w14:paraId="4C06DC09" w14:textId="77777777"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Public Liability</w:t>
            </w:r>
          </w:p>
        </w:tc>
        <w:tc>
          <w:tcPr>
            <w:tcW w:w="1813" w:type="dxa"/>
            <w:shd w:val="clear" w:color="auto" w:fill="auto"/>
            <w:tcMar>
              <w:top w:w="100" w:type="dxa"/>
              <w:left w:w="100" w:type="dxa"/>
              <w:bottom w:w="100" w:type="dxa"/>
              <w:right w:w="100" w:type="dxa"/>
            </w:tcMar>
          </w:tcPr>
          <w:p w14:paraId="3E341EF6" w14:textId="77777777"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Employers Liability</w:t>
            </w:r>
          </w:p>
        </w:tc>
        <w:tc>
          <w:tcPr>
            <w:tcW w:w="1629" w:type="dxa"/>
            <w:shd w:val="clear" w:color="auto" w:fill="auto"/>
            <w:tcMar>
              <w:top w:w="100" w:type="dxa"/>
              <w:left w:w="100" w:type="dxa"/>
              <w:bottom w:w="100" w:type="dxa"/>
              <w:right w:w="100" w:type="dxa"/>
            </w:tcMar>
          </w:tcPr>
          <w:p w14:paraId="7094871A" w14:textId="77777777"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Product</w:t>
            </w:r>
          </w:p>
          <w:p w14:paraId="0D0FD215" w14:textId="77777777"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Liability</w:t>
            </w:r>
          </w:p>
        </w:tc>
        <w:tc>
          <w:tcPr>
            <w:tcW w:w="2127" w:type="dxa"/>
          </w:tcPr>
          <w:p w14:paraId="316C785E" w14:textId="2F4BD760" w:rsidR="00F72E54" w:rsidRPr="00FA0238" w:rsidRDefault="00F72E54">
            <w:pPr>
              <w:widowControl w:val="0"/>
              <w:pBdr>
                <w:top w:val="nil"/>
                <w:left w:val="nil"/>
                <w:bottom w:val="nil"/>
                <w:right w:val="nil"/>
                <w:between w:val="nil"/>
              </w:pBdr>
              <w:spacing w:after="0"/>
              <w:jc w:val="left"/>
              <w:rPr>
                <w:rFonts w:ascii="Arial" w:eastAsia="Arial" w:hAnsi="Arial" w:cs="Arial"/>
                <w:b/>
                <w:sz w:val="24"/>
                <w:szCs w:val="24"/>
              </w:rPr>
            </w:pPr>
            <w:r w:rsidRPr="00FA0238">
              <w:rPr>
                <w:rFonts w:ascii="Arial" w:eastAsia="Arial" w:hAnsi="Arial" w:cs="Arial"/>
                <w:b/>
                <w:sz w:val="24"/>
                <w:szCs w:val="24"/>
              </w:rPr>
              <w:t>Data Protection Liability Cap</w:t>
            </w:r>
          </w:p>
        </w:tc>
      </w:tr>
      <w:tr w:rsidR="00F72E54" w:rsidRPr="00FA0238" w14:paraId="301A4CE8" w14:textId="295274BC" w:rsidTr="00F72E54">
        <w:tc>
          <w:tcPr>
            <w:tcW w:w="1875" w:type="dxa"/>
            <w:shd w:val="clear" w:color="auto" w:fill="auto"/>
            <w:tcMar>
              <w:top w:w="100" w:type="dxa"/>
              <w:left w:w="100" w:type="dxa"/>
              <w:bottom w:w="100" w:type="dxa"/>
              <w:right w:w="100" w:type="dxa"/>
            </w:tcMar>
          </w:tcPr>
          <w:p w14:paraId="65A729B0"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rPr>
              <w:t xml:space="preserve">Lot 1 </w:t>
            </w:r>
          </w:p>
        </w:tc>
        <w:tc>
          <w:tcPr>
            <w:tcW w:w="1701" w:type="dxa"/>
            <w:shd w:val="clear" w:color="auto" w:fill="auto"/>
            <w:tcMar>
              <w:top w:w="100" w:type="dxa"/>
              <w:left w:w="100" w:type="dxa"/>
              <w:bottom w:w="100" w:type="dxa"/>
              <w:right w:w="100" w:type="dxa"/>
            </w:tcMar>
          </w:tcPr>
          <w:p w14:paraId="58F73601"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£2,000,000</w:t>
            </w:r>
          </w:p>
          <w:p w14:paraId="1EDFA1E0"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Required</w:t>
            </w:r>
          </w:p>
        </w:tc>
        <w:tc>
          <w:tcPr>
            <w:tcW w:w="1824" w:type="dxa"/>
            <w:shd w:val="clear" w:color="auto" w:fill="auto"/>
            <w:tcMar>
              <w:top w:w="100" w:type="dxa"/>
              <w:left w:w="100" w:type="dxa"/>
              <w:bottom w:w="100" w:type="dxa"/>
              <w:right w:w="100" w:type="dxa"/>
            </w:tcMar>
          </w:tcPr>
          <w:p w14:paraId="0451DC3B"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537A6C58"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1A9B4C8E"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52D49C3B"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Required</w:t>
            </w:r>
          </w:p>
        </w:tc>
        <w:tc>
          <w:tcPr>
            <w:tcW w:w="1629" w:type="dxa"/>
            <w:shd w:val="clear" w:color="auto" w:fill="auto"/>
            <w:tcMar>
              <w:top w:w="100" w:type="dxa"/>
              <w:left w:w="100" w:type="dxa"/>
              <w:bottom w:w="100" w:type="dxa"/>
              <w:right w:w="100" w:type="dxa"/>
            </w:tcMar>
          </w:tcPr>
          <w:p w14:paraId="417A6990"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103082E5"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Required</w:t>
            </w:r>
          </w:p>
        </w:tc>
        <w:tc>
          <w:tcPr>
            <w:tcW w:w="2127" w:type="dxa"/>
          </w:tcPr>
          <w:p w14:paraId="5B5507D1" w14:textId="53934DEB"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£10,000,000</w:t>
            </w:r>
          </w:p>
        </w:tc>
      </w:tr>
      <w:tr w:rsidR="00F72E54" w:rsidRPr="00FA0238" w14:paraId="51ABCC38" w14:textId="6819CD9E" w:rsidTr="00F72E54">
        <w:tc>
          <w:tcPr>
            <w:tcW w:w="1875" w:type="dxa"/>
            <w:shd w:val="clear" w:color="auto" w:fill="auto"/>
            <w:tcMar>
              <w:top w:w="100" w:type="dxa"/>
              <w:left w:w="100" w:type="dxa"/>
              <w:bottom w:w="100" w:type="dxa"/>
              <w:right w:w="100" w:type="dxa"/>
            </w:tcMar>
          </w:tcPr>
          <w:p w14:paraId="7C051F38" w14:textId="77777777" w:rsidR="00F72E54" w:rsidRPr="00FA0238" w:rsidRDefault="00F72E54">
            <w:pPr>
              <w:spacing w:before="120" w:after="120" w:line="259" w:lineRule="auto"/>
              <w:jc w:val="left"/>
              <w:rPr>
                <w:rFonts w:ascii="Arial" w:eastAsia="Arial" w:hAnsi="Arial" w:cs="Arial"/>
                <w:sz w:val="24"/>
                <w:szCs w:val="24"/>
              </w:rPr>
            </w:pPr>
            <w:r w:rsidRPr="00FA0238">
              <w:rPr>
                <w:rFonts w:ascii="Arial" w:eastAsia="Arial" w:hAnsi="Arial" w:cs="Arial"/>
              </w:rPr>
              <w:t xml:space="preserve">Lot 2 </w:t>
            </w:r>
          </w:p>
        </w:tc>
        <w:tc>
          <w:tcPr>
            <w:tcW w:w="1701" w:type="dxa"/>
            <w:shd w:val="clear" w:color="auto" w:fill="auto"/>
            <w:tcMar>
              <w:top w:w="100" w:type="dxa"/>
              <w:left w:w="100" w:type="dxa"/>
              <w:bottom w:w="100" w:type="dxa"/>
              <w:right w:w="100" w:type="dxa"/>
            </w:tcMar>
          </w:tcPr>
          <w:p w14:paraId="6B8B975C"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653A938A"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24" w:type="dxa"/>
            <w:shd w:val="clear" w:color="auto" w:fill="auto"/>
            <w:tcMar>
              <w:top w:w="100" w:type="dxa"/>
              <w:left w:w="100" w:type="dxa"/>
              <w:bottom w:w="100" w:type="dxa"/>
              <w:right w:w="100" w:type="dxa"/>
            </w:tcMar>
          </w:tcPr>
          <w:p w14:paraId="133AFD5C"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59167F4C"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4F1E6E62"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5D7D9565"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629" w:type="dxa"/>
            <w:shd w:val="clear" w:color="auto" w:fill="auto"/>
            <w:tcMar>
              <w:top w:w="100" w:type="dxa"/>
              <w:left w:w="100" w:type="dxa"/>
              <w:bottom w:w="100" w:type="dxa"/>
              <w:right w:w="100" w:type="dxa"/>
            </w:tcMar>
          </w:tcPr>
          <w:p w14:paraId="35D91DD5"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655A3B8F"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2127" w:type="dxa"/>
          </w:tcPr>
          <w:p w14:paraId="40F2076E" w14:textId="6E07BD01"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£10,000,000</w:t>
            </w:r>
          </w:p>
        </w:tc>
      </w:tr>
      <w:tr w:rsidR="00F72E54" w:rsidRPr="00FA0238" w14:paraId="172CC1A6" w14:textId="2013E96B" w:rsidTr="00F72E54">
        <w:tc>
          <w:tcPr>
            <w:tcW w:w="1875" w:type="dxa"/>
            <w:shd w:val="clear" w:color="auto" w:fill="auto"/>
            <w:tcMar>
              <w:top w:w="100" w:type="dxa"/>
              <w:left w:w="100" w:type="dxa"/>
              <w:bottom w:w="100" w:type="dxa"/>
              <w:right w:w="100" w:type="dxa"/>
            </w:tcMar>
          </w:tcPr>
          <w:p w14:paraId="46C65011" w14:textId="77777777" w:rsidR="00F72E54" w:rsidRPr="00FA0238" w:rsidRDefault="00F72E54">
            <w:pPr>
              <w:spacing w:before="120" w:after="120" w:line="259" w:lineRule="auto"/>
              <w:jc w:val="left"/>
              <w:rPr>
                <w:rFonts w:ascii="Arial" w:eastAsia="Arial" w:hAnsi="Arial" w:cs="Arial"/>
                <w:sz w:val="24"/>
                <w:szCs w:val="24"/>
              </w:rPr>
            </w:pPr>
            <w:r w:rsidRPr="00FA0238">
              <w:rPr>
                <w:rFonts w:ascii="Arial" w:eastAsia="Arial" w:hAnsi="Arial" w:cs="Arial"/>
              </w:rPr>
              <w:t xml:space="preserve">Lot 3 </w:t>
            </w:r>
          </w:p>
        </w:tc>
        <w:tc>
          <w:tcPr>
            <w:tcW w:w="1701" w:type="dxa"/>
            <w:shd w:val="clear" w:color="auto" w:fill="auto"/>
            <w:tcMar>
              <w:top w:w="100" w:type="dxa"/>
              <w:left w:w="100" w:type="dxa"/>
              <w:bottom w:w="100" w:type="dxa"/>
              <w:right w:w="100" w:type="dxa"/>
            </w:tcMar>
          </w:tcPr>
          <w:p w14:paraId="40FA8035"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65153789"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24" w:type="dxa"/>
            <w:shd w:val="clear" w:color="auto" w:fill="auto"/>
            <w:tcMar>
              <w:top w:w="100" w:type="dxa"/>
              <w:left w:w="100" w:type="dxa"/>
              <w:bottom w:w="100" w:type="dxa"/>
              <w:right w:w="100" w:type="dxa"/>
            </w:tcMar>
          </w:tcPr>
          <w:p w14:paraId="7A006B24"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7D1B4540"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1A3CAE26"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24F1B210"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629" w:type="dxa"/>
            <w:shd w:val="clear" w:color="auto" w:fill="auto"/>
            <w:tcMar>
              <w:top w:w="100" w:type="dxa"/>
              <w:left w:w="100" w:type="dxa"/>
              <w:bottom w:w="100" w:type="dxa"/>
              <w:right w:w="100" w:type="dxa"/>
            </w:tcMar>
          </w:tcPr>
          <w:p w14:paraId="6748C383"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6D815F2A"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2127" w:type="dxa"/>
          </w:tcPr>
          <w:p w14:paraId="36EE7B46" w14:textId="39EAC441"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£10,000,000</w:t>
            </w:r>
          </w:p>
        </w:tc>
      </w:tr>
      <w:tr w:rsidR="00F72E54" w:rsidRPr="00FA0238" w14:paraId="1507F114" w14:textId="75FBF841" w:rsidTr="00F72E54">
        <w:tc>
          <w:tcPr>
            <w:tcW w:w="1875" w:type="dxa"/>
            <w:shd w:val="clear" w:color="auto" w:fill="auto"/>
            <w:tcMar>
              <w:top w:w="100" w:type="dxa"/>
              <w:left w:w="100" w:type="dxa"/>
              <w:bottom w:w="100" w:type="dxa"/>
              <w:right w:w="100" w:type="dxa"/>
            </w:tcMar>
          </w:tcPr>
          <w:p w14:paraId="2B0DCCA8" w14:textId="77777777" w:rsidR="00F72E54" w:rsidRPr="00FA0238" w:rsidRDefault="00F72E54">
            <w:pPr>
              <w:spacing w:before="120" w:after="120" w:line="259" w:lineRule="auto"/>
              <w:jc w:val="left"/>
              <w:rPr>
                <w:rFonts w:ascii="Arial" w:eastAsia="Arial" w:hAnsi="Arial" w:cs="Arial"/>
                <w:sz w:val="24"/>
                <w:szCs w:val="24"/>
              </w:rPr>
            </w:pPr>
            <w:r w:rsidRPr="00FA0238">
              <w:rPr>
                <w:rFonts w:ascii="Arial" w:eastAsia="Arial" w:hAnsi="Arial" w:cs="Arial"/>
              </w:rPr>
              <w:t xml:space="preserve">Lot 4 Audits and Consultancy </w:t>
            </w:r>
          </w:p>
        </w:tc>
        <w:tc>
          <w:tcPr>
            <w:tcW w:w="1701" w:type="dxa"/>
            <w:shd w:val="clear" w:color="auto" w:fill="auto"/>
            <w:tcMar>
              <w:top w:w="100" w:type="dxa"/>
              <w:left w:w="100" w:type="dxa"/>
              <w:bottom w:w="100" w:type="dxa"/>
              <w:right w:w="100" w:type="dxa"/>
            </w:tcMar>
          </w:tcPr>
          <w:p w14:paraId="4B710A38"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£2,000,000</w:t>
            </w:r>
          </w:p>
          <w:p w14:paraId="4AA1E13B"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24" w:type="dxa"/>
            <w:shd w:val="clear" w:color="auto" w:fill="auto"/>
            <w:tcMar>
              <w:top w:w="100" w:type="dxa"/>
              <w:left w:w="100" w:type="dxa"/>
              <w:bottom w:w="100" w:type="dxa"/>
              <w:right w:w="100" w:type="dxa"/>
            </w:tcMar>
          </w:tcPr>
          <w:p w14:paraId="3F4A7AF0"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275B0F3F"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813" w:type="dxa"/>
            <w:shd w:val="clear" w:color="auto" w:fill="auto"/>
            <w:tcMar>
              <w:top w:w="100" w:type="dxa"/>
              <w:left w:w="100" w:type="dxa"/>
              <w:bottom w:w="100" w:type="dxa"/>
              <w:right w:w="100" w:type="dxa"/>
            </w:tcMar>
          </w:tcPr>
          <w:p w14:paraId="6B64B75B"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11DB053D"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1629" w:type="dxa"/>
            <w:shd w:val="clear" w:color="auto" w:fill="auto"/>
            <w:tcMar>
              <w:top w:w="100" w:type="dxa"/>
              <w:left w:w="100" w:type="dxa"/>
              <w:bottom w:w="100" w:type="dxa"/>
              <w:right w:w="100" w:type="dxa"/>
            </w:tcMar>
          </w:tcPr>
          <w:p w14:paraId="1A64AD49" w14:textId="77777777"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£5,000,000</w:t>
            </w:r>
          </w:p>
          <w:p w14:paraId="23587EDF" w14:textId="77777777" w:rsidR="00F72E54" w:rsidRPr="00FA0238" w:rsidRDefault="00F72E54">
            <w:pPr>
              <w:widowControl w:val="0"/>
              <w:spacing w:after="0"/>
              <w:jc w:val="left"/>
              <w:rPr>
                <w:rFonts w:ascii="Arial" w:eastAsia="Arial" w:hAnsi="Arial" w:cs="Arial"/>
                <w:sz w:val="24"/>
                <w:szCs w:val="24"/>
              </w:rPr>
            </w:pPr>
            <w:r w:rsidRPr="00FA0238">
              <w:rPr>
                <w:rFonts w:ascii="Arial" w:eastAsia="Arial" w:hAnsi="Arial" w:cs="Arial"/>
                <w:sz w:val="24"/>
                <w:szCs w:val="24"/>
              </w:rPr>
              <w:t>Required</w:t>
            </w:r>
          </w:p>
        </w:tc>
        <w:tc>
          <w:tcPr>
            <w:tcW w:w="2127" w:type="dxa"/>
          </w:tcPr>
          <w:p w14:paraId="5E6FCEEC" w14:textId="7E77B2DF" w:rsidR="00F72E54" w:rsidRPr="00FA0238" w:rsidRDefault="00F72E54">
            <w:pPr>
              <w:widowControl w:val="0"/>
              <w:pBdr>
                <w:top w:val="nil"/>
                <w:left w:val="nil"/>
                <w:bottom w:val="nil"/>
                <w:right w:val="nil"/>
                <w:between w:val="nil"/>
              </w:pBdr>
              <w:spacing w:after="0"/>
              <w:jc w:val="left"/>
              <w:rPr>
                <w:rFonts w:ascii="Arial" w:eastAsia="Arial" w:hAnsi="Arial" w:cs="Arial"/>
                <w:sz w:val="24"/>
                <w:szCs w:val="24"/>
              </w:rPr>
            </w:pPr>
            <w:r w:rsidRPr="00FA0238">
              <w:rPr>
                <w:rFonts w:ascii="Arial" w:eastAsia="Arial" w:hAnsi="Arial" w:cs="Arial"/>
                <w:sz w:val="24"/>
                <w:szCs w:val="24"/>
              </w:rPr>
              <w:t>£10,000,000</w:t>
            </w:r>
          </w:p>
        </w:tc>
      </w:tr>
    </w:tbl>
    <w:p w14:paraId="6CB84B5A" w14:textId="77777777" w:rsidR="00DC1A38" w:rsidRPr="00FA0238" w:rsidRDefault="00DC1A38">
      <w:pPr>
        <w:keepNext/>
        <w:pBdr>
          <w:top w:val="nil"/>
          <w:left w:val="nil"/>
          <w:bottom w:val="nil"/>
          <w:right w:val="nil"/>
          <w:between w:val="nil"/>
        </w:pBdr>
        <w:tabs>
          <w:tab w:val="left" w:pos="142"/>
        </w:tabs>
        <w:spacing w:before="120"/>
        <w:jc w:val="left"/>
        <w:rPr>
          <w:rFonts w:ascii="Arial" w:eastAsia="Arial" w:hAnsi="Arial" w:cs="Arial"/>
          <w:sz w:val="24"/>
          <w:szCs w:val="24"/>
        </w:rPr>
      </w:pPr>
      <w:bookmarkStart w:id="2" w:name="_heading=h.1fob9te" w:colFirst="0" w:colLast="0"/>
      <w:bookmarkEnd w:id="2"/>
    </w:p>
    <w:p w14:paraId="752FB9A6" w14:textId="77777777" w:rsidR="00DC1A38" w:rsidRPr="00FA0238" w:rsidRDefault="00377091">
      <w:pPr>
        <w:numPr>
          <w:ilvl w:val="1"/>
          <w:numId w:val="1"/>
        </w:numPr>
        <w:pBdr>
          <w:top w:val="nil"/>
          <w:left w:val="nil"/>
          <w:bottom w:val="nil"/>
          <w:right w:val="nil"/>
          <w:between w:val="nil"/>
        </w:pBdr>
        <w:tabs>
          <w:tab w:val="left" w:pos="1134"/>
        </w:tabs>
        <w:spacing w:before="120" w:after="120"/>
        <w:ind w:left="900" w:hanging="540"/>
        <w:jc w:val="left"/>
      </w:pPr>
      <w:r w:rsidRPr="00FA0238">
        <w:rPr>
          <w:rFonts w:ascii="Arial" w:eastAsia="Arial" w:hAnsi="Arial" w:cs="Arial"/>
          <w:b/>
          <w:color w:val="000000"/>
          <w:sz w:val="24"/>
          <w:szCs w:val="24"/>
        </w:rPr>
        <w:t>professional indemnity insurance</w:t>
      </w:r>
      <w:r w:rsidRPr="00FA0238">
        <w:rPr>
          <w:rFonts w:ascii="Arial" w:eastAsia="Arial" w:hAnsi="Arial" w:cs="Arial"/>
          <w:color w:val="000000"/>
          <w:sz w:val="24"/>
          <w:szCs w:val="24"/>
        </w:rPr>
        <w:t xml:space="preserve"> with cover (for a single event or a series of related events and in the aggregate) of not less than </w:t>
      </w:r>
      <w:r w:rsidRPr="00FA0238">
        <w:rPr>
          <w:rFonts w:ascii="Arial" w:eastAsia="Arial" w:hAnsi="Arial" w:cs="Arial"/>
          <w:sz w:val="24"/>
          <w:szCs w:val="24"/>
        </w:rPr>
        <w:t>(see table above per lot) or such higher limit as required by Law and shall ensure that all agents, professional consultants and Sub-Contractors involved in the provision of the Deliverables effect and maintain such insurance for the period of this Framework Contract;</w:t>
      </w:r>
    </w:p>
    <w:p w14:paraId="42F1FC2E" w14:textId="77777777" w:rsidR="00DC1A38" w:rsidRPr="00FA0238" w:rsidRDefault="00377091">
      <w:pPr>
        <w:numPr>
          <w:ilvl w:val="1"/>
          <w:numId w:val="1"/>
        </w:numPr>
        <w:pBdr>
          <w:top w:val="nil"/>
          <w:left w:val="nil"/>
          <w:bottom w:val="nil"/>
          <w:right w:val="nil"/>
          <w:between w:val="nil"/>
        </w:pBdr>
        <w:tabs>
          <w:tab w:val="left" w:pos="1134"/>
        </w:tabs>
        <w:spacing w:before="120" w:after="120"/>
        <w:ind w:left="900" w:hanging="540"/>
        <w:jc w:val="left"/>
      </w:pPr>
      <w:r w:rsidRPr="00FA0238">
        <w:rPr>
          <w:rFonts w:ascii="Arial" w:eastAsia="Arial" w:hAnsi="Arial" w:cs="Arial"/>
          <w:b/>
          <w:color w:val="000000"/>
          <w:sz w:val="24"/>
          <w:szCs w:val="24"/>
        </w:rPr>
        <w:t xml:space="preserve">public liability insurance </w:t>
      </w:r>
      <w:r w:rsidRPr="00FA0238">
        <w:rPr>
          <w:rFonts w:ascii="Arial" w:eastAsia="Arial" w:hAnsi="Arial" w:cs="Arial"/>
          <w:color w:val="000000"/>
          <w:sz w:val="24"/>
          <w:szCs w:val="24"/>
        </w:rPr>
        <w:t xml:space="preserve">with cover (for a single event or a series of related events and in the aggregate) of not less than </w:t>
      </w:r>
      <w:r w:rsidRPr="00FA0238">
        <w:rPr>
          <w:rFonts w:ascii="Arial" w:eastAsia="Arial" w:hAnsi="Arial" w:cs="Arial"/>
          <w:sz w:val="24"/>
          <w:szCs w:val="24"/>
        </w:rPr>
        <w:t>(see table above per lot)</w:t>
      </w:r>
      <w:r w:rsidRPr="00FA0238">
        <w:rPr>
          <w:rFonts w:ascii="Arial" w:eastAsia="Arial" w:hAnsi="Arial" w:cs="Arial"/>
          <w:color w:val="000000"/>
          <w:sz w:val="24"/>
          <w:szCs w:val="24"/>
        </w:rPr>
        <w:t xml:space="preserve">; </w:t>
      </w:r>
    </w:p>
    <w:p w14:paraId="586459AF" w14:textId="77777777" w:rsidR="00DC1A38" w:rsidRPr="00FA0238" w:rsidRDefault="00377091">
      <w:pPr>
        <w:numPr>
          <w:ilvl w:val="1"/>
          <w:numId w:val="1"/>
        </w:numPr>
        <w:pBdr>
          <w:top w:val="nil"/>
          <w:left w:val="nil"/>
          <w:bottom w:val="nil"/>
          <w:right w:val="nil"/>
          <w:between w:val="nil"/>
        </w:pBdr>
        <w:tabs>
          <w:tab w:val="left" w:pos="1134"/>
        </w:tabs>
        <w:spacing w:before="120" w:after="120"/>
        <w:ind w:left="900" w:hanging="540"/>
        <w:jc w:val="left"/>
      </w:pPr>
      <w:bookmarkStart w:id="3" w:name="_heading=h.3znysh7" w:colFirst="0" w:colLast="0"/>
      <w:bookmarkEnd w:id="3"/>
      <w:r w:rsidRPr="00FA0238">
        <w:rPr>
          <w:rFonts w:ascii="Arial" w:eastAsia="Arial" w:hAnsi="Arial" w:cs="Arial"/>
          <w:b/>
          <w:color w:val="000000"/>
          <w:sz w:val="24"/>
          <w:szCs w:val="24"/>
        </w:rPr>
        <w:t>employers’ liability insurance</w:t>
      </w:r>
      <w:r w:rsidRPr="00FA0238">
        <w:rPr>
          <w:rFonts w:ascii="Arial" w:eastAsia="Arial" w:hAnsi="Arial" w:cs="Arial"/>
          <w:color w:val="000000"/>
          <w:sz w:val="24"/>
          <w:szCs w:val="24"/>
        </w:rPr>
        <w:t xml:space="preserve"> with cover (for a single event or a series of related events and in the aggregate) of not less than </w:t>
      </w:r>
      <w:r w:rsidRPr="00FA0238">
        <w:rPr>
          <w:rFonts w:ascii="Arial" w:eastAsia="Arial" w:hAnsi="Arial" w:cs="Arial"/>
          <w:sz w:val="24"/>
          <w:szCs w:val="24"/>
        </w:rPr>
        <w:t>(see table above per lot)</w:t>
      </w:r>
      <w:r w:rsidRPr="00FA0238">
        <w:rPr>
          <w:rFonts w:ascii="Arial" w:eastAsia="Arial" w:hAnsi="Arial" w:cs="Arial"/>
          <w:color w:val="000000"/>
          <w:sz w:val="24"/>
          <w:szCs w:val="24"/>
        </w:rPr>
        <w:t xml:space="preserve"> and shall ensure that all agents, professional consultants and Sub-Contractors involved in the </w:t>
      </w:r>
      <w:r w:rsidRPr="00FA0238">
        <w:rPr>
          <w:rFonts w:ascii="Arial" w:eastAsia="Arial" w:hAnsi="Arial" w:cs="Arial"/>
          <w:sz w:val="24"/>
          <w:szCs w:val="24"/>
        </w:rPr>
        <w:t xml:space="preserve">provision of the Deliverables </w:t>
      </w:r>
      <w:r w:rsidRPr="00FA0238">
        <w:rPr>
          <w:rFonts w:ascii="Arial" w:eastAsia="Arial" w:hAnsi="Arial" w:cs="Arial"/>
          <w:color w:val="000000"/>
          <w:sz w:val="24"/>
          <w:szCs w:val="24"/>
        </w:rPr>
        <w:t xml:space="preserve">effect and maintain such own Employer’s indemnity insurance for the period of this Framework </w:t>
      </w:r>
      <w:r w:rsidRPr="00FA0238">
        <w:rPr>
          <w:rFonts w:ascii="Arial" w:eastAsia="Arial" w:hAnsi="Arial" w:cs="Arial"/>
          <w:sz w:val="24"/>
          <w:szCs w:val="24"/>
        </w:rPr>
        <w:t>Contract; and</w:t>
      </w:r>
    </w:p>
    <w:p w14:paraId="1CD17AC6" w14:textId="45E5852B" w:rsidR="00DC1A38" w:rsidRPr="00FA0238" w:rsidRDefault="00377091">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s="Arial"/>
          <w:sz w:val="24"/>
          <w:szCs w:val="24"/>
        </w:rPr>
      </w:pPr>
      <w:bookmarkStart w:id="4" w:name="_heading=h.2et92p0" w:colFirst="0" w:colLast="0"/>
      <w:bookmarkEnd w:id="4"/>
      <w:r w:rsidRPr="00FA0238">
        <w:rPr>
          <w:rFonts w:ascii="Arial" w:eastAsia="Arial" w:hAnsi="Arial" w:cs="Arial"/>
          <w:b/>
          <w:sz w:val="24"/>
          <w:szCs w:val="24"/>
        </w:rPr>
        <w:t>product liability insurance</w:t>
      </w:r>
      <w:r w:rsidRPr="00FA0238">
        <w:rPr>
          <w:rFonts w:ascii="Arial" w:eastAsia="Arial" w:hAnsi="Arial" w:cs="Arial"/>
        </w:rPr>
        <w:t xml:space="preserve"> </w:t>
      </w:r>
      <w:r w:rsidRPr="00FA0238">
        <w:rPr>
          <w:rFonts w:ascii="Arial" w:eastAsia="Arial" w:hAnsi="Arial" w:cs="Arial"/>
          <w:sz w:val="24"/>
          <w:szCs w:val="24"/>
        </w:rPr>
        <w:t>with cover (for a single event or a series of related events and in the aggregate) of not less than (see table above per lot).</w:t>
      </w:r>
    </w:p>
    <w:p w14:paraId="7FE411D1" w14:textId="6AF566F5" w:rsidR="00F72E54" w:rsidRPr="00FA0238" w:rsidRDefault="00F72E54" w:rsidP="00F72E54">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s="Arial"/>
          <w:sz w:val="24"/>
          <w:szCs w:val="24"/>
        </w:rPr>
      </w:pPr>
      <w:r w:rsidRPr="00FA0238">
        <w:rPr>
          <w:rFonts w:ascii="Arial" w:eastAsia="Arial" w:hAnsi="Arial" w:cs="Arial"/>
          <w:b/>
          <w:bCs/>
          <w:sz w:val="24"/>
          <w:szCs w:val="24"/>
        </w:rPr>
        <w:t>data protection liability cap</w:t>
      </w:r>
      <w:r w:rsidRPr="00FA0238">
        <w:rPr>
          <w:rFonts w:ascii="Arial" w:eastAsia="Arial" w:hAnsi="Arial" w:cs="Arial"/>
          <w:sz w:val="24"/>
          <w:szCs w:val="24"/>
        </w:rPr>
        <w:t xml:space="preserve"> </w:t>
      </w:r>
      <w:r w:rsidR="00C369E3" w:rsidRPr="00FA0238">
        <w:rPr>
          <w:rFonts w:ascii="Arial" w:eastAsia="Arial" w:hAnsi="Arial" w:cs="Arial"/>
          <w:sz w:val="24"/>
          <w:szCs w:val="24"/>
        </w:rPr>
        <w:t xml:space="preserve">will be </w:t>
      </w:r>
      <w:r w:rsidRPr="00FA0238">
        <w:rPr>
          <w:rFonts w:ascii="Arial" w:eastAsia="Arial" w:hAnsi="Arial" w:cs="Arial"/>
          <w:sz w:val="24"/>
          <w:szCs w:val="24"/>
        </w:rPr>
        <w:t xml:space="preserve">no more than £10,000,000 </w:t>
      </w:r>
      <w:r w:rsidR="00C369E3" w:rsidRPr="00FA0238">
        <w:rPr>
          <w:rFonts w:ascii="Arial" w:eastAsia="Arial" w:hAnsi="Arial" w:cs="Arial"/>
          <w:sz w:val="24"/>
          <w:szCs w:val="24"/>
        </w:rPr>
        <w:t xml:space="preserve">(see table above per lot) </w:t>
      </w:r>
      <w:r w:rsidRPr="00FA0238">
        <w:rPr>
          <w:rFonts w:ascii="Arial" w:eastAsia="Arial" w:hAnsi="Arial" w:cs="Arial"/>
          <w:sz w:val="24"/>
          <w:szCs w:val="24"/>
        </w:rPr>
        <w:t xml:space="preserve">aggregate liability in each and any Contract Year </w:t>
      </w:r>
      <w:r w:rsidR="00C369E3" w:rsidRPr="00FA0238">
        <w:rPr>
          <w:rFonts w:ascii="Arial" w:eastAsia="Arial" w:hAnsi="Arial" w:cs="Arial"/>
          <w:sz w:val="24"/>
          <w:szCs w:val="24"/>
        </w:rPr>
        <w:t>(</w:t>
      </w:r>
      <w:r w:rsidRPr="00FA0238">
        <w:rPr>
          <w:rFonts w:ascii="Arial" w:eastAsia="Arial" w:hAnsi="Arial" w:cs="Arial"/>
          <w:sz w:val="24"/>
          <w:szCs w:val="24"/>
        </w:rPr>
        <w:t xml:space="preserve">under each Contract under </w:t>
      </w:r>
      <w:r w:rsidR="00C369E3" w:rsidRPr="00FA0238">
        <w:rPr>
          <w:rFonts w:ascii="Arial" w:eastAsia="Arial" w:hAnsi="Arial" w:cs="Arial"/>
          <w:sz w:val="24"/>
          <w:szCs w:val="24"/>
        </w:rPr>
        <w:t xml:space="preserve">Core Terms </w:t>
      </w:r>
      <w:r w:rsidRPr="00FA0238">
        <w:rPr>
          <w:rFonts w:ascii="Arial" w:eastAsia="Arial" w:hAnsi="Arial" w:cs="Arial"/>
          <w:sz w:val="24"/>
          <w:szCs w:val="24"/>
        </w:rPr>
        <w:t>Clause 14.8</w:t>
      </w:r>
      <w:r w:rsidR="00C369E3" w:rsidRPr="00FA0238">
        <w:rPr>
          <w:rFonts w:ascii="Arial" w:eastAsia="Arial" w:hAnsi="Arial" w:cs="Arial"/>
          <w:sz w:val="24"/>
          <w:szCs w:val="24"/>
        </w:rPr>
        <w:t>)</w:t>
      </w:r>
      <w:r w:rsidRPr="00FA0238">
        <w:rPr>
          <w:rFonts w:ascii="Arial" w:eastAsia="Arial" w:hAnsi="Arial" w:cs="Arial"/>
          <w:sz w:val="24"/>
          <w:szCs w:val="24"/>
        </w:rPr>
        <w:t xml:space="preserve"> shall in no event exceed the Data Protection Liability Cap.</w:t>
      </w:r>
    </w:p>
    <w:p w14:paraId="1132A6F4" w14:textId="6B8C6CC5" w:rsidR="00F72E54" w:rsidRDefault="00F72E54" w:rsidP="00F72E54">
      <w:pPr>
        <w:pBdr>
          <w:top w:val="nil"/>
          <w:left w:val="nil"/>
          <w:bottom w:val="nil"/>
          <w:right w:val="nil"/>
          <w:between w:val="nil"/>
        </w:pBdr>
        <w:tabs>
          <w:tab w:val="left" w:pos="1134"/>
        </w:tabs>
        <w:spacing w:before="120" w:after="120"/>
        <w:ind w:left="360"/>
        <w:jc w:val="left"/>
        <w:rPr>
          <w:rFonts w:ascii="Arial" w:eastAsia="Arial" w:hAnsi="Arial" w:cs="Arial"/>
          <w:sz w:val="24"/>
          <w:szCs w:val="24"/>
        </w:rPr>
      </w:pPr>
      <w:bookmarkStart w:id="5" w:name="_GoBack"/>
      <w:bookmarkEnd w:id="5"/>
    </w:p>
    <w:p w14:paraId="2B5FBC7F" w14:textId="77777777" w:rsidR="00DC1A38" w:rsidRDefault="00DC1A38">
      <w:pPr>
        <w:pBdr>
          <w:top w:val="nil"/>
          <w:left w:val="nil"/>
          <w:bottom w:val="nil"/>
          <w:right w:val="nil"/>
          <w:between w:val="nil"/>
        </w:pBdr>
        <w:tabs>
          <w:tab w:val="left" w:pos="142"/>
        </w:tabs>
        <w:spacing w:before="120"/>
        <w:ind w:left="540"/>
        <w:jc w:val="left"/>
        <w:rPr>
          <w:rFonts w:ascii="Arial" w:eastAsia="Arial" w:hAnsi="Arial" w:cs="Arial"/>
          <w:smallCaps/>
          <w:color w:val="000000"/>
          <w:sz w:val="24"/>
          <w:szCs w:val="24"/>
        </w:rPr>
      </w:pPr>
    </w:p>
    <w:p w14:paraId="12CF2151" w14:textId="77777777" w:rsidR="00DC1A38" w:rsidRDefault="00DC1A38"/>
    <w:p w14:paraId="2F3DD759" w14:textId="77777777" w:rsidR="00DC1A38" w:rsidRDefault="00DC1A38">
      <w:pPr>
        <w:sectPr w:rsidR="00DC1A38">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pPr>
    </w:p>
    <w:p w14:paraId="727B50A3" w14:textId="77777777" w:rsidR="00DC1A38" w:rsidRDefault="00DC1A38"/>
    <w:sectPr w:rsidR="00DC1A38">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84617" w14:textId="77777777" w:rsidR="001D3B08" w:rsidRDefault="001D3B08">
      <w:pPr>
        <w:spacing w:after="0"/>
      </w:pPr>
      <w:r>
        <w:separator/>
      </w:r>
    </w:p>
  </w:endnote>
  <w:endnote w:type="continuationSeparator" w:id="0">
    <w:p w14:paraId="67B48AD0" w14:textId="77777777" w:rsidR="001D3B08" w:rsidRDefault="001D3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4F9EA" w14:textId="77777777" w:rsidR="00DC1A38" w:rsidRDefault="00377091">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RM6174</w:t>
    </w:r>
    <w:r>
      <w:rPr>
        <w:rFonts w:ascii="Arial" w:eastAsia="Arial" w:hAnsi="Arial" w:cs="Arial"/>
        <w:sz w:val="20"/>
        <w:szCs w:val="20"/>
      </w:rPr>
      <w:tab/>
      <w:t xml:space="preserve">                                           </w:t>
    </w:r>
  </w:p>
  <w:p w14:paraId="79A45251"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A0238">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2FF6E9E2" w14:textId="77777777" w:rsidR="00DC1A38" w:rsidRDefault="00377091">
    <w:pPr>
      <w:spacing w:after="0"/>
    </w:pPr>
    <w:r>
      <w:rPr>
        <w:rFonts w:ascii="Arial" w:eastAsia="Arial" w:hAnsi="Arial" w:cs="Arial"/>
        <w:sz w:val="20"/>
        <w:szCs w:val="20"/>
      </w:rPr>
      <w:t>Model Version: v3.1</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0C839" w14:textId="77777777" w:rsidR="00DC1A38" w:rsidRDefault="00DC1A38">
    <w:pPr>
      <w:tabs>
        <w:tab w:val="center" w:pos="4513"/>
        <w:tab w:val="right" w:pos="9026"/>
      </w:tabs>
      <w:spacing w:after="0"/>
      <w:rPr>
        <w:rFonts w:ascii="Arial" w:eastAsia="Arial" w:hAnsi="Arial" w:cs="Arial"/>
        <w:color w:val="BFBFBF"/>
        <w:sz w:val="20"/>
        <w:szCs w:val="20"/>
      </w:rPr>
    </w:pPr>
  </w:p>
  <w:p w14:paraId="680E347B" w14:textId="77777777" w:rsidR="00DC1A38" w:rsidRDefault="00377091">
    <w:pP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0400439B" w14:textId="77777777" w:rsidR="00DC1A38" w:rsidRDefault="00377091">
    <w:pPr>
      <w:pBdr>
        <w:top w:val="nil"/>
        <w:left w:val="nil"/>
        <w:bottom w:val="nil"/>
        <w:right w:val="nil"/>
        <w:between w:val="nil"/>
      </w:pBdr>
      <w:tabs>
        <w:tab w:val="center" w:pos="4513"/>
        <w:tab w:val="right" w:pos="9026"/>
      </w:tabs>
      <w:spacing w:after="0"/>
      <w:jc w:val="left"/>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192E3A86" w14:textId="77777777" w:rsidR="00DC1A38" w:rsidRDefault="00377091">
    <w:pPr>
      <w:spacing w:after="0"/>
      <w:jc w:val="left"/>
      <w:rPr>
        <w:color w:val="BFBFBF"/>
      </w:rPr>
    </w:pPr>
    <w:r>
      <w:rPr>
        <w:rFonts w:ascii="Arial" w:eastAsia="Arial" w:hAnsi="Arial" w:cs="Arial"/>
        <w:color w:val="BFBFBF"/>
        <w:sz w:val="20"/>
        <w:szCs w:val="20"/>
      </w:rPr>
      <w:t>Model Version :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color w:val="BFBFB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D834" w14:textId="77777777" w:rsidR="001D3B08" w:rsidRDefault="001D3B08">
      <w:pPr>
        <w:spacing w:after="0"/>
      </w:pPr>
      <w:r>
        <w:separator/>
      </w:r>
    </w:p>
  </w:footnote>
  <w:footnote w:type="continuationSeparator" w:id="0">
    <w:p w14:paraId="058641CC" w14:textId="77777777" w:rsidR="001D3B08" w:rsidRDefault="001D3B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E4F2"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b/>
        <w:color w:val="000000"/>
        <w:sz w:val="20"/>
        <w:szCs w:val="20"/>
      </w:rPr>
    </w:pPr>
    <w:r>
      <w:rPr>
        <w:rFonts w:ascii="Arial" w:eastAsia="Arial" w:hAnsi="Arial" w:cs="Arial"/>
        <w:b/>
        <w:color w:val="000000"/>
        <w:sz w:val="20"/>
        <w:szCs w:val="20"/>
      </w:rPr>
      <w:t>Joint Schedule 3 (Insurance Requirements)</w:t>
    </w:r>
  </w:p>
  <w:p w14:paraId="00C0D80F"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2E9F"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b/>
        <w:color w:val="BFBFBF"/>
        <w:sz w:val="20"/>
        <w:szCs w:val="20"/>
      </w:rPr>
    </w:pPr>
    <w:r>
      <w:rPr>
        <w:rFonts w:ascii="Arial" w:eastAsia="Arial" w:hAnsi="Arial" w:cs="Arial"/>
        <w:b/>
        <w:color w:val="BFBFBF"/>
        <w:sz w:val="20"/>
        <w:szCs w:val="20"/>
      </w:rPr>
      <w:t>Joint Schedule 3 (Insurance Requirements)</w:t>
    </w:r>
  </w:p>
  <w:p w14:paraId="60B7677F" w14:textId="77777777" w:rsidR="00DC1A38" w:rsidRDefault="00377091">
    <w:pPr>
      <w:pBdr>
        <w:top w:val="nil"/>
        <w:left w:val="nil"/>
        <w:bottom w:val="nil"/>
        <w:right w:val="nil"/>
        <w:between w:val="nil"/>
      </w:pBd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 xml:space="preserve">Crown Copyright </w:t>
    </w:r>
  </w:p>
  <w:p w14:paraId="770A55E4" w14:textId="77777777" w:rsidR="00DC1A38" w:rsidRDefault="00DC1A38">
    <w:pPr>
      <w:pBdr>
        <w:top w:val="nil"/>
        <w:left w:val="nil"/>
        <w:bottom w:val="nil"/>
        <w:right w:val="nil"/>
        <w:between w:val="nil"/>
      </w:pBdr>
      <w:tabs>
        <w:tab w:val="center" w:pos="4513"/>
        <w:tab w:val="right" w:pos="9026"/>
      </w:tabs>
      <w:spacing w:after="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69D9"/>
    <w:multiLevelType w:val="multilevel"/>
    <w:tmpl w:val="E800E910"/>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6B87602E"/>
    <w:multiLevelType w:val="multilevel"/>
    <w:tmpl w:val="FA5E9600"/>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38"/>
    <w:rsid w:val="00010189"/>
    <w:rsid w:val="000F2149"/>
    <w:rsid w:val="001D3B08"/>
    <w:rsid w:val="00377091"/>
    <w:rsid w:val="005B29E6"/>
    <w:rsid w:val="00C369E3"/>
    <w:rsid w:val="00DC1A38"/>
    <w:rsid w:val="00E26C18"/>
    <w:rsid w:val="00F72E54"/>
    <w:rsid w:val="00FA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1452"/>
  <w15:docId w15:val="{BE004D81-AA1A-3B4F-A95A-8142C44B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53F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F34"/>
    <w:rPr>
      <w:rFonts w:ascii="Segoe UI" w:hAnsi="Segoe UI" w:cs="Segoe UI"/>
      <w:sz w:val="18"/>
      <w:szCs w:val="18"/>
    </w:rPr>
  </w:style>
  <w:style w:type="paragraph" w:styleId="Header">
    <w:name w:val="header"/>
    <w:basedOn w:val="Normal"/>
    <w:link w:val="HeaderChar"/>
    <w:uiPriority w:val="99"/>
    <w:unhideWhenUsed/>
    <w:rsid w:val="006F0165"/>
    <w:pPr>
      <w:tabs>
        <w:tab w:val="center" w:pos="4513"/>
        <w:tab w:val="right" w:pos="9026"/>
      </w:tabs>
      <w:spacing w:after="0"/>
    </w:pPr>
  </w:style>
  <w:style w:type="character" w:customStyle="1" w:styleId="HeaderChar">
    <w:name w:val="Header Char"/>
    <w:basedOn w:val="DefaultParagraphFont"/>
    <w:link w:val="Header"/>
    <w:uiPriority w:val="99"/>
    <w:rsid w:val="006F0165"/>
  </w:style>
  <w:style w:type="paragraph" w:styleId="Footer">
    <w:name w:val="footer"/>
    <w:basedOn w:val="Normal"/>
    <w:link w:val="FooterChar"/>
    <w:uiPriority w:val="99"/>
    <w:unhideWhenUsed/>
    <w:rsid w:val="006F0165"/>
    <w:pPr>
      <w:tabs>
        <w:tab w:val="center" w:pos="4513"/>
        <w:tab w:val="right" w:pos="9026"/>
      </w:tabs>
      <w:spacing w:after="0"/>
    </w:pPr>
  </w:style>
  <w:style w:type="character" w:customStyle="1" w:styleId="FooterChar">
    <w:name w:val="Footer Char"/>
    <w:basedOn w:val="DefaultParagraphFont"/>
    <w:link w:val="Footer"/>
    <w:uiPriority w:val="99"/>
    <w:rsid w:val="006F0165"/>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38008">
      <w:bodyDiv w:val="1"/>
      <w:marLeft w:val="0"/>
      <w:marRight w:val="0"/>
      <w:marTop w:val="0"/>
      <w:marBottom w:val="0"/>
      <w:divBdr>
        <w:top w:val="none" w:sz="0" w:space="0" w:color="auto"/>
        <w:left w:val="none" w:sz="0" w:space="0" w:color="auto"/>
        <w:bottom w:val="none" w:sz="0" w:space="0" w:color="auto"/>
        <w:right w:val="none" w:sz="0" w:space="0" w:color="auto"/>
      </w:divBdr>
    </w:div>
    <w:div w:id="75231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GH43UEzDVhSpnGIJtdHYuEymxQ==">AMUW2mWzgIGAbmXsuKyUJfy2SHvb+d+3kqhqFDW1uqe1sdSO1lnVg4pDrVZpBtnjuHtvtcZD9T4PL1KrbA6Jx5gVQ3eNFCA5zcXC1gIk8SPhd/of8VWalPi8nS+eLPC3yK0l7qiUrvRO68GFeEFDZuQSirsTPEtPEtdrUHCldE1mSBoWIx83gf1qlw+KLtc7mqz6w/ZZek9M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McLennay</dc:creator>
  <cp:lastModifiedBy>Natasha Gowan</cp:lastModifiedBy>
  <cp:revision>3</cp:revision>
  <dcterms:created xsi:type="dcterms:W3CDTF">2021-03-31T09:39:00Z</dcterms:created>
  <dcterms:modified xsi:type="dcterms:W3CDTF">2021-04-01T12:07:00Z</dcterms:modified>
</cp:coreProperties>
</file>