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February 2019,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1155cc"/>
            <w:sz w:val="24"/>
            <w:szCs w:val="24"/>
            <w:u w:val="single"/>
            <w:rtl w:val="0"/>
          </w:rPr>
          <w:t xml:space="preserve">https://assets.publishing.service.gov.uk/government/uploads/system/uploads/attachment_data/file/779660/20190220-Supplier_Code_of_Conduct.pdf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jc w:val="both"/>
        <w:rPr/>
      </w:pPr>
      <w:bookmarkStart w:colFirst="0" w:colLast="0" w:name="_heading=h.gjdgxs" w:id="0"/>
      <w:bookmarkEnd w:id="0"/>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C">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D">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0">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2">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3">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4">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6">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7">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8">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9">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A">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B">
      <w:pPr>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C">
      <w:pPr>
        <w:keepNext w:val="1"/>
        <w:numPr>
          <w:ilvl w:val="1"/>
          <w:numId w:val="2"/>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D">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E">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2F">
      <w:pPr>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0">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1">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3">
      <w:pPr>
        <w:keepNext w:val="1"/>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4">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5">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6">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tabs>
          <w:tab w:val="left" w:pos="1870"/>
        </w:tabs>
        <w:rPr>
          <w:rFonts w:ascii="Arial" w:cs="Arial" w:eastAsia="Arial" w:hAnsi="Arial"/>
          <w:sz w:val="24"/>
          <w:szCs w:val="24"/>
        </w:rPr>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5">
      <w:pPr>
        <w:tabs>
          <w:tab w:val="left"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513"/>
        <w:tab w:val="right" w:pos="9026"/>
      </w:tabs>
      <w:spacing w:after="0"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04C">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3znysh7" w:id="3"/>
    <w:bookmarkEnd w:id="3"/>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513"/>
        <w:tab w:val="right" w:pos="9026"/>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50">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51">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779660/20190220-Supplier_Code_of_Conduct.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e1GOG5J0RL1ZjT6r4s5wmb9ZA==">AMUW2mVrg/oSR8OhgldN5xbnYa0uRjvZxJvN2l65j7kcRKVtqGhFpQc7Y9jtfswuuzj9pNhbHhXHoa5zIUZrLXcJzPKYpwk1t+nQhvnxUmgWO764/SYjDFZc9dHT9giSoqYIjqoV0sL2TfBlW9cI1l3HwYI4JB5ksmsQ7zSgI6buT2nuRlEefrE=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2020-10-15T13:08:00Z</dcterms:created>
  <dc:creator>Peter Hanlon</dc:creator>
</cp:coreProperties>
</file>