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43CF" w14:textId="32FC00DE" w:rsidR="00293A9B" w:rsidRPr="008032E9" w:rsidRDefault="00676C1A" w:rsidP="008032E9">
      <w:pPr>
        <w:rPr>
          <w:rFonts w:eastAsia="Arial" w:cs="Arial"/>
          <w:sz w:val="20"/>
          <w:szCs w:val="20"/>
        </w:rPr>
      </w:pPr>
      <w:bookmarkStart w:id="0" w:name="_heading=h.gjdgxs" w:colFirst="0" w:colLast="0"/>
      <w:bookmarkEnd w:id="0"/>
      <w:r>
        <w:rPr>
          <w:rFonts w:eastAsia="Arial" w:cs="Arial"/>
          <w:b/>
          <w:sz w:val="36"/>
          <w:szCs w:val="36"/>
        </w:rPr>
        <w:t>Joint Schedule 6 (Key Subcontractors)</w:t>
      </w:r>
    </w:p>
    <w:p w14:paraId="43AEACDA" w14:textId="77777777" w:rsidR="00293A9B" w:rsidRDefault="00293A9B" w:rsidP="00E55DD9">
      <w:pPr>
        <w:pBdr>
          <w:top w:val="nil"/>
          <w:left w:val="nil"/>
          <w:bottom w:val="nil"/>
          <w:right w:val="nil"/>
          <w:between w:val="nil"/>
        </w:pBdr>
        <w:tabs>
          <w:tab w:val="left" w:pos="142"/>
        </w:tabs>
        <w:spacing w:before="120" w:after="120" w:line="240" w:lineRule="auto"/>
        <w:rPr>
          <w:rFonts w:ascii="Arial Bold" w:eastAsia="Arial Bold" w:hAnsi="Arial Bold"/>
          <w:b/>
        </w:rPr>
      </w:pPr>
    </w:p>
    <w:p w14:paraId="7A899C78" w14:textId="43D7C67E" w:rsidR="0D7F16CF" w:rsidRDefault="4B5A019A" w:rsidP="7BCED15E">
      <w:pPr>
        <w:numPr>
          <w:ilvl w:val="0"/>
          <w:numId w:val="1"/>
        </w:numPr>
        <w:pBdr>
          <w:top w:val="nil"/>
          <w:left w:val="nil"/>
          <w:bottom w:val="nil"/>
          <w:right w:val="nil"/>
          <w:between w:val="nil"/>
        </w:pBdr>
        <w:tabs>
          <w:tab w:val="left" w:pos="426"/>
        </w:tabs>
        <w:spacing w:before="120" w:after="120" w:line="240" w:lineRule="auto"/>
        <w:ind w:left="1134" w:hanging="1134"/>
        <w:rPr>
          <w:rFonts w:eastAsia="Arial Bold" w:cs="Arial"/>
          <w:b/>
          <w:bCs/>
        </w:rPr>
      </w:pPr>
      <w:r w:rsidRPr="7BCED15E">
        <w:rPr>
          <w:rFonts w:eastAsia="Arial Bold" w:cs="Arial"/>
          <w:b/>
          <w:bCs/>
        </w:rPr>
        <w:t>Supplier Register of Key Subcontractors</w:t>
      </w:r>
    </w:p>
    <w:p w14:paraId="08046961" w14:textId="61485E7A" w:rsidR="00F84C8F" w:rsidRDefault="0D7F16CF" w:rsidP="00943E39">
      <w:pPr>
        <w:numPr>
          <w:ilvl w:val="1"/>
          <w:numId w:val="1"/>
        </w:numPr>
        <w:tabs>
          <w:tab w:val="left" w:pos="142"/>
        </w:tabs>
        <w:spacing w:before="120" w:after="120" w:line="240" w:lineRule="auto"/>
        <w:ind w:left="1134" w:hanging="708"/>
        <w:rPr>
          <w:rFonts w:eastAsia="Arial Bold" w:cs="Arial"/>
        </w:rPr>
      </w:pPr>
      <w:r w:rsidRPr="3AEB3078">
        <w:rPr>
          <w:rFonts w:eastAsia="Arial Bold" w:cs="Arial"/>
        </w:rPr>
        <w:t>The Supplier warrants that the Key Sub</w:t>
      </w:r>
      <w:r w:rsidR="016F00E5" w:rsidRPr="3AEB3078">
        <w:rPr>
          <w:rFonts w:eastAsia="Arial Bold" w:cs="Arial"/>
        </w:rPr>
        <w:t>c</w:t>
      </w:r>
      <w:r w:rsidRPr="3AEB3078">
        <w:rPr>
          <w:rFonts w:eastAsia="Arial Bold" w:cs="Arial"/>
        </w:rPr>
        <w:t xml:space="preserve">ontractors as at the Framework </w:t>
      </w:r>
      <w:r w:rsidR="00943E39" w:rsidRPr="3AEB3078">
        <w:rPr>
          <w:rFonts w:eastAsia="Arial Bold" w:cs="Arial"/>
        </w:rPr>
        <w:t>Start</w:t>
      </w:r>
      <w:r w:rsidRPr="3AEB3078">
        <w:rPr>
          <w:rFonts w:eastAsia="Arial Bold" w:cs="Arial"/>
        </w:rPr>
        <w:t xml:space="preserve"> Date shall be those set out in the Supplier’s Register of Key Sub</w:t>
      </w:r>
      <w:r w:rsidR="001D0826" w:rsidRPr="3AEB3078">
        <w:rPr>
          <w:rFonts w:eastAsia="Arial Bold" w:cs="Arial"/>
        </w:rPr>
        <w:t>c</w:t>
      </w:r>
      <w:r w:rsidRPr="3AEB3078">
        <w:rPr>
          <w:rFonts w:eastAsia="Arial Bold" w:cs="Arial"/>
        </w:rPr>
        <w:t xml:space="preserve">ontractors as at that date. Throughout the Framework </w:t>
      </w:r>
      <w:r w:rsidR="00943E39" w:rsidRPr="3AEB3078">
        <w:rPr>
          <w:rFonts w:eastAsia="Arial Bold" w:cs="Arial"/>
        </w:rPr>
        <w:t xml:space="preserve">Contract </w:t>
      </w:r>
      <w:r w:rsidRPr="3AEB3078">
        <w:rPr>
          <w:rFonts w:eastAsia="Arial Bold" w:cs="Arial"/>
        </w:rPr>
        <w:t xml:space="preserve">Period and for the duration of all Call-Off Contracts the Supplier shall notify promptly CCS </w:t>
      </w:r>
      <w:r w:rsidR="00F84C8F" w:rsidRPr="3AEB3078">
        <w:rPr>
          <w:rFonts w:eastAsia="Arial Bold" w:cs="Arial"/>
        </w:rPr>
        <w:t xml:space="preserve">and the Buyer </w:t>
      </w:r>
      <w:r w:rsidRPr="3AEB3078">
        <w:rPr>
          <w:rFonts w:eastAsia="Arial Bold" w:cs="Arial"/>
        </w:rPr>
        <w:t>in writing of any additional or replacement Key Sub</w:t>
      </w:r>
      <w:r w:rsidR="001D0826" w:rsidRPr="3AEB3078">
        <w:rPr>
          <w:rFonts w:eastAsia="Arial Bold" w:cs="Arial"/>
        </w:rPr>
        <w:t>c</w:t>
      </w:r>
      <w:r w:rsidRPr="3AEB3078">
        <w:rPr>
          <w:rFonts w:eastAsia="Arial Bold" w:cs="Arial"/>
        </w:rPr>
        <w:t xml:space="preserve">ontractors appointed after the Framework </w:t>
      </w:r>
      <w:r w:rsidR="4D8C8D6A" w:rsidRPr="3AEB3078">
        <w:rPr>
          <w:rFonts w:eastAsia="Arial Bold" w:cs="Arial"/>
        </w:rPr>
        <w:t>Start</w:t>
      </w:r>
      <w:r w:rsidRPr="3AEB3078">
        <w:rPr>
          <w:rFonts w:eastAsia="Arial Bold" w:cs="Arial"/>
        </w:rPr>
        <w:t xml:space="preserve"> Date </w:t>
      </w:r>
      <w:r w:rsidR="00943E39" w:rsidRPr="3AEB3078">
        <w:rPr>
          <w:rFonts w:eastAsia="Arial Bold" w:cs="Arial"/>
        </w:rPr>
        <w:t xml:space="preserve">in accordance with the provisions of Paragraph </w:t>
      </w:r>
      <w:r w:rsidR="001D0826" w:rsidRPr="3AEB3078">
        <w:rPr>
          <w:rFonts w:eastAsia="Arial Bold" w:cs="Arial"/>
        </w:rPr>
        <w:t>2.3</w:t>
      </w:r>
      <w:r w:rsidR="00943E39" w:rsidRPr="3AEB3078">
        <w:rPr>
          <w:rFonts w:eastAsia="Arial Bold" w:cs="Arial"/>
        </w:rPr>
        <w:t xml:space="preserve">. </w:t>
      </w:r>
    </w:p>
    <w:p w14:paraId="34315B94" w14:textId="6EF33F3C" w:rsidR="0D7F16CF" w:rsidRPr="00943E39" w:rsidRDefault="00943E39" w:rsidP="00943E39">
      <w:pPr>
        <w:numPr>
          <w:ilvl w:val="1"/>
          <w:numId w:val="1"/>
        </w:numPr>
        <w:tabs>
          <w:tab w:val="left" w:pos="142"/>
        </w:tabs>
        <w:spacing w:before="120" w:after="120" w:line="240" w:lineRule="auto"/>
        <w:ind w:left="1134" w:hanging="708"/>
        <w:rPr>
          <w:rFonts w:eastAsia="Arial Bold" w:cs="Arial"/>
        </w:rPr>
      </w:pPr>
      <w:r w:rsidRPr="3AEB3078">
        <w:rPr>
          <w:rFonts w:eastAsia="Arial Bold" w:cs="Arial"/>
        </w:rPr>
        <w:t xml:space="preserve">The Supplier shall </w:t>
      </w:r>
      <w:r w:rsidR="0D7F16CF" w:rsidRPr="3AEB3078">
        <w:rPr>
          <w:rFonts w:eastAsia="Arial Bold" w:cs="Arial"/>
        </w:rPr>
        <w:t xml:space="preserve">maintain at all times throughout the Framework </w:t>
      </w:r>
      <w:r w:rsidR="4D5632AD" w:rsidRPr="3AEB3078">
        <w:rPr>
          <w:rFonts w:eastAsia="Arial Bold" w:cs="Arial"/>
        </w:rPr>
        <w:t xml:space="preserve">Contract </w:t>
      </w:r>
      <w:r w:rsidR="0D7F16CF" w:rsidRPr="3AEB3078">
        <w:rPr>
          <w:rFonts w:eastAsia="Arial Bold" w:cs="Arial"/>
        </w:rPr>
        <w:t>Period an accurate, complete and up to date list of all Key Sub</w:t>
      </w:r>
      <w:r w:rsidR="001D0826" w:rsidRPr="3AEB3078">
        <w:rPr>
          <w:rFonts w:eastAsia="Arial Bold" w:cs="Arial"/>
        </w:rPr>
        <w:t>c</w:t>
      </w:r>
      <w:r w:rsidR="0D7F16CF" w:rsidRPr="3AEB3078">
        <w:rPr>
          <w:rFonts w:eastAsia="Arial Bold" w:cs="Arial"/>
        </w:rPr>
        <w:t xml:space="preserve">ontractors used in the provision of the Services (the </w:t>
      </w:r>
      <w:r w:rsidR="0D7F16CF" w:rsidRPr="3AEB3078">
        <w:rPr>
          <w:rFonts w:eastAsia="Arial Bold" w:cs="Arial"/>
          <w:b/>
          <w:bCs/>
        </w:rPr>
        <w:t>“Supplier Register of Key Sub</w:t>
      </w:r>
      <w:r w:rsidR="001D0826" w:rsidRPr="3AEB3078">
        <w:rPr>
          <w:rFonts w:eastAsia="Arial Bold" w:cs="Arial"/>
          <w:b/>
          <w:bCs/>
        </w:rPr>
        <w:t>c</w:t>
      </w:r>
      <w:r w:rsidR="0D7F16CF" w:rsidRPr="3AEB3078">
        <w:rPr>
          <w:rFonts w:eastAsia="Arial Bold" w:cs="Arial"/>
          <w:b/>
          <w:bCs/>
        </w:rPr>
        <w:t>ontractors”</w:t>
      </w:r>
      <w:r w:rsidR="0D7F16CF" w:rsidRPr="3AEB3078">
        <w:rPr>
          <w:rFonts w:eastAsia="Arial Bold" w:cs="Arial"/>
        </w:rPr>
        <w:t>), such list to contain as a minimum:</w:t>
      </w:r>
    </w:p>
    <w:p w14:paraId="0C84AA56" w14:textId="3B29A982" w:rsidR="0D7F16CF" w:rsidRDefault="0D7F16CF" w:rsidP="00943E39">
      <w:pPr>
        <w:pStyle w:val="ListParagraph"/>
        <w:numPr>
          <w:ilvl w:val="2"/>
          <w:numId w:val="1"/>
        </w:numPr>
        <w:spacing w:before="120" w:after="120" w:line="240" w:lineRule="auto"/>
        <w:ind w:left="1985" w:hanging="851"/>
        <w:contextualSpacing w:val="0"/>
        <w:rPr>
          <w:color w:val="000000" w:themeColor="text1"/>
        </w:rPr>
      </w:pPr>
      <w:r>
        <w:t>the trading name of each Key Sub</w:t>
      </w:r>
      <w:r w:rsidR="001D0826">
        <w:t>c</w:t>
      </w:r>
      <w:r>
        <w:t>ontractor and their respective registered company names, if different;</w:t>
      </w:r>
    </w:p>
    <w:p w14:paraId="3CB0A579" w14:textId="46262CBB" w:rsidR="0D7F16CF" w:rsidRDefault="0D7F16CF" w:rsidP="00943E39">
      <w:pPr>
        <w:pStyle w:val="ListParagraph"/>
        <w:numPr>
          <w:ilvl w:val="2"/>
          <w:numId w:val="1"/>
        </w:numPr>
        <w:spacing w:before="120" w:after="120" w:line="240" w:lineRule="auto"/>
        <w:ind w:left="1985" w:hanging="851"/>
        <w:contextualSpacing w:val="0"/>
        <w:rPr>
          <w:color w:val="000000" w:themeColor="text1"/>
        </w:rPr>
      </w:pPr>
      <w:r>
        <w:t>a brief description of each Key Sub</w:t>
      </w:r>
      <w:r w:rsidR="0092147A">
        <w:t>c</w:t>
      </w:r>
      <w:r>
        <w:t>ontractor’s role in the provision of the Services;</w:t>
      </w:r>
      <w:r w:rsidR="00943E39">
        <w:t xml:space="preserve"> and</w:t>
      </w:r>
    </w:p>
    <w:p w14:paraId="1CFBE11F" w14:textId="63756E90" w:rsidR="0D7F16CF" w:rsidRDefault="0D7F16CF" w:rsidP="00943E39">
      <w:pPr>
        <w:pStyle w:val="ListParagraph"/>
        <w:numPr>
          <w:ilvl w:val="2"/>
          <w:numId w:val="1"/>
        </w:numPr>
        <w:spacing w:before="120" w:after="120" w:line="240" w:lineRule="auto"/>
        <w:ind w:left="1985" w:hanging="851"/>
        <w:contextualSpacing w:val="0"/>
        <w:rPr>
          <w:color w:val="000000" w:themeColor="text1"/>
        </w:rPr>
      </w:pPr>
      <w:r>
        <w:t>whether each Key Sub</w:t>
      </w:r>
      <w:r w:rsidR="0092147A">
        <w:t>c</w:t>
      </w:r>
      <w:r>
        <w:t xml:space="preserve">ontractor should reasonably be categorised as a </w:t>
      </w:r>
      <w:proofErr w:type="spellStart"/>
      <w:r>
        <w:t>Subprocessor</w:t>
      </w:r>
      <w:proofErr w:type="spellEnd"/>
      <w:r>
        <w:t xml:space="preserve"> under Data Protection Legislation</w:t>
      </w:r>
      <w:r w:rsidR="00943E39">
        <w:t>.</w:t>
      </w:r>
    </w:p>
    <w:p w14:paraId="4D63A840" w14:textId="0C9285ED" w:rsidR="0D7F16CF" w:rsidRDefault="4B5A019A" w:rsidP="3AEB3078">
      <w:pPr>
        <w:pStyle w:val="ListParagraph"/>
        <w:numPr>
          <w:ilvl w:val="1"/>
          <w:numId w:val="1"/>
        </w:numPr>
        <w:spacing w:before="120" w:after="120" w:line="240" w:lineRule="auto"/>
        <w:ind w:left="1134" w:hanging="708"/>
        <w:rPr>
          <w:color w:val="000000" w:themeColor="text1"/>
        </w:rPr>
      </w:pPr>
      <w:r>
        <w:t>The Supplier Register of Key Sub</w:t>
      </w:r>
      <w:r w:rsidR="24150AF9">
        <w:t>c</w:t>
      </w:r>
      <w:r>
        <w:t xml:space="preserve">ontractors is the Supplier’s Confidential Information. For the avoidance of doubt, the Confidential Information that CCS may disclose under Clause </w:t>
      </w:r>
      <w:r w:rsidR="28EA65FD">
        <w:t>18.4</w:t>
      </w:r>
      <w:r>
        <w:t>, including to Buyers</w:t>
      </w:r>
      <w:r w:rsidR="28EA65FD">
        <w:t xml:space="preserve"> or potential Buyers</w:t>
      </w:r>
      <w:r>
        <w:t>, shall include the Supplier Register of Key Sub</w:t>
      </w:r>
      <w:r w:rsidR="5A7DE36B">
        <w:t>c</w:t>
      </w:r>
      <w:r>
        <w:t>ontractors.</w:t>
      </w:r>
    </w:p>
    <w:p w14:paraId="00000002" w14:textId="58DCFA39" w:rsidR="000F1D57" w:rsidRPr="00E55DD9" w:rsidRDefault="00676C1A" w:rsidP="00943E39">
      <w:pPr>
        <w:numPr>
          <w:ilvl w:val="0"/>
          <w:numId w:val="1"/>
        </w:numPr>
        <w:pBdr>
          <w:top w:val="nil"/>
          <w:left w:val="nil"/>
          <w:bottom w:val="nil"/>
          <w:right w:val="nil"/>
          <w:between w:val="nil"/>
        </w:pBdr>
        <w:tabs>
          <w:tab w:val="left" w:pos="142"/>
        </w:tabs>
        <w:spacing w:before="120" w:after="120" w:line="240" w:lineRule="auto"/>
        <w:ind w:left="426" w:hanging="426"/>
        <w:rPr>
          <w:rFonts w:eastAsia="Arial Bold" w:cs="Arial"/>
          <w:b/>
          <w:bCs/>
        </w:rPr>
      </w:pPr>
      <w:r w:rsidRPr="607807F9">
        <w:rPr>
          <w:rFonts w:eastAsia="Arial Bold" w:cs="Arial"/>
          <w:b/>
          <w:bCs/>
        </w:rPr>
        <w:t>Restrictions on certain subcontractors</w:t>
      </w:r>
    </w:p>
    <w:p w14:paraId="00000003" w14:textId="2ABD5E50" w:rsidR="000F1D57" w:rsidRPr="00E55DD9" w:rsidRDefault="00676C1A" w:rsidP="008032E9">
      <w:pPr>
        <w:numPr>
          <w:ilvl w:val="1"/>
          <w:numId w:val="1"/>
        </w:numPr>
        <w:pBdr>
          <w:top w:val="nil"/>
          <w:left w:val="nil"/>
          <w:bottom w:val="nil"/>
          <w:right w:val="nil"/>
          <w:between w:val="nil"/>
        </w:pBdr>
        <w:spacing w:before="120" w:after="120" w:line="240" w:lineRule="auto"/>
        <w:ind w:left="1134" w:hanging="708"/>
        <w:rPr>
          <w:rFonts w:eastAsia="Arial" w:cs="Arial"/>
          <w:b/>
        </w:rPr>
      </w:pPr>
      <w:r w:rsidRPr="00E55DD9">
        <w:rPr>
          <w:rFonts w:eastAsia="Arial" w:cs="Arial"/>
        </w:rPr>
        <w:t xml:space="preserve">The Supplier is entitled to sub-contract its obligations under the Framework Contract to the Key Subcontractors set out in the </w:t>
      </w:r>
      <w:r w:rsidR="001D0826">
        <w:rPr>
          <w:rFonts w:eastAsia="Arial" w:cs="Arial"/>
        </w:rPr>
        <w:t>Supplier Register of Key Subcontractors</w:t>
      </w:r>
      <w:r w:rsidRPr="00E55DD9">
        <w:rPr>
          <w:rFonts w:eastAsia="Arial" w:cs="Arial"/>
        </w:rPr>
        <w:t xml:space="preserve">. </w:t>
      </w:r>
    </w:p>
    <w:p w14:paraId="00000004" w14:textId="3DD7EDEB" w:rsidR="000F1D57" w:rsidRPr="00E55DD9" w:rsidRDefault="00676C1A" w:rsidP="008032E9">
      <w:pPr>
        <w:numPr>
          <w:ilvl w:val="1"/>
          <w:numId w:val="1"/>
        </w:numPr>
        <w:pBdr>
          <w:top w:val="nil"/>
          <w:left w:val="nil"/>
          <w:bottom w:val="nil"/>
          <w:right w:val="nil"/>
          <w:between w:val="nil"/>
        </w:pBdr>
        <w:spacing w:before="120" w:after="120" w:line="240" w:lineRule="auto"/>
        <w:ind w:left="1134" w:hanging="708"/>
        <w:rPr>
          <w:rFonts w:eastAsia="Arial" w:cs="Arial"/>
          <w:b/>
        </w:rPr>
      </w:pPr>
      <w:bookmarkStart w:id="1" w:name="_heading=h.30j0zll" w:colFirst="0" w:colLast="0"/>
      <w:bookmarkEnd w:id="1"/>
      <w:r w:rsidRPr="00E55DD9">
        <w:rPr>
          <w:rFonts w:eastAsia="Arial" w:cs="Arial"/>
        </w:rPr>
        <w:t xml:space="preserve">The Supplier is entitled to sub-contract its obligations under a Call-Off Contract to Key Subcontractors </w:t>
      </w:r>
      <w:r w:rsidR="001D0826">
        <w:rPr>
          <w:rFonts w:eastAsia="Arial" w:cs="Arial"/>
        </w:rPr>
        <w:t xml:space="preserve">that are </w:t>
      </w:r>
      <w:r w:rsidRPr="00E55DD9">
        <w:rPr>
          <w:rFonts w:eastAsia="Arial" w:cs="Arial"/>
        </w:rPr>
        <w:t xml:space="preserve">listed in the </w:t>
      </w:r>
      <w:r w:rsidR="001D0826">
        <w:rPr>
          <w:rFonts w:eastAsia="Arial" w:cs="Arial"/>
        </w:rPr>
        <w:t>Supplier Register of Key Subcontractors or</w:t>
      </w:r>
      <w:r w:rsidRPr="00E55DD9">
        <w:rPr>
          <w:rFonts w:eastAsia="Arial" w:cs="Arial"/>
        </w:rPr>
        <w:t xml:space="preserve"> who are specifically nominated in the Order Form.</w:t>
      </w:r>
    </w:p>
    <w:p w14:paraId="00000005" w14:textId="414191E4" w:rsidR="000F1D57" w:rsidRPr="00E55DD9" w:rsidRDefault="7389AFBA" w:rsidP="14CCE98E">
      <w:pPr>
        <w:numPr>
          <w:ilvl w:val="1"/>
          <w:numId w:val="1"/>
        </w:numPr>
        <w:pBdr>
          <w:top w:val="nil"/>
          <w:left w:val="nil"/>
          <w:bottom w:val="nil"/>
          <w:right w:val="nil"/>
          <w:between w:val="nil"/>
        </w:pBdr>
        <w:spacing w:before="120" w:after="120" w:line="240" w:lineRule="auto"/>
        <w:ind w:left="1134" w:hanging="708"/>
        <w:rPr>
          <w:rFonts w:eastAsia="Arial" w:cs="Arial"/>
          <w:b/>
          <w:bCs/>
        </w:rPr>
      </w:pPr>
      <w:r w:rsidRPr="14CCE98E">
        <w:rPr>
          <w:rFonts w:eastAsia="Arial" w:cs="Arial"/>
        </w:rPr>
        <w:t>Where during the Contract Period the Supplier wish</w:t>
      </w:r>
      <w:r w:rsidR="22EB6CE5" w:rsidRPr="14CCE98E">
        <w:rPr>
          <w:rFonts w:eastAsia="Arial" w:cs="Arial"/>
        </w:rPr>
        <w:t>es to enter into a new Key Sub-C</w:t>
      </w:r>
      <w:r w:rsidRPr="14CCE98E">
        <w:rPr>
          <w:rFonts w:eastAsia="Arial" w:cs="Arial"/>
        </w:rPr>
        <w:t>ontract or replace a Key Subcontractor</w:t>
      </w:r>
      <w:r w:rsidR="0015371C" w:rsidRPr="14CCE98E">
        <w:rPr>
          <w:rFonts w:eastAsia="Arial" w:cs="Arial"/>
        </w:rPr>
        <w:t xml:space="preserve"> that is listed in the Supplier Register of Key Subcontractors</w:t>
      </w:r>
      <w:r w:rsidRPr="14CCE98E">
        <w:rPr>
          <w:rFonts w:eastAsia="Arial" w:cs="Arial"/>
        </w:rPr>
        <w:t xml:space="preserve">, it must </w:t>
      </w:r>
      <w:r w:rsidR="28EA65FD" w:rsidRPr="14CCE98E">
        <w:rPr>
          <w:rFonts w:eastAsia="Arial" w:cs="Arial"/>
        </w:rPr>
        <w:t>notify</w:t>
      </w:r>
      <w:r w:rsidRPr="14CCE98E">
        <w:rPr>
          <w:rFonts w:eastAsia="Arial" w:cs="Arial"/>
        </w:rPr>
        <w:t xml:space="preserve"> CCS and the Buyer, </w:t>
      </w:r>
      <w:r w:rsidR="28EA65FD" w:rsidRPr="14CCE98E">
        <w:rPr>
          <w:rFonts w:eastAsia="Arial" w:cs="Arial"/>
        </w:rPr>
        <w:t xml:space="preserve">which notice shall </w:t>
      </w:r>
      <w:r w:rsidRPr="14CCE98E">
        <w:rPr>
          <w:rFonts w:eastAsia="Arial" w:cs="Arial"/>
        </w:rPr>
        <w:t>provide CCS and the Buyer with the informat</w:t>
      </w:r>
      <w:r w:rsidR="75AF8227" w:rsidRPr="14CCE98E">
        <w:rPr>
          <w:rFonts w:eastAsia="Arial" w:cs="Arial"/>
        </w:rPr>
        <w:t>ion detailed in Paragraph </w:t>
      </w:r>
      <w:r w:rsidR="28EA65FD" w:rsidRPr="14CCE98E">
        <w:rPr>
          <w:rFonts w:eastAsia="Arial" w:cs="Arial"/>
        </w:rPr>
        <w:t>2.4</w:t>
      </w:r>
      <w:r w:rsidR="75AF8227" w:rsidRPr="14CCE98E">
        <w:rPr>
          <w:rFonts w:eastAsia="Arial" w:cs="Arial"/>
        </w:rPr>
        <w:t xml:space="preserve">. </w:t>
      </w:r>
      <w:r w:rsidR="00805CDA" w:rsidRPr="14CCE98E">
        <w:rPr>
          <w:rFonts w:eastAsia="Arial" w:cs="Arial"/>
        </w:rPr>
        <w:t xml:space="preserve">Where during </w:t>
      </w:r>
      <w:r w:rsidR="006A04CD" w:rsidRPr="14CCE98E">
        <w:rPr>
          <w:rFonts w:eastAsia="Arial" w:cs="Arial"/>
        </w:rPr>
        <w:t>the Call-Off</w:t>
      </w:r>
      <w:r w:rsidR="00805CDA" w:rsidRPr="14CCE98E">
        <w:rPr>
          <w:rFonts w:eastAsia="Arial" w:cs="Arial"/>
        </w:rPr>
        <w:t xml:space="preserve"> Contract Period the Supplier wishes to enter into a new Key Sub-Contract or replace a Key Subcontractor that is listed in the Order Form (and not in the Supplier Register of Key Subcontractors), it must notify the Buyer only, which notice shall provide the Buyer with the information detailed in Paragraph 2.4 Supplier Register of Key Subcontractors. </w:t>
      </w:r>
      <w:r w:rsidR="28EA65FD" w:rsidRPr="14CCE98E">
        <w:rPr>
          <w:rFonts w:eastAsia="Arial" w:cs="Arial"/>
        </w:rPr>
        <w:t xml:space="preserve">CCS and the Buyer shall not be entitled to object to the appointment of a new or replacement Key Subcontractor unless the proposed Key Subcontractor is an excluded or excludable supplier within the meaning of the Procurement </w:t>
      </w:r>
      <w:r w:rsidR="28EA65FD" w:rsidRPr="14CCE98E">
        <w:rPr>
          <w:rFonts w:eastAsia="Arial" w:cs="Arial"/>
        </w:rPr>
        <w:lastRenderedPageBreak/>
        <w:t>Act 2023 and any associated Regulations</w:t>
      </w:r>
      <w:r w:rsidR="5A7DE36B" w:rsidRPr="14CCE98E">
        <w:rPr>
          <w:rFonts w:eastAsia="Arial" w:cs="Arial"/>
        </w:rPr>
        <w:t xml:space="preserve">, </w:t>
      </w:r>
      <w:r w:rsidR="28EA65FD" w:rsidRPr="14CCE98E">
        <w:rPr>
          <w:rFonts w:eastAsia="Arial" w:cs="Arial"/>
        </w:rPr>
        <w:t>in which case the Supplier shall not be entitled to appoint the relevant Key Subcontractor unless it has obtained the prior written consent of CCS and the</w:t>
      </w:r>
      <w:r w:rsidR="5A7DE36B" w:rsidRPr="14CCE98E">
        <w:rPr>
          <w:rFonts w:eastAsia="Arial" w:cs="Arial"/>
        </w:rPr>
        <w:t xml:space="preserve"> Buyer</w:t>
      </w:r>
      <w:r w:rsidR="28EA65FD" w:rsidRPr="14CCE98E">
        <w:rPr>
          <w:rFonts w:eastAsia="Arial" w:cs="Arial"/>
        </w:rPr>
        <w:t xml:space="preserve">. </w:t>
      </w:r>
      <w:r w:rsidR="1A39CB38" w:rsidRPr="14CCE98E">
        <w:rPr>
          <w:rFonts w:eastAsia="Arial" w:cs="Arial"/>
        </w:rPr>
        <w:t xml:space="preserve">Any new or replacement Key Subcontractor appointed in accordance </w:t>
      </w:r>
      <w:r w:rsidR="5A7DE36B" w:rsidRPr="14CCE98E">
        <w:rPr>
          <w:rFonts w:eastAsia="Arial" w:cs="Arial"/>
        </w:rPr>
        <w:t xml:space="preserve">with this Paragraph 2.3 </w:t>
      </w:r>
      <w:r w:rsidR="1A39CB38" w:rsidRPr="14CCE98E">
        <w:rPr>
          <w:rFonts w:eastAsia="Arial" w:cs="Arial"/>
        </w:rPr>
        <w:t>must be promptly added to the Supplier Register of Key Subcontractors (or the Key Subcontractor section of the Order Form, if the Key Subcontractor is only being engaged in connection with the relevant Call-Off Contract).</w:t>
      </w:r>
    </w:p>
    <w:p w14:paraId="00000009" w14:textId="77777777" w:rsidR="000F1D57" w:rsidRPr="00E55DD9" w:rsidRDefault="00676C1A" w:rsidP="008032E9">
      <w:pPr>
        <w:keepNext/>
        <w:numPr>
          <w:ilvl w:val="1"/>
          <w:numId w:val="1"/>
        </w:numPr>
        <w:pBdr>
          <w:top w:val="nil"/>
          <w:left w:val="nil"/>
          <w:bottom w:val="nil"/>
          <w:right w:val="nil"/>
          <w:between w:val="nil"/>
        </w:pBdr>
        <w:spacing w:before="120" w:after="120" w:line="240" w:lineRule="auto"/>
        <w:ind w:left="1134" w:hanging="708"/>
        <w:rPr>
          <w:rFonts w:eastAsia="Arial" w:cs="Arial"/>
          <w:b/>
        </w:rPr>
      </w:pPr>
      <w:bookmarkStart w:id="2" w:name="_heading=h.1fob9te" w:colFirst="0" w:colLast="0"/>
      <w:bookmarkStart w:id="3" w:name="_Ref190942307"/>
      <w:bookmarkEnd w:id="2"/>
      <w:r w:rsidRPr="00E55DD9">
        <w:rPr>
          <w:rFonts w:eastAsia="Arial" w:cs="Arial"/>
        </w:rPr>
        <w:t>The Supplier shall provide CCS and the Buyer with the following information in respect of the proposed Key Subcontractor:</w:t>
      </w:r>
      <w:bookmarkEnd w:id="3"/>
    </w:p>
    <w:p w14:paraId="0000000A"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the proposed Key Subcontractor’s name, registered office and company registration number;</w:t>
      </w:r>
    </w:p>
    <w:p w14:paraId="0000000B"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the scope/description of any Deliverables to be provided by the proposed Key Subcontractor; </w:t>
      </w:r>
    </w:p>
    <w:p w14:paraId="0000000C"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where the proposed Key Subcontractor is an Affiliate of the Supplier, evidence that demonstrates to the reasonable satisfaction of the CCS and the Buyer that the proposed Key Sub-Contract has been agreed on "arm’s-length" terms;</w:t>
      </w:r>
    </w:p>
    <w:p w14:paraId="0000000D"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for CCS, the Key Sub-Contract price expressed as a percentage of the total projected Framework Price over the Framework Contract Period; </w:t>
      </w:r>
    </w:p>
    <w:p w14:paraId="0000000E" w14:textId="13436316"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for the Buyer, the Key Sub-Contract price expressed as a percentage of the total </w:t>
      </w:r>
      <w:r w:rsidR="008032E9">
        <w:rPr>
          <w:rFonts w:eastAsia="Arial" w:cs="Arial"/>
        </w:rPr>
        <w:t>projected Charges over the Call-</w:t>
      </w:r>
      <w:r w:rsidRPr="00E55DD9">
        <w:rPr>
          <w:rFonts w:eastAsia="Arial" w:cs="Arial"/>
        </w:rPr>
        <w:t xml:space="preserve">Off Contract Period; </w:t>
      </w:r>
    </w:p>
    <w:p w14:paraId="623B2003" w14:textId="77777777" w:rsidR="004F5156"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(where applicable) Credit Rating Threshold (as defined in Joint Schedule 7 </w:t>
      </w:r>
      <w:r w:rsidRPr="00E55DD9">
        <w:rPr>
          <w:rFonts w:eastAsia="Arial" w:cs="Arial"/>
          <w:i/>
        </w:rPr>
        <w:t>(Financial Distress)</w:t>
      </w:r>
      <w:r w:rsidRPr="00E55DD9">
        <w:rPr>
          <w:rFonts w:eastAsia="Arial" w:cs="Arial"/>
        </w:rPr>
        <w:t>) of the Key Subcontractor</w:t>
      </w:r>
      <w:r w:rsidR="004F5156" w:rsidRPr="00E55DD9">
        <w:rPr>
          <w:rFonts w:eastAsia="Arial" w:cs="Arial"/>
        </w:rPr>
        <w:t>; and</w:t>
      </w:r>
    </w:p>
    <w:p w14:paraId="0000000F" w14:textId="42CD8FC5" w:rsidR="000F1D57" w:rsidRPr="00E55DD9" w:rsidRDefault="004F5156"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whether the Supplier considers that an exclusion ground within the meaning of the Procurement Act 2023 and any associated Regulations does or may apply to the proposed Key Subcontractor</w:t>
      </w:r>
      <w:r w:rsidR="00676C1A" w:rsidRPr="00E55DD9">
        <w:rPr>
          <w:rFonts w:eastAsia="Arial" w:cs="Arial"/>
        </w:rPr>
        <w:t>.</w:t>
      </w:r>
    </w:p>
    <w:p w14:paraId="00000010" w14:textId="668E5247" w:rsidR="000F1D57" w:rsidRPr="00E55DD9" w:rsidRDefault="00676C1A" w:rsidP="008032E9">
      <w:pPr>
        <w:keepNext/>
        <w:numPr>
          <w:ilvl w:val="1"/>
          <w:numId w:val="1"/>
        </w:numPr>
        <w:pBdr>
          <w:top w:val="nil"/>
          <w:left w:val="nil"/>
          <w:bottom w:val="nil"/>
          <w:right w:val="nil"/>
          <w:between w:val="nil"/>
        </w:pBdr>
        <w:spacing w:before="120" w:after="120" w:line="240" w:lineRule="auto"/>
        <w:ind w:left="1134" w:hanging="708"/>
        <w:rPr>
          <w:rFonts w:eastAsia="Arial" w:cs="Arial"/>
          <w:b/>
        </w:rPr>
      </w:pPr>
      <w:bookmarkStart w:id="4" w:name="_heading=h.3znysh7" w:colFirst="0" w:colLast="0"/>
      <w:bookmarkEnd w:id="4"/>
      <w:r w:rsidRPr="00E55DD9">
        <w:rPr>
          <w:rFonts w:eastAsia="Arial" w:cs="Arial"/>
        </w:rPr>
        <w:t>If requested by CCS and/or the Buyer, within ten (10) Working Days of receipt of the information provided by the Supplier pursuant to Paragraph </w:t>
      </w:r>
      <w:r w:rsidR="008032E9">
        <w:rPr>
          <w:rFonts w:eastAsia="Arial" w:cs="Arial"/>
        </w:rPr>
        <w:fldChar w:fldCharType="begin"/>
      </w:r>
      <w:r w:rsidR="008032E9">
        <w:rPr>
          <w:rFonts w:eastAsia="Arial" w:cs="Arial"/>
        </w:rPr>
        <w:instrText xml:space="preserve"> REF _Ref190942307 \r \h </w:instrText>
      </w:r>
      <w:r w:rsidR="008032E9">
        <w:rPr>
          <w:rFonts w:eastAsia="Arial" w:cs="Arial"/>
        </w:rPr>
      </w:r>
      <w:r w:rsidR="008032E9">
        <w:rPr>
          <w:rFonts w:eastAsia="Arial" w:cs="Arial"/>
        </w:rPr>
        <w:fldChar w:fldCharType="separate"/>
      </w:r>
      <w:r w:rsidR="00C004BC">
        <w:rPr>
          <w:rFonts w:eastAsia="Arial" w:cs="Arial"/>
        </w:rPr>
        <w:t>1.4</w:t>
      </w:r>
      <w:r w:rsidR="008032E9">
        <w:rPr>
          <w:rFonts w:eastAsia="Arial" w:cs="Arial"/>
        </w:rPr>
        <w:fldChar w:fldCharType="end"/>
      </w:r>
      <w:r w:rsidRPr="00E55DD9">
        <w:rPr>
          <w:rFonts w:eastAsia="Arial" w:cs="Arial"/>
        </w:rPr>
        <w:t>, the Supplier shall also provide:</w:t>
      </w:r>
    </w:p>
    <w:p w14:paraId="00000011" w14:textId="40A4E641" w:rsidR="000F1D57" w:rsidRPr="00E55DD9" w:rsidRDefault="7389AFBA" w:rsidP="7BCED15E">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7BCED15E">
        <w:rPr>
          <w:rFonts w:eastAsia="Arial" w:cs="Arial"/>
        </w:rPr>
        <w:t xml:space="preserve">a copy of the proposed Key Sub-Contract; and </w:t>
      </w:r>
    </w:p>
    <w:p w14:paraId="00000012"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any further information reasonably requested by CCS and/or the Buyer.</w:t>
      </w:r>
    </w:p>
    <w:p w14:paraId="00000013" w14:textId="11222F59" w:rsidR="000F1D57" w:rsidRPr="00E55DD9" w:rsidRDefault="7389AFBA" w:rsidP="7BCED15E">
      <w:pPr>
        <w:keepNext/>
        <w:numPr>
          <w:ilvl w:val="1"/>
          <w:numId w:val="1"/>
        </w:numPr>
        <w:pBdr>
          <w:top w:val="nil"/>
          <w:left w:val="nil"/>
          <w:bottom w:val="nil"/>
          <w:right w:val="nil"/>
          <w:between w:val="nil"/>
        </w:pBdr>
        <w:spacing w:before="120" w:after="120" w:line="240" w:lineRule="auto"/>
        <w:ind w:left="1134" w:hanging="708"/>
        <w:rPr>
          <w:rFonts w:eastAsia="Arial" w:cs="Arial"/>
          <w:b/>
          <w:bCs/>
        </w:rPr>
      </w:pPr>
      <w:bookmarkStart w:id="5" w:name="_heading=h.2et92p0"/>
      <w:bookmarkEnd w:id="5"/>
      <w:r w:rsidRPr="7BCED15E">
        <w:rPr>
          <w:rFonts w:eastAsia="Arial" w:cs="Arial"/>
        </w:rPr>
        <w:t xml:space="preserve">The Supplier shall ensure that each new or replacement Key Sub-Contract shall include: </w:t>
      </w:r>
    </w:p>
    <w:p w14:paraId="00000014"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provisions which will enable the Supplier to discharge its obligations under the Contracts;</w:t>
      </w:r>
    </w:p>
    <w:p w14:paraId="00000015"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a right under CRTPA for CCS and the Buyer to enforce any provisions under the Key Sub-Contract which confer a benefit upon CCS and the Buyer respectively;</w:t>
      </w:r>
    </w:p>
    <w:p w14:paraId="00000016"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lastRenderedPageBreak/>
        <w:t xml:space="preserve">a provision enabling CCS and the Buyer to enforce the Key Sub-Contract as if it were the Supplier; </w:t>
      </w:r>
    </w:p>
    <w:p w14:paraId="00000017"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a provision enabling the Supplier to assign, novate or otherwise transfer any of its rights and/or obligations under the Key Sub-Contract to CCS and/or the Buyer; </w:t>
      </w:r>
    </w:p>
    <w:p w14:paraId="00000018"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obligations no less onerous on the Key Subcontractor than those imposed on the Supplier under the Framework Contract in respect of:</w:t>
      </w:r>
    </w:p>
    <w:p w14:paraId="00000019" w14:textId="4D11646D"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the data protection r</w:t>
      </w:r>
      <w:r w:rsidR="008032E9">
        <w:rPr>
          <w:rFonts w:eastAsia="Arial" w:cs="Arial"/>
        </w:rPr>
        <w:t>equirements set out in Clause 17</w:t>
      </w:r>
      <w:r w:rsidRPr="00E55DD9">
        <w:rPr>
          <w:rFonts w:eastAsia="Arial" w:cs="Arial"/>
        </w:rPr>
        <w:t xml:space="preserve"> </w:t>
      </w:r>
      <w:r w:rsidRPr="008032E9">
        <w:rPr>
          <w:rFonts w:eastAsia="Arial" w:cs="Arial"/>
          <w:i/>
        </w:rPr>
        <w:t>(Data protection</w:t>
      </w:r>
      <w:r w:rsidR="008032E9" w:rsidRPr="008032E9">
        <w:rPr>
          <w:rFonts w:eastAsia="Arial" w:cs="Arial"/>
          <w:i/>
        </w:rPr>
        <w:t xml:space="preserve"> and security</w:t>
      </w:r>
      <w:r w:rsidRPr="008032E9">
        <w:rPr>
          <w:rFonts w:eastAsia="Arial" w:cs="Arial"/>
          <w:i/>
        </w:rPr>
        <w:t>)</w:t>
      </w:r>
      <w:r w:rsidR="00F95BC4">
        <w:rPr>
          <w:rFonts w:eastAsia="Arial" w:cs="Arial"/>
          <w:i/>
        </w:rPr>
        <w:t xml:space="preserve"> </w:t>
      </w:r>
      <w:r w:rsidR="00F95BC4" w:rsidRPr="00F95BC4">
        <w:rPr>
          <w:rFonts w:eastAsia="Arial" w:cs="Arial"/>
        </w:rPr>
        <w:t>of the General Terms</w:t>
      </w:r>
      <w:r w:rsidRPr="00E55DD9">
        <w:rPr>
          <w:rFonts w:eastAsia="Arial" w:cs="Arial"/>
        </w:rPr>
        <w:t>;</w:t>
      </w:r>
    </w:p>
    <w:p w14:paraId="0000001A" w14:textId="245B43B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the FOIA and other access request r</w:t>
      </w:r>
      <w:r w:rsidR="008032E9">
        <w:rPr>
          <w:rFonts w:eastAsia="Arial" w:cs="Arial"/>
        </w:rPr>
        <w:t>equirements set out in Clause 19</w:t>
      </w:r>
      <w:r w:rsidRPr="00E55DD9">
        <w:rPr>
          <w:rFonts w:eastAsia="Arial" w:cs="Arial"/>
        </w:rPr>
        <w:t xml:space="preserve"> </w:t>
      </w:r>
      <w:r w:rsidRPr="008032E9">
        <w:rPr>
          <w:rFonts w:eastAsia="Arial" w:cs="Arial"/>
          <w:i/>
        </w:rPr>
        <w:t>(When you can share information)</w:t>
      </w:r>
      <w:r w:rsidR="00F95BC4">
        <w:rPr>
          <w:rFonts w:eastAsia="Arial" w:cs="Arial"/>
          <w:i/>
        </w:rPr>
        <w:t xml:space="preserve"> </w:t>
      </w:r>
      <w:r w:rsidR="00F95BC4" w:rsidRPr="00F95BC4">
        <w:rPr>
          <w:rFonts w:eastAsia="Arial" w:cs="Arial"/>
        </w:rPr>
        <w:t>of the General Terms</w:t>
      </w:r>
      <w:r w:rsidRPr="00E55DD9">
        <w:rPr>
          <w:rFonts w:eastAsia="Arial" w:cs="Arial"/>
        </w:rPr>
        <w:t>;</w:t>
      </w:r>
    </w:p>
    <w:p w14:paraId="0000001B" w14:textId="7777777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 xml:space="preserve">the obligation not to embarrass CCS or the Buyer or otherwise bring CCS or the Buyer into disrepute; </w:t>
      </w:r>
    </w:p>
    <w:p w14:paraId="0000001C" w14:textId="7777777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the keeping of records in respect of the goods and/or services being provided under the Key Sub-Contract, including the maintenance of Open Book Data; and</w:t>
      </w:r>
    </w:p>
    <w:p w14:paraId="0000001D" w14:textId="34DA5F1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 xml:space="preserve">the conduct of audits set out in Clause 6 </w:t>
      </w:r>
      <w:r w:rsidRPr="00E55DD9">
        <w:rPr>
          <w:rFonts w:eastAsia="Arial" w:cs="Arial"/>
          <w:i/>
        </w:rPr>
        <w:t>(Record keeping and reporting)</w:t>
      </w:r>
      <w:r w:rsidR="00F95BC4">
        <w:rPr>
          <w:rFonts w:eastAsia="Arial" w:cs="Arial"/>
          <w:i/>
        </w:rPr>
        <w:t xml:space="preserve"> </w:t>
      </w:r>
      <w:r w:rsidR="00F95BC4" w:rsidRPr="00F95BC4">
        <w:rPr>
          <w:rFonts w:eastAsia="Arial" w:cs="Arial"/>
        </w:rPr>
        <w:t>of the General Terms</w:t>
      </w:r>
      <w:r w:rsidRPr="00E55DD9">
        <w:rPr>
          <w:rFonts w:eastAsia="Arial" w:cs="Arial"/>
        </w:rPr>
        <w:t>;</w:t>
      </w:r>
    </w:p>
    <w:p w14:paraId="0000001E" w14:textId="5DCF333B"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provisions enabling the Supplier to terminate the Key Sub-Contract on notice on terms no more onerous on the Supplier than those imposed on CC</w:t>
      </w:r>
      <w:r w:rsidR="00E55DD9">
        <w:rPr>
          <w:rFonts w:eastAsia="Arial" w:cs="Arial"/>
        </w:rPr>
        <w:t>S and the Buyer under Clauses 13.3</w:t>
      </w:r>
      <w:r w:rsidRPr="00E55DD9">
        <w:rPr>
          <w:rFonts w:eastAsia="Arial" w:cs="Arial"/>
        </w:rPr>
        <w:t xml:space="preserve"> </w:t>
      </w:r>
      <w:r w:rsidRPr="00E55DD9">
        <w:rPr>
          <w:rFonts w:eastAsia="Arial" w:cs="Arial"/>
          <w:i/>
        </w:rPr>
        <w:t xml:space="preserve">(When CCS or the Buyer can end </w:t>
      </w:r>
      <w:r w:rsidR="00E55DD9">
        <w:rPr>
          <w:rFonts w:eastAsia="Arial" w:cs="Arial"/>
          <w:i/>
        </w:rPr>
        <w:t>the</w:t>
      </w:r>
      <w:r w:rsidRPr="00E55DD9">
        <w:rPr>
          <w:rFonts w:eastAsia="Arial" w:cs="Arial"/>
          <w:i/>
        </w:rPr>
        <w:t xml:space="preserve"> contract)</w:t>
      </w:r>
      <w:r w:rsidRPr="00E55DD9">
        <w:rPr>
          <w:rFonts w:eastAsia="Arial" w:cs="Arial"/>
        </w:rPr>
        <w:t xml:space="preserve"> and </w:t>
      </w:r>
      <w:r w:rsidR="00E55DD9">
        <w:rPr>
          <w:rFonts w:eastAsia="Arial" w:cs="Arial"/>
        </w:rPr>
        <w:t>13.4</w:t>
      </w:r>
      <w:r w:rsidRPr="00E55DD9">
        <w:rPr>
          <w:rFonts w:eastAsia="Arial" w:cs="Arial"/>
        </w:rPr>
        <w:t xml:space="preserve"> </w:t>
      </w:r>
      <w:r w:rsidRPr="00E55DD9">
        <w:rPr>
          <w:rFonts w:eastAsia="Arial" w:cs="Arial"/>
          <w:i/>
        </w:rPr>
        <w:t>(What happens if the contract ends)</w:t>
      </w:r>
      <w:r w:rsidR="00E55DD9">
        <w:rPr>
          <w:rFonts w:eastAsia="Arial" w:cs="Arial"/>
        </w:rPr>
        <w:t xml:space="preserve"> of the</w:t>
      </w:r>
      <w:r w:rsidRPr="00E55DD9">
        <w:rPr>
          <w:rFonts w:eastAsia="Arial" w:cs="Arial"/>
        </w:rPr>
        <w:t xml:space="preserve"> Contract; and</w:t>
      </w:r>
    </w:p>
    <w:p w14:paraId="0A3CCF63" w14:textId="77777777" w:rsidR="00067C5C"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a provision restricting the ability of the Key Subcontractor to sub-contract all or any part of the provision of the Deliverables provided to the Supplier under the Key Sub-Contract without first seeking the written consent of CCS and the Buyer.</w:t>
      </w:r>
    </w:p>
    <w:p w14:paraId="06A3C52F" w14:textId="677F13BD" w:rsidR="00067C5C" w:rsidRPr="00E55DD9" w:rsidRDefault="68AD06CC" w:rsidP="3AEB3078">
      <w:pPr>
        <w:pStyle w:val="ListParagraph"/>
        <w:numPr>
          <w:ilvl w:val="1"/>
          <w:numId w:val="1"/>
        </w:numPr>
        <w:spacing w:before="120" w:after="120" w:line="240" w:lineRule="auto"/>
        <w:ind w:left="1134" w:hanging="708"/>
        <w:rPr>
          <w:rFonts w:eastAsia="Arial" w:cs="Arial"/>
        </w:rPr>
      </w:pPr>
      <w:r w:rsidRPr="7BCED15E">
        <w:rPr>
          <w:rFonts w:eastAsia="Arial" w:cs="Arial"/>
        </w:rPr>
        <w:t>The Supplier shall not terminate or materially</w:t>
      </w:r>
      <w:r w:rsidR="388301FC" w:rsidRPr="7BCED15E">
        <w:rPr>
          <w:rFonts w:eastAsia="Arial" w:cs="Arial"/>
        </w:rPr>
        <w:t xml:space="preserve"> amend the terms of any Key Sub-</w:t>
      </w:r>
      <w:r w:rsidRPr="7BCED15E">
        <w:rPr>
          <w:rFonts w:eastAsia="Arial" w:cs="Arial"/>
        </w:rPr>
        <w:t>Contract without the prior written consent of CCS and the Buyer, which shall not be unreasonably withheld or delayed.</w:t>
      </w:r>
    </w:p>
    <w:p w14:paraId="00000020" w14:textId="77777777" w:rsidR="000F1D57" w:rsidRDefault="000F1D57" w:rsidP="00E55DD9">
      <w:pPr>
        <w:pBdr>
          <w:top w:val="nil"/>
          <w:left w:val="nil"/>
          <w:bottom w:val="nil"/>
          <w:right w:val="nil"/>
          <w:between w:val="nil"/>
        </w:pBdr>
        <w:tabs>
          <w:tab w:val="left" w:pos="1985"/>
        </w:tabs>
        <w:spacing w:before="120" w:after="120" w:line="240" w:lineRule="auto"/>
        <w:rPr>
          <w:rFonts w:eastAsia="Arial" w:cs="Arial"/>
        </w:rPr>
      </w:pPr>
    </w:p>
    <w:sectPr w:rsidR="000F1D57">
      <w:headerReference w:type="default"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D5E5" w14:textId="77777777" w:rsidR="00632BCB" w:rsidRDefault="00632BCB">
      <w:pPr>
        <w:spacing w:after="0" w:line="240" w:lineRule="auto"/>
      </w:pPr>
      <w:r>
        <w:separator/>
      </w:r>
    </w:p>
  </w:endnote>
  <w:endnote w:type="continuationSeparator" w:id="0">
    <w:p w14:paraId="55E63BD9" w14:textId="77777777" w:rsidR="00632BCB" w:rsidRDefault="0063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1340C39D" w:rsidR="000F1D57" w:rsidRDefault="00676C1A" w:rsidP="00E55DD9">
    <w:pPr>
      <w:tabs>
        <w:tab w:val="center" w:pos="4513"/>
        <w:tab w:val="right" w:pos="9026"/>
      </w:tabs>
      <w:spacing w:after="0" w:line="240" w:lineRule="auto"/>
      <w:rPr>
        <w:rFonts w:eastAsia="Arial" w:cs="Arial"/>
        <w:sz w:val="20"/>
        <w:szCs w:val="20"/>
      </w:rPr>
    </w:pPr>
    <w:r>
      <w:rPr>
        <w:rFonts w:eastAsia="Arial" w:cs="Arial"/>
        <w:sz w:val="20"/>
        <w:szCs w:val="20"/>
      </w:rPr>
      <w:t>Framework Ref: RM</w:t>
    </w:r>
    <w:r w:rsidR="00E25420" w:rsidRPr="00E25420">
      <w:rPr>
        <w:rFonts w:eastAsia="Arial" w:cs="Arial"/>
        <w:sz w:val="20"/>
        <w:szCs w:val="20"/>
      </w:rPr>
      <w:t>1557.15</w:t>
    </w:r>
    <w:r>
      <w:rPr>
        <w:rFonts w:eastAsia="Arial" w:cs="Arial"/>
        <w:sz w:val="20"/>
        <w:szCs w:val="20"/>
      </w:rPr>
      <w:tab/>
      <w:t xml:space="preserve">                                           </w:t>
    </w:r>
  </w:p>
  <w:p w14:paraId="0000002B" w14:textId="7F2D8ED2" w:rsidR="000F1D57" w:rsidRDefault="00676C1A" w:rsidP="00E55DD9">
    <w:pPr>
      <w:pBdr>
        <w:top w:val="nil"/>
        <w:left w:val="nil"/>
        <w:bottom w:val="nil"/>
        <w:right w:val="nil"/>
        <w:between w:val="nil"/>
      </w:pBdr>
      <w:tabs>
        <w:tab w:val="center" w:pos="4513"/>
        <w:tab w:val="right" w:pos="9026"/>
      </w:tabs>
      <w:spacing w:after="0" w:line="240" w:lineRule="auto"/>
      <w:rPr>
        <w:rFonts w:eastAsia="Arial" w:cs="Arial"/>
        <w:sz w:val="20"/>
        <w:szCs w:val="20"/>
      </w:rPr>
    </w:pPr>
    <w:r>
      <w:rPr>
        <w:rFonts w:eastAsia="Arial" w:cs="Arial"/>
        <w:sz w:val="20"/>
        <w:szCs w:val="20"/>
      </w:rPr>
      <w:t>Project Version: v1.0</w:t>
    </w:r>
    <w:r>
      <w:rPr>
        <w:rFonts w:eastAsia="Arial" w:cs="Arial"/>
        <w:sz w:val="20"/>
        <w:szCs w:val="20"/>
      </w:rPr>
      <w:tab/>
    </w:r>
    <w:r>
      <w:rPr>
        <w:rFonts w:eastAsia="Arial" w:cs="Arial"/>
        <w:sz w:val="20"/>
        <w:szCs w:val="20"/>
      </w:rPr>
      <w:tab/>
      <w:t xml:space="preserve"> </w:t>
    </w:r>
    <w:r>
      <w:rPr>
        <w:rFonts w:eastAsia="Arial" w:cs="Arial"/>
        <w:sz w:val="20"/>
        <w:szCs w:val="20"/>
      </w:rPr>
      <w:fldChar w:fldCharType="begin"/>
    </w:r>
    <w:r>
      <w:rPr>
        <w:rFonts w:eastAsia="Arial" w:cs="Arial"/>
        <w:sz w:val="20"/>
        <w:szCs w:val="20"/>
      </w:rPr>
      <w:instrText>PAGE</w:instrText>
    </w:r>
    <w:r>
      <w:rPr>
        <w:rFonts w:eastAsia="Arial" w:cs="Arial"/>
        <w:sz w:val="20"/>
        <w:szCs w:val="20"/>
      </w:rPr>
      <w:fldChar w:fldCharType="separate"/>
    </w:r>
    <w:r w:rsidR="000A153B">
      <w:rPr>
        <w:rFonts w:eastAsia="Arial" w:cs="Arial"/>
        <w:noProof/>
        <w:sz w:val="20"/>
        <w:szCs w:val="20"/>
      </w:rPr>
      <w:t>2</w:t>
    </w:r>
    <w:r>
      <w:rPr>
        <w:rFonts w:eastAsia="Arial" w:cs="Arial"/>
        <w:sz w:val="20"/>
        <w:szCs w:val="20"/>
      </w:rPr>
      <w:fldChar w:fldCharType="end"/>
    </w:r>
  </w:p>
  <w:p w14:paraId="0000002C" w14:textId="4BB148FD" w:rsidR="000F1D57" w:rsidRPr="00651478" w:rsidRDefault="00E55DD9" w:rsidP="00E55DD9">
    <w:pPr>
      <w:spacing w:after="0" w:line="240" w:lineRule="auto"/>
      <w:jc w:val="both"/>
      <w:rPr>
        <w:rFonts w:eastAsia="Arial" w:cs="Arial"/>
        <w:sz w:val="14"/>
        <w:szCs w:val="20"/>
      </w:rPr>
    </w:pPr>
    <w:bookmarkStart w:id="6" w:name="_heading=h.tyjcwt" w:colFirst="0" w:colLast="0"/>
    <w:bookmarkEnd w:id="6"/>
    <w:r>
      <w:rPr>
        <w:rFonts w:eastAsia="Arial" w:cs="Arial"/>
        <w:sz w:val="20"/>
        <w:szCs w:val="20"/>
      </w:rPr>
      <w:t>Model Version: v1</w:t>
    </w:r>
    <w:r w:rsidR="00676C1A">
      <w:rPr>
        <w:rFonts w:eastAsia="Arial" w:cs="Arial"/>
        <w:sz w:val="20"/>
        <w:szCs w:val="20"/>
      </w:rPr>
      <w:t>.</w:t>
    </w:r>
    <w:bookmarkStart w:id="7" w:name="bookmark=id.3dy6vkm" w:colFirst="0" w:colLast="0"/>
    <w:bookmarkEnd w:id="7"/>
    <w:r>
      <w:rPr>
        <w:rFonts w:eastAsia="Arial" w:cs="Arial"/>
        <w:sz w:val="20"/>
        <w:szCs w:val="20"/>
      </w:rPr>
      <w:t>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0F1D57" w:rsidRDefault="000F1D57">
    <w:pPr>
      <w:tabs>
        <w:tab w:val="center" w:pos="4513"/>
        <w:tab w:val="right" w:pos="9026"/>
      </w:tabs>
      <w:spacing w:after="0"/>
      <w:jc w:val="both"/>
      <w:rPr>
        <w:rFonts w:eastAsia="Arial" w:cs="Arial"/>
        <w:sz w:val="20"/>
        <w:szCs w:val="20"/>
      </w:rPr>
    </w:pPr>
  </w:p>
  <w:p w14:paraId="00000027" w14:textId="77777777" w:rsidR="000F1D57" w:rsidRDefault="00676C1A">
    <w:pPr>
      <w:tabs>
        <w:tab w:val="center" w:pos="4513"/>
        <w:tab w:val="right" w:pos="9026"/>
      </w:tabs>
      <w:spacing w:after="0"/>
      <w:rPr>
        <w:rFonts w:eastAsia="Arial" w:cs="Arial"/>
        <w:sz w:val="20"/>
        <w:szCs w:val="20"/>
      </w:rPr>
    </w:pPr>
    <w:r>
      <w:rPr>
        <w:rFonts w:eastAsia="Arial" w:cs="Arial"/>
        <w:sz w:val="20"/>
        <w:szCs w:val="20"/>
      </w:rPr>
      <w:t>Framework Ref: RM</w:t>
    </w:r>
    <w:r>
      <w:rPr>
        <w:rFonts w:eastAsia="Arial" w:cs="Arial"/>
        <w:sz w:val="20"/>
        <w:szCs w:val="20"/>
      </w:rPr>
      <w:tab/>
      <w:t xml:space="preserve">                                           </w:t>
    </w:r>
  </w:p>
  <w:p w14:paraId="00000028" w14:textId="7462A7FE" w:rsidR="000F1D57" w:rsidRDefault="00676C1A">
    <w:pPr>
      <w:pBdr>
        <w:top w:val="nil"/>
        <w:left w:val="nil"/>
        <w:bottom w:val="nil"/>
        <w:right w:val="nil"/>
        <w:between w:val="nil"/>
      </w:pBdr>
      <w:tabs>
        <w:tab w:val="center" w:pos="4513"/>
        <w:tab w:val="right" w:pos="9026"/>
      </w:tabs>
      <w:spacing w:after="0" w:line="240" w:lineRule="auto"/>
      <w:rPr>
        <w:rFonts w:eastAsia="Arial" w:cs="Arial"/>
        <w:sz w:val="20"/>
        <w:szCs w:val="20"/>
      </w:rPr>
    </w:pPr>
    <w:r>
      <w:rPr>
        <w:rFonts w:eastAsia="Arial" w:cs="Arial"/>
        <w:sz w:val="20"/>
        <w:szCs w:val="20"/>
      </w:rPr>
      <w:t>Project Version: v1.0</w:t>
    </w:r>
    <w:r>
      <w:rPr>
        <w:rFonts w:eastAsia="Arial" w:cs="Arial"/>
        <w:sz w:val="20"/>
        <w:szCs w:val="20"/>
      </w:rPr>
      <w:tab/>
    </w:r>
    <w:r>
      <w:rPr>
        <w:rFonts w:eastAsia="Arial" w:cs="Arial"/>
        <w:sz w:val="20"/>
        <w:szCs w:val="20"/>
      </w:rPr>
      <w:tab/>
    </w:r>
    <w:r>
      <w:rPr>
        <w:rFonts w:eastAsia="Arial" w:cs="Arial"/>
        <w:sz w:val="20"/>
        <w:szCs w:val="20"/>
      </w:rPr>
      <w:tab/>
      <w:t xml:space="preserve"> -</w:t>
    </w:r>
    <w:r>
      <w:rPr>
        <w:rFonts w:eastAsia="Arial" w:cs="Arial"/>
        <w:sz w:val="20"/>
        <w:szCs w:val="20"/>
      </w:rPr>
      <w:fldChar w:fldCharType="begin"/>
    </w:r>
    <w:r>
      <w:rPr>
        <w:rFonts w:eastAsia="Arial" w:cs="Arial"/>
        <w:sz w:val="20"/>
        <w:szCs w:val="20"/>
      </w:rPr>
      <w:instrText>PAGE</w:instrText>
    </w:r>
    <w:r>
      <w:rPr>
        <w:rFonts w:eastAsia="Arial" w:cs="Arial"/>
        <w:sz w:val="20"/>
        <w:szCs w:val="20"/>
      </w:rPr>
      <w:fldChar w:fldCharType="separate"/>
    </w:r>
    <w:r w:rsidR="00BA5B01">
      <w:rPr>
        <w:rFonts w:eastAsia="Arial" w:cs="Arial"/>
        <w:noProof/>
        <w:sz w:val="20"/>
        <w:szCs w:val="20"/>
      </w:rPr>
      <w:t>3</w:t>
    </w:r>
    <w:r>
      <w:rPr>
        <w:rFonts w:eastAsia="Arial" w:cs="Arial"/>
        <w:sz w:val="20"/>
        <w:szCs w:val="20"/>
      </w:rPr>
      <w:fldChar w:fldCharType="end"/>
    </w:r>
    <w:r>
      <w:rPr>
        <w:rFonts w:eastAsia="Arial" w:cs="Arial"/>
        <w:sz w:val="20"/>
        <w:szCs w:val="20"/>
      </w:rPr>
      <w:t>-</w:t>
    </w:r>
  </w:p>
  <w:p w14:paraId="00000029" w14:textId="77777777" w:rsidR="000F1D57" w:rsidRDefault="00676C1A">
    <w:pPr>
      <w:spacing w:after="0" w:line="240" w:lineRule="auto"/>
      <w:jc w:val="both"/>
      <w:rPr>
        <w:rFonts w:eastAsia="Arial" w:cs="Arial"/>
        <w:sz w:val="20"/>
        <w:szCs w:val="20"/>
      </w:rPr>
    </w:pPr>
    <w:r>
      <w:rPr>
        <w:rFonts w:eastAsia="Arial" w:cs="Arial"/>
        <w:sz w:val="20"/>
        <w:szCs w:val="20"/>
      </w:rPr>
      <w:t>Model Version : v3.0</w:t>
    </w:r>
    <w:r>
      <w:rPr>
        <w:rFonts w:eastAsia="Arial" w:cs="Arial"/>
        <w:sz w:val="20"/>
        <w:szCs w:val="20"/>
      </w:rPr>
      <w:tab/>
    </w:r>
    <w:r>
      <w:rPr>
        <w:rFonts w:eastAsia="Arial" w:cs="Arial"/>
        <w:sz w:val="20"/>
        <w:szCs w:val="20"/>
      </w:rPr>
      <w:tab/>
    </w:r>
    <w:r>
      <w:rPr>
        <w:rFonts w:eastAsia="Arial" w:cs="Arial"/>
        <w:sz w:val="20"/>
        <w:szCs w:val="20"/>
      </w:rPr>
      <w:tab/>
    </w:r>
    <w:r>
      <w:rPr>
        <w:rFonts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3C71" w14:textId="77777777" w:rsidR="00632BCB" w:rsidRDefault="00632BCB">
      <w:pPr>
        <w:spacing w:after="0" w:line="240" w:lineRule="auto"/>
      </w:pPr>
      <w:r>
        <w:separator/>
      </w:r>
    </w:p>
  </w:footnote>
  <w:footnote w:type="continuationSeparator" w:id="0">
    <w:p w14:paraId="06C3B520" w14:textId="77777777" w:rsidR="00632BCB" w:rsidRDefault="00632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0F1D57" w:rsidRPr="00E55DD9" w:rsidRDefault="00676C1A">
    <w:pPr>
      <w:pBdr>
        <w:top w:val="nil"/>
        <w:left w:val="nil"/>
        <w:bottom w:val="nil"/>
        <w:right w:val="nil"/>
        <w:between w:val="nil"/>
      </w:pBdr>
      <w:tabs>
        <w:tab w:val="center" w:pos="4513"/>
        <w:tab w:val="right" w:pos="9026"/>
      </w:tabs>
      <w:spacing w:after="0" w:line="240" w:lineRule="auto"/>
      <w:rPr>
        <w:rFonts w:eastAsia="Arial" w:cs="Arial"/>
        <w:b/>
        <w:sz w:val="22"/>
        <w:szCs w:val="22"/>
      </w:rPr>
    </w:pPr>
    <w:r w:rsidRPr="00E55DD9">
      <w:rPr>
        <w:rFonts w:eastAsia="Arial" w:cs="Arial"/>
        <w:b/>
        <w:sz w:val="22"/>
        <w:szCs w:val="22"/>
      </w:rPr>
      <w:t>Joint Schedule 6 (Key Subcontractors)</w:t>
    </w:r>
  </w:p>
  <w:p w14:paraId="00000025" w14:textId="5825AA2E" w:rsidR="000F1D57" w:rsidRDefault="00676C1A">
    <w:pPr>
      <w:pBdr>
        <w:top w:val="nil"/>
        <w:left w:val="nil"/>
        <w:bottom w:val="nil"/>
        <w:right w:val="nil"/>
        <w:between w:val="nil"/>
      </w:pBdr>
      <w:tabs>
        <w:tab w:val="center" w:pos="4513"/>
        <w:tab w:val="right" w:pos="9026"/>
      </w:tabs>
      <w:spacing w:after="0" w:line="240" w:lineRule="auto"/>
      <w:rPr>
        <w:rFonts w:eastAsia="Arial" w:cs="Arial"/>
        <w:sz w:val="22"/>
        <w:szCs w:val="22"/>
      </w:rPr>
    </w:pPr>
    <w:r w:rsidRPr="00E55DD9">
      <w:rPr>
        <w:rFonts w:eastAsia="Arial" w:cs="Arial"/>
        <w:sz w:val="22"/>
        <w:szCs w:val="22"/>
      </w:rPr>
      <w:t>Crown Copyright 202</w:t>
    </w:r>
    <w:r w:rsidR="0013717C" w:rsidRPr="00E55DD9">
      <w:rPr>
        <w:rFonts w:eastAsia="Arial" w:cs="Arial"/>
        <w:sz w:val="22"/>
        <w:szCs w:val="22"/>
      </w:rPr>
      <w:t>5</w:t>
    </w:r>
  </w:p>
  <w:p w14:paraId="37FE9DEC" w14:textId="77777777" w:rsidR="008032E9" w:rsidRPr="00E55DD9" w:rsidRDefault="008032E9">
    <w:pPr>
      <w:pBdr>
        <w:top w:val="nil"/>
        <w:left w:val="nil"/>
        <w:bottom w:val="nil"/>
        <w:right w:val="nil"/>
        <w:between w:val="nil"/>
      </w:pBdr>
      <w:tabs>
        <w:tab w:val="center" w:pos="4513"/>
        <w:tab w:val="right" w:pos="9026"/>
      </w:tabs>
      <w:spacing w:after="0" w:line="240" w:lineRule="auto"/>
      <w:rPr>
        <w:rFonts w:eastAsia="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0F1D57" w:rsidRDefault="000F1D57">
    <w:pPr>
      <w:pBdr>
        <w:top w:val="nil"/>
        <w:left w:val="nil"/>
        <w:bottom w:val="nil"/>
        <w:right w:val="nil"/>
        <w:between w:val="nil"/>
      </w:pBdr>
      <w:tabs>
        <w:tab w:val="center" w:pos="4513"/>
        <w:tab w:val="right" w:pos="9026"/>
      </w:tabs>
      <w:spacing w:after="0" w:line="240" w:lineRule="auto"/>
    </w:pPr>
  </w:p>
  <w:p w14:paraId="00000022" w14:textId="77777777" w:rsidR="000F1D57" w:rsidRDefault="000F1D57">
    <w:pPr>
      <w:pBdr>
        <w:top w:val="nil"/>
        <w:left w:val="nil"/>
        <w:bottom w:val="nil"/>
        <w:right w:val="nil"/>
        <w:between w:val="nil"/>
      </w:pBdr>
      <w:tabs>
        <w:tab w:val="center" w:pos="4513"/>
        <w:tab w:val="right" w:pos="9026"/>
      </w:tabs>
      <w:spacing w:after="0" w:line="240" w:lineRule="auto"/>
    </w:pPr>
  </w:p>
  <w:p w14:paraId="00000023" w14:textId="77777777" w:rsidR="000F1D57" w:rsidRDefault="000F1D57">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523"/>
    <w:multiLevelType w:val="multilevel"/>
    <w:tmpl w:val="56C4F996"/>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986D39"/>
    <w:multiLevelType w:val="multilevel"/>
    <w:tmpl w:val="C1DCA28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3462297">
    <w:abstractNumId w:val="0"/>
  </w:num>
  <w:num w:numId="2" w16cid:durableId="51541509">
    <w:abstractNumId w:val="2"/>
  </w:num>
  <w:num w:numId="3" w16cid:durableId="1031415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Joint Schedule 6 - Key Subcontractors v1.0 PA HB edits 01.08.25(95815570.1).docx"/>
  </w:docVars>
  <w:rsids>
    <w:rsidRoot w:val="000F1D57"/>
    <w:rsid w:val="00054D10"/>
    <w:rsid w:val="00067C5C"/>
    <w:rsid w:val="000A153B"/>
    <w:rsid w:val="000F1D57"/>
    <w:rsid w:val="0010759C"/>
    <w:rsid w:val="00111478"/>
    <w:rsid w:val="0013717C"/>
    <w:rsid w:val="00150ABF"/>
    <w:rsid w:val="0015371C"/>
    <w:rsid w:val="001716D2"/>
    <w:rsid w:val="001D0826"/>
    <w:rsid w:val="00293A9B"/>
    <w:rsid w:val="004109E9"/>
    <w:rsid w:val="00411D24"/>
    <w:rsid w:val="004C74C5"/>
    <w:rsid w:val="004F5156"/>
    <w:rsid w:val="00507736"/>
    <w:rsid w:val="005858E9"/>
    <w:rsid w:val="00632BCB"/>
    <w:rsid w:val="00651478"/>
    <w:rsid w:val="00676C1A"/>
    <w:rsid w:val="0068013C"/>
    <w:rsid w:val="00690F5D"/>
    <w:rsid w:val="006A04CD"/>
    <w:rsid w:val="006D79F3"/>
    <w:rsid w:val="008032E9"/>
    <w:rsid w:val="00805CDA"/>
    <w:rsid w:val="0084747D"/>
    <w:rsid w:val="008F454A"/>
    <w:rsid w:val="0092147A"/>
    <w:rsid w:val="00943E39"/>
    <w:rsid w:val="00993B9D"/>
    <w:rsid w:val="00AC4D7E"/>
    <w:rsid w:val="00B20A0B"/>
    <w:rsid w:val="00BA5B01"/>
    <w:rsid w:val="00BD5C29"/>
    <w:rsid w:val="00C004BC"/>
    <w:rsid w:val="00C13ECD"/>
    <w:rsid w:val="00C17082"/>
    <w:rsid w:val="00C753C2"/>
    <w:rsid w:val="00CE400F"/>
    <w:rsid w:val="00D71790"/>
    <w:rsid w:val="00D81B00"/>
    <w:rsid w:val="00DC41BD"/>
    <w:rsid w:val="00E25420"/>
    <w:rsid w:val="00E55DD9"/>
    <w:rsid w:val="00E96046"/>
    <w:rsid w:val="00ED223E"/>
    <w:rsid w:val="00F32E73"/>
    <w:rsid w:val="00F84C8F"/>
    <w:rsid w:val="00F95BC4"/>
    <w:rsid w:val="00FE1980"/>
    <w:rsid w:val="016F00E5"/>
    <w:rsid w:val="08E1189D"/>
    <w:rsid w:val="0BBA9C20"/>
    <w:rsid w:val="0C286FD8"/>
    <w:rsid w:val="0D7F16CF"/>
    <w:rsid w:val="14CCE98E"/>
    <w:rsid w:val="1A39CB38"/>
    <w:rsid w:val="1FD7A656"/>
    <w:rsid w:val="22E4AE97"/>
    <w:rsid w:val="22EB6CE5"/>
    <w:rsid w:val="24150AF9"/>
    <w:rsid w:val="27115BDC"/>
    <w:rsid w:val="28EA65FD"/>
    <w:rsid w:val="34B12CD1"/>
    <w:rsid w:val="388301FC"/>
    <w:rsid w:val="3AEB3078"/>
    <w:rsid w:val="3C1EABEA"/>
    <w:rsid w:val="410F6D55"/>
    <w:rsid w:val="432D23BB"/>
    <w:rsid w:val="4332124D"/>
    <w:rsid w:val="4342723C"/>
    <w:rsid w:val="4664A88C"/>
    <w:rsid w:val="4B5A019A"/>
    <w:rsid w:val="4D5632AD"/>
    <w:rsid w:val="4D8C8D6A"/>
    <w:rsid w:val="4D93FE2B"/>
    <w:rsid w:val="4EDE7706"/>
    <w:rsid w:val="5A7DE36B"/>
    <w:rsid w:val="5CE46F3E"/>
    <w:rsid w:val="607807F9"/>
    <w:rsid w:val="62733EE3"/>
    <w:rsid w:val="68AD06CC"/>
    <w:rsid w:val="7389AFBA"/>
    <w:rsid w:val="75AF8227"/>
    <w:rsid w:val="7B72BF24"/>
    <w:rsid w:val="7BCED1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C4562"/>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Bold"/>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7C5C"/>
    <w:pPr>
      <w:ind w:left="720"/>
      <w:contextualSpacing/>
    </w:pPr>
  </w:style>
  <w:style w:type="paragraph" w:styleId="Revision">
    <w:name w:val="Revision"/>
    <w:hidden/>
    <w:uiPriority w:val="99"/>
    <w:semiHidden/>
    <w:rsid w:val="008F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1A60YVlpR2HbhTcNbaIGm4bePw==">AMUW2mU0mlyBJOYeRepPNY+OtcVsRtqOK3uTuE+iY2vbT3csAUAvd4a+yaNCpujGUPyQZHrwKCzRfnX0DFaULyuIbdBgfn9QVW+aE4qMqSUIaelF0Yucwhlh08IQMtLkPUaeQbeOUvPSCo19AthWDeuiKIQswu/GMMyBwlOT8xeXCFK45fv2Juxq694Ck09BpOvpvf9Gn59d1U4Dq6RDLifo2jsrBdBWyg==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F1343A-58B5-42A3-8894-9CA02215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5728</Characters>
  <Application>Microsoft Office Word</Application>
  <DocSecurity>0</DocSecurity>
  <PresentationFormat/>
  <Lines>301</Lines>
  <Paragraphs>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DWF</cp:lastModifiedBy>
  <cp:revision>2</cp:revision>
  <dcterms:created xsi:type="dcterms:W3CDTF">2025-10-16T15:33:00Z</dcterms:created>
  <dcterms:modified xsi:type="dcterms:W3CDTF">2025-10-16T15:33:00Z</dcterms:modified>
  <cp:category/>
  <cp:contentStatus/>
  <dc:language/>
  <cp:version/>
</cp:coreProperties>
</file>