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-77521489"/>
      </w:sdtPr>
      <w:sdtEndPr/>
      <w:sdtContent>
        <w:p w14:paraId="6A85544C" w14:textId="77777777" w:rsidR="008418D4" w:rsidRDefault="001E130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firstLine="426"/>
            <w:jc w:val="center"/>
            <w:rPr>
              <w:rFonts w:ascii="Arial Bold" w:eastAsia="Arial Bold" w:hAnsi="Arial Bold" w:cs="Arial Bold"/>
              <w:b/>
              <w:smallCaps/>
              <w:color w:val="000000"/>
            </w:rPr>
          </w:pPr>
          <w:r>
            <w:rPr>
              <w:rFonts w:ascii="Arial Bold" w:eastAsia="Arial Bold" w:hAnsi="Arial Bold" w:cs="Arial Bold"/>
              <w:b/>
              <w:smallCaps/>
              <w:color w:val="000000"/>
            </w:rPr>
            <w:t>Part A: Direct Award</w:t>
          </w:r>
        </w:p>
      </w:sdtContent>
    </w:sdt>
    <w:sdt>
      <w:sdtPr>
        <w:tag w:val="goog_rdk_1"/>
        <w:id w:val="288718077"/>
      </w:sdtPr>
      <w:sdtEndPr/>
      <w:sdtContent>
        <w:p w14:paraId="17FFD29C" w14:textId="77777777" w:rsidR="008418D4" w:rsidRDefault="001E1304">
          <w:pPr>
            <w:spacing w:after="0"/>
            <w:rPr>
              <w:rFonts w:ascii="Times" w:eastAsia="Times" w:hAnsi="Times" w:cs="Times"/>
              <w:sz w:val="20"/>
              <w:szCs w:val="20"/>
            </w:rPr>
          </w:pPr>
          <w:r>
            <w:rPr>
              <w:color w:val="000000"/>
            </w:rPr>
            <w:t>This guidance provides an overview of how and when to use Direct Award</w:t>
          </w:r>
        </w:p>
      </w:sdtContent>
    </w:sdt>
    <w:sdt>
      <w:sdtPr>
        <w:tag w:val="goog_rdk_2"/>
        <w:id w:val="1476564329"/>
      </w:sdtPr>
      <w:sdtEndPr/>
      <w:sdtContent>
        <w:p w14:paraId="665A9947" w14:textId="5EFC5641" w:rsidR="008418D4" w:rsidRPr="00A052DE" w:rsidRDefault="00DA3853" w:rsidP="00A052DE">
          <w:pPr>
            <w:spacing w:after="0"/>
            <w:rPr>
              <w:sz w:val="20"/>
              <w:szCs w:val="20"/>
            </w:rPr>
          </w:pPr>
        </w:p>
      </w:sdtContent>
    </w:sdt>
    <w:sdt>
      <w:sdtPr>
        <w:tag w:val="goog_rdk_5"/>
        <w:id w:val="-1347931587"/>
      </w:sdtPr>
      <w:sdtEndPr/>
      <w:sdtContent>
        <w:p w14:paraId="3CB72A16" w14:textId="77777777" w:rsidR="008418D4" w:rsidRDefault="001E130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</w:pPr>
          <w:r>
            <w:rPr>
              <w:rFonts w:eastAsia="Calibri" w:cs="Calibri"/>
              <w:color w:val="000000"/>
            </w:rPr>
            <w:t xml:space="preserve">For Contracting Authorities who decide to enter into a Call Off Agreement and/or Lease Agreement under Lot 1, the criteria and weightings set at Framework level (50% Quality/ 50% Price) shall apply, as Lot 1 is awarded to a sole Supplier. </w:t>
          </w:r>
        </w:p>
      </w:sdtContent>
    </w:sdt>
    <w:sdt>
      <w:sdtPr>
        <w:tag w:val="goog_rdk_6"/>
        <w:id w:val="-1914775960"/>
      </w:sdtPr>
      <w:sdtEndPr/>
      <w:sdtContent>
        <w:p w14:paraId="59D65A0B" w14:textId="77777777" w:rsidR="008418D4" w:rsidRDefault="001E130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</w:tabs>
          </w:pPr>
          <w:r>
            <w:rPr>
              <w:rFonts w:eastAsia="Calibri" w:cs="Calibri"/>
              <w:color w:val="000000"/>
            </w:rPr>
            <w:t xml:space="preserve">For Contracting Authorities who wish to Direct Award under Lot 2 of the framework, the below criteria and weightings shall apply. </w:t>
          </w:r>
        </w:p>
      </w:sdtContent>
    </w:sdt>
    <w:tbl>
      <w:tblPr>
        <w:tblStyle w:val="a"/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758"/>
        <w:gridCol w:w="3390"/>
      </w:tblGrid>
      <w:tr w:rsidR="008418D4" w14:paraId="55AAFAB2" w14:textId="77777777">
        <w:tc>
          <w:tcPr>
            <w:tcW w:w="1705" w:type="dxa"/>
            <w:shd w:val="clear" w:color="auto" w:fill="EEECE1"/>
          </w:tcPr>
          <w:sdt>
            <w:sdtPr>
              <w:tag w:val="goog_rdk_7"/>
              <w:id w:val="-891572831"/>
            </w:sdtPr>
            <w:sdtEndPr/>
            <w:sdtContent>
              <w:p w14:paraId="0F493FDA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b/>
                    <w:color w:val="000000"/>
                  </w:rPr>
                </w:pPr>
                <w:r>
                  <w:rPr>
                    <w:rFonts w:eastAsia="Calibri" w:cs="Calibri"/>
                    <w:b/>
                    <w:color w:val="000000"/>
                  </w:rPr>
                  <w:t>Criteria Number</w:t>
                </w:r>
              </w:p>
            </w:sdtContent>
          </w:sdt>
        </w:tc>
        <w:tc>
          <w:tcPr>
            <w:tcW w:w="3758" w:type="dxa"/>
            <w:shd w:val="clear" w:color="auto" w:fill="EEECE1"/>
          </w:tcPr>
          <w:sdt>
            <w:sdtPr>
              <w:tag w:val="goog_rdk_8"/>
              <w:id w:val="1723629759"/>
            </w:sdtPr>
            <w:sdtEndPr/>
            <w:sdtContent>
              <w:p w14:paraId="0823383C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b/>
                    <w:color w:val="000000"/>
                  </w:rPr>
                </w:pPr>
                <w:r>
                  <w:rPr>
                    <w:rFonts w:eastAsia="Calibri" w:cs="Calibri"/>
                    <w:b/>
                    <w:color w:val="000000"/>
                  </w:rPr>
                  <w:t>Criteria</w:t>
                </w:r>
              </w:p>
            </w:sdtContent>
          </w:sdt>
        </w:tc>
        <w:tc>
          <w:tcPr>
            <w:tcW w:w="3390" w:type="dxa"/>
            <w:shd w:val="clear" w:color="auto" w:fill="EEECE1"/>
          </w:tcPr>
          <w:sdt>
            <w:sdtPr>
              <w:tag w:val="goog_rdk_9"/>
              <w:id w:val="1990511585"/>
            </w:sdtPr>
            <w:sdtEndPr/>
            <w:sdtContent>
              <w:p w14:paraId="4A310573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b/>
                    <w:color w:val="000000"/>
                  </w:rPr>
                </w:pPr>
                <w:r>
                  <w:rPr>
                    <w:rFonts w:eastAsia="Calibri" w:cs="Calibri"/>
                    <w:b/>
                    <w:color w:val="000000"/>
                  </w:rPr>
                  <w:t>Percentage Weightings to be set by the Contracting Authority conducting the direct award</w:t>
                </w:r>
              </w:p>
            </w:sdtContent>
          </w:sdt>
        </w:tc>
      </w:tr>
      <w:tr w:rsidR="008418D4" w14:paraId="5495FFE3" w14:textId="77777777">
        <w:tc>
          <w:tcPr>
            <w:tcW w:w="1705" w:type="dxa"/>
          </w:tcPr>
          <w:sdt>
            <w:sdtPr>
              <w:tag w:val="goog_rdk_10"/>
              <w:id w:val="-864370452"/>
            </w:sdtPr>
            <w:sdtEndPr/>
            <w:sdtContent>
              <w:p w14:paraId="1B606A6A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11"/>
              <w:id w:val="1990585037"/>
            </w:sdtPr>
            <w:sdtEndPr/>
            <w:sdtContent>
              <w:p w14:paraId="5CDF1FA0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1</w:t>
                </w:r>
              </w:p>
            </w:sdtContent>
          </w:sdt>
        </w:tc>
        <w:tc>
          <w:tcPr>
            <w:tcW w:w="3758" w:type="dxa"/>
          </w:tcPr>
          <w:sdt>
            <w:sdtPr>
              <w:tag w:val="goog_rdk_12"/>
              <w:id w:val="602001552"/>
            </w:sdtPr>
            <w:sdtEndPr/>
            <w:sdtContent>
              <w:p w14:paraId="76CD2306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hanging="142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13"/>
              <w:id w:val="-1949688194"/>
            </w:sdtPr>
            <w:sdtEndPr/>
            <w:sdtContent>
              <w:p w14:paraId="36C59E95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Quality</w:t>
                </w:r>
              </w:p>
            </w:sdtContent>
          </w:sdt>
        </w:tc>
        <w:tc>
          <w:tcPr>
            <w:tcW w:w="3390" w:type="dxa"/>
          </w:tcPr>
          <w:sdt>
            <w:sdtPr>
              <w:tag w:val="goog_rdk_14"/>
              <w:id w:val="141250137"/>
            </w:sdtPr>
            <w:sdtEndPr/>
            <w:sdtContent>
              <w:p w14:paraId="56618847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jc w:val="left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15"/>
              <w:id w:val="-18078939"/>
            </w:sdtPr>
            <w:sdtEndPr/>
            <w:sdtContent>
              <w:p w14:paraId="76B5F6F0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jc w:val="center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50%</w:t>
                </w:r>
              </w:p>
            </w:sdtContent>
          </w:sdt>
          <w:sdt>
            <w:sdtPr>
              <w:tag w:val="goog_rdk_16"/>
              <w:id w:val="-1954928539"/>
            </w:sdtPr>
            <w:sdtEndPr/>
            <w:sdtContent>
              <w:p w14:paraId="3DCF4BA6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(Contracting Authorities can modify the percentage weighting to meet their requirements using a variance level of -/+ 20%)</w:t>
                </w:r>
              </w:p>
            </w:sdtContent>
          </w:sdt>
        </w:tc>
      </w:tr>
      <w:tr w:rsidR="008418D4" w14:paraId="541C5671" w14:textId="77777777">
        <w:tc>
          <w:tcPr>
            <w:tcW w:w="1705" w:type="dxa"/>
          </w:tcPr>
          <w:sdt>
            <w:sdtPr>
              <w:tag w:val="goog_rdk_17"/>
              <w:id w:val="51132062"/>
            </w:sdtPr>
            <w:sdtEndPr/>
            <w:sdtContent>
              <w:p w14:paraId="1986867A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18"/>
              <w:id w:val="-1696985839"/>
            </w:sdtPr>
            <w:sdtEndPr/>
            <w:sdtContent>
              <w:p w14:paraId="58E1B615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2</w:t>
                </w:r>
              </w:p>
            </w:sdtContent>
          </w:sdt>
        </w:tc>
        <w:tc>
          <w:tcPr>
            <w:tcW w:w="3758" w:type="dxa"/>
          </w:tcPr>
          <w:sdt>
            <w:sdtPr>
              <w:tag w:val="goog_rdk_19"/>
              <w:id w:val="-1900510062"/>
            </w:sdtPr>
            <w:sdtEndPr/>
            <w:sdtContent>
              <w:p w14:paraId="66133392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20"/>
              <w:id w:val="1154953052"/>
            </w:sdtPr>
            <w:sdtEndPr/>
            <w:sdtContent>
              <w:p w14:paraId="09AE501E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Price</w:t>
                </w:r>
              </w:p>
            </w:sdtContent>
          </w:sdt>
        </w:tc>
        <w:tc>
          <w:tcPr>
            <w:tcW w:w="3390" w:type="dxa"/>
          </w:tcPr>
          <w:sdt>
            <w:sdtPr>
              <w:tag w:val="goog_rdk_21"/>
              <w:id w:val="765887902"/>
            </w:sdtPr>
            <w:sdtEndPr/>
            <w:sdtContent>
              <w:p w14:paraId="7F444DD6" w14:textId="77777777" w:rsidR="008418D4" w:rsidRDefault="00DA385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jc w:val="center"/>
                  <w:rPr>
                    <w:rFonts w:eastAsia="Calibri" w:cs="Calibri"/>
                    <w:color w:val="000000"/>
                  </w:rPr>
                </w:pPr>
              </w:p>
            </w:sdtContent>
          </w:sdt>
          <w:sdt>
            <w:sdtPr>
              <w:tag w:val="goog_rdk_22"/>
              <w:id w:val="1630509377"/>
            </w:sdtPr>
            <w:sdtEndPr/>
            <w:sdtContent>
              <w:p w14:paraId="7A6AFAC2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jc w:val="center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50%</w:t>
                </w:r>
              </w:p>
            </w:sdtContent>
          </w:sdt>
          <w:sdt>
            <w:sdtPr>
              <w:tag w:val="goog_rdk_23"/>
              <w:id w:val="-1295292425"/>
            </w:sdtPr>
            <w:sdtEndPr/>
            <w:sdtContent>
              <w:p w14:paraId="7522D398" w14:textId="77777777" w:rsidR="008418D4" w:rsidRDefault="001E130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120"/>
                  <w:ind w:left="142" w:hanging="142"/>
                  <w:rPr>
                    <w:rFonts w:eastAsia="Calibri" w:cs="Calibri"/>
                    <w:color w:val="000000"/>
                  </w:rPr>
                </w:pPr>
                <w:r>
                  <w:rPr>
                    <w:rFonts w:eastAsia="Calibri" w:cs="Calibri"/>
                    <w:color w:val="000000"/>
                  </w:rPr>
                  <w:t>(Contracting Authorities can modify the percentage weighting to meet their requirements using a variance level of -/+ 20%)</w:t>
                </w:r>
              </w:p>
            </w:sdtContent>
          </w:sdt>
        </w:tc>
      </w:tr>
    </w:tbl>
    <w:sdt>
      <w:sdtPr>
        <w:tag w:val="goog_rdk_24"/>
        <w:id w:val="-1021768841"/>
      </w:sdtPr>
      <w:sdtEndPr/>
      <w:sdtContent>
        <w:p w14:paraId="5E2D205D" w14:textId="77777777" w:rsidR="008418D4" w:rsidRDefault="00DA3853"/>
      </w:sdtContent>
    </w:sdt>
    <w:sdt>
      <w:sdtPr>
        <w:tag w:val="goog_rdk_25"/>
        <w:id w:val="248627338"/>
      </w:sdtPr>
      <w:sdtEndPr/>
      <w:sdtContent>
        <w:p w14:paraId="043F7E88" w14:textId="77777777" w:rsidR="008418D4" w:rsidRDefault="001E1304">
          <w:r>
            <w:t>Considerations when choosing to ‘Direct Award’ under Lot 2:</w:t>
          </w:r>
        </w:p>
      </w:sdtContent>
    </w:sdt>
    <w:sdt>
      <w:sdtPr>
        <w:tag w:val="goog_rdk_26"/>
        <w:id w:val="-586924287"/>
      </w:sdtPr>
      <w:sdtEndPr/>
      <w:sdtContent>
        <w:p w14:paraId="12E5ECB8" w14:textId="77777777" w:rsidR="008418D4" w:rsidRDefault="001E1304">
          <w:pPr>
            <w:numPr>
              <w:ilvl w:val="0"/>
              <w:numId w:val="1"/>
            </w:numPr>
            <w:spacing w:after="0"/>
            <w:rPr>
              <w:rFonts w:eastAsia="Calibri" w:cs="Calibri"/>
              <w:color w:val="000000"/>
            </w:rPr>
          </w:pPr>
          <w:r>
            <w:t>Maximum framework prices will apply</w:t>
          </w:r>
        </w:p>
      </w:sdtContent>
    </w:sdt>
    <w:sdt>
      <w:sdtPr>
        <w:tag w:val="goog_rdk_27"/>
        <w:id w:val="1822776039"/>
      </w:sdtPr>
      <w:sdtEndPr/>
      <w:sdtContent>
        <w:p w14:paraId="19B702FF" w14:textId="77777777" w:rsidR="008418D4" w:rsidRDefault="001E1304">
          <w:pPr>
            <w:numPr>
              <w:ilvl w:val="0"/>
              <w:numId w:val="1"/>
            </w:numPr>
            <w:spacing w:after="0"/>
            <w:rPr>
              <w:rFonts w:eastAsia="Calibri" w:cs="Calibri"/>
              <w:color w:val="000000"/>
            </w:rPr>
          </w:pPr>
          <w:r>
            <w:t xml:space="preserve">Based on devices specified in the </w:t>
          </w:r>
          <w:r w:rsidR="00B77C2F">
            <w:t>pricing catalogue</w:t>
          </w:r>
        </w:p>
      </w:sdtContent>
    </w:sdt>
    <w:sdt>
      <w:sdtPr>
        <w:tag w:val="goog_rdk_28"/>
        <w:id w:val="-1238472322"/>
      </w:sdtPr>
      <w:sdtEndPr/>
      <w:sdtContent>
        <w:p w14:paraId="1CFAB44D" w14:textId="77777777" w:rsidR="008418D4" w:rsidRDefault="001E1304">
          <w:pPr>
            <w:numPr>
              <w:ilvl w:val="0"/>
              <w:numId w:val="1"/>
            </w:numPr>
            <w:spacing w:after="0"/>
            <w:rPr>
              <w:rFonts w:eastAsia="Calibri" w:cs="Calibri"/>
              <w:color w:val="000000"/>
            </w:rPr>
          </w:pPr>
          <w:r>
            <w:t>The call of T&amp;C’s are not to be amended</w:t>
          </w:r>
        </w:p>
      </w:sdtContent>
    </w:sdt>
    <w:sdt>
      <w:sdtPr>
        <w:tag w:val="goog_rdk_29"/>
        <w:id w:val="1497077293"/>
      </w:sdtPr>
      <w:sdtEndPr/>
      <w:sdtContent>
        <w:p w14:paraId="58E3A245" w14:textId="77777777" w:rsidR="008418D4" w:rsidRDefault="001E1304">
          <w:pPr>
            <w:numPr>
              <w:ilvl w:val="0"/>
              <w:numId w:val="1"/>
            </w:numPr>
            <w:spacing w:after="0"/>
            <w:rPr>
              <w:rFonts w:eastAsia="Calibri" w:cs="Calibri"/>
              <w:color w:val="000000"/>
            </w:rPr>
          </w:pPr>
          <w:r>
            <w:t>Customers should be able to demonstrate value for money</w:t>
          </w:r>
        </w:p>
      </w:sdtContent>
    </w:sdt>
    <w:sdt>
      <w:sdtPr>
        <w:tag w:val="goog_rdk_30"/>
        <w:id w:val="-1794128154"/>
      </w:sdtPr>
      <w:sdtEndPr/>
      <w:sdtContent>
        <w:p w14:paraId="2FD52907" w14:textId="77777777" w:rsidR="008418D4" w:rsidRDefault="001E1304">
          <w:pPr>
            <w:numPr>
              <w:ilvl w:val="0"/>
              <w:numId w:val="1"/>
            </w:numPr>
            <w:rPr>
              <w:rFonts w:eastAsia="Calibri" w:cs="Calibri"/>
              <w:color w:val="000000"/>
            </w:rPr>
          </w:pPr>
          <w:r>
            <w:t>Fits with the customer’s internal governance routines.</w:t>
          </w:r>
        </w:p>
      </w:sdtContent>
    </w:sdt>
    <w:sdt>
      <w:sdtPr>
        <w:tag w:val="goog_rdk_31"/>
        <w:id w:val="-890654466"/>
      </w:sdtPr>
      <w:sdtEndPr/>
      <w:sdtContent>
        <w:p w14:paraId="1F93C3F7" w14:textId="77777777" w:rsidR="008418D4" w:rsidRDefault="001E1304">
          <w:r>
            <w:t xml:space="preserve">Example for using criteria &amp; weightings – if the device specification is of a higher importance than price, you may wish to weight the quality higher than price aspect or vice versa </w:t>
          </w:r>
        </w:p>
      </w:sdtContent>
    </w:sdt>
    <w:sdt>
      <w:sdtPr>
        <w:tag w:val="goog_rdk_32"/>
        <w:id w:val="1414049116"/>
      </w:sdtPr>
      <w:sdtEndPr/>
      <w:sdtContent>
        <w:p w14:paraId="02D1AD15" w14:textId="77777777" w:rsidR="008418D4" w:rsidRDefault="00DA3853">
          <w:pPr>
            <w:spacing w:after="0"/>
          </w:pPr>
        </w:p>
      </w:sdtContent>
    </w:sdt>
    <w:sdt>
      <w:sdtPr>
        <w:tag w:val="goog_rdk_33"/>
        <w:id w:val="403649795"/>
      </w:sdtPr>
      <w:sdtEndPr/>
      <w:sdtContent>
        <w:p w14:paraId="40E9A3A5" w14:textId="77777777" w:rsidR="008418D4" w:rsidRDefault="001E1304">
          <w:pPr>
            <w:spacing w:after="0"/>
            <w:rPr>
              <w:b/>
            </w:rPr>
          </w:pPr>
          <w:r>
            <w:rPr>
              <w:b/>
            </w:rPr>
            <w:t>How to call off using Direct Award</w:t>
          </w:r>
        </w:p>
      </w:sdtContent>
    </w:sdt>
    <w:sdt>
      <w:sdtPr>
        <w:tag w:val="goog_rdk_34"/>
        <w:id w:val="4952882"/>
      </w:sdtPr>
      <w:sdtEndPr/>
      <w:sdtContent>
        <w:p w14:paraId="5E37C071" w14:textId="77777777" w:rsidR="008418D4" w:rsidRDefault="00DA3853">
          <w:pPr>
            <w:spacing w:after="0"/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5"/>
        <w:id w:val="850914910"/>
      </w:sdtPr>
      <w:sdtEndPr/>
      <w:sdtContent>
        <w:p w14:paraId="1BDE952E" w14:textId="77777777" w:rsidR="008418D4" w:rsidRDefault="001E1304">
          <w:pPr>
            <w:spacing w:after="0"/>
            <w:rPr>
              <w:rFonts w:eastAsia="Calibri" w:cs="Calibri"/>
              <w:color w:val="000000"/>
            </w:rPr>
          </w:pPr>
          <w:r>
            <w:t>Create your specification/statement of requirements ensuring you are able to demonstrate value for money, po</w:t>
          </w:r>
          <w:r w:rsidR="00B77C2F">
            <w:t xml:space="preserve">pulate either 4b / 4c call-off </w:t>
          </w:r>
          <w:r>
            <w:t>template and engage with the supplier directly.</w:t>
          </w:r>
        </w:p>
      </w:sdtContent>
    </w:sdt>
    <w:sectPr w:rsidR="008418D4">
      <w:pgSz w:w="11906" w:h="16838"/>
      <w:pgMar w:top="850" w:right="1440" w:bottom="85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666"/>
    <w:multiLevelType w:val="multilevel"/>
    <w:tmpl w:val="99C458AE"/>
    <w:lvl w:ilvl="0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EAB741F"/>
    <w:multiLevelType w:val="multilevel"/>
    <w:tmpl w:val="32A65E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8D4"/>
    <w:rsid w:val="001E1304"/>
    <w:rsid w:val="008418D4"/>
    <w:rsid w:val="00A052DE"/>
    <w:rsid w:val="00B77C2F"/>
    <w:rsid w:val="00D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63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8B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9618B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C9618B"/>
    <w:rPr>
      <w:rFonts w:ascii="Calibri" w:eastAsia="STZhongsong" w:hAnsi="Calibri" w:cs="Times New Roman"/>
      <w:szCs w:val="18"/>
      <w:lang w:eastAsia="zh-CN"/>
    </w:rPr>
  </w:style>
  <w:style w:type="paragraph" w:customStyle="1" w:styleId="GPSSchPart">
    <w:name w:val="GPS Sch Part"/>
    <w:basedOn w:val="Normal"/>
    <w:link w:val="GPSSchPartChar"/>
    <w:qFormat/>
    <w:rsid w:val="00C9618B"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numbered">
    <w:name w:val="GPS L1 Schedule numbered"/>
    <w:basedOn w:val="Normal"/>
    <w:link w:val="GPSL1SchedulenumberedChar1"/>
    <w:qFormat/>
    <w:rsid w:val="00C9618B"/>
    <w:pPr>
      <w:numPr>
        <w:numId w:val="1"/>
      </w:numPr>
      <w:tabs>
        <w:tab w:val="left" w:pos="851"/>
      </w:tabs>
    </w:pPr>
  </w:style>
  <w:style w:type="character" w:customStyle="1" w:styleId="GPSL1SchedulenumberedChar1">
    <w:name w:val="GPS L1 Schedule numbered Char1"/>
    <w:link w:val="GPSL1Schedulenumbered"/>
    <w:locked/>
    <w:rsid w:val="00C9618B"/>
    <w:rPr>
      <w:rFonts w:ascii="Calibri" w:eastAsia="Times New Roman" w:hAnsi="Calibri" w:cs="Arial"/>
    </w:rPr>
  </w:style>
  <w:style w:type="character" w:customStyle="1" w:styleId="GPSSchPartChar">
    <w:name w:val="GPS Sch Part Char"/>
    <w:link w:val="GPSSchPart"/>
    <w:rsid w:val="00C9618B"/>
    <w:rPr>
      <w:rFonts w:ascii="Arial Bold" w:eastAsia="STZhongsong" w:hAnsi="Arial Bold" w:cs="Times New Roman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1"/>
    <w:rPr>
      <w:rFonts w:ascii="Lucida Grande" w:eastAsia="Times New Roman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8B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9618B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C9618B"/>
    <w:rPr>
      <w:rFonts w:ascii="Calibri" w:eastAsia="STZhongsong" w:hAnsi="Calibri" w:cs="Times New Roman"/>
      <w:szCs w:val="18"/>
      <w:lang w:eastAsia="zh-CN"/>
    </w:rPr>
  </w:style>
  <w:style w:type="paragraph" w:customStyle="1" w:styleId="GPSSchPart">
    <w:name w:val="GPS Sch Part"/>
    <w:basedOn w:val="Normal"/>
    <w:link w:val="GPSSchPartChar"/>
    <w:qFormat/>
    <w:rsid w:val="00C9618B"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numbered">
    <w:name w:val="GPS L1 Schedule numbered"/>
    <w:basedOn w:val="Normal"/>
    <w:link w:val="GPSL1SchedulenumberedChar1"/>
    <w:qFormat/>
    <w:rsid w:val="00C9618B"/>
    <w:pPr>
      <w:numPr>
        <w:numId w:val="1"/>
      </w:numPr>
      <w:tabs>
        <w:tab w:val="left" w:pos="851"/>
      </w:tabs>
    </w:pPr>
  </w:style>
  <w:style w:type="character" w:customStyle="1" w:styleId="GPSL1SchedulenumberedChar1">
    <w:name w:val="GPS L1 Schedule numbered Char1"/>
    <w:link w:val="GPSL1Schedulenumbered"/>
    <w:locked/>
    <w:rsid w:val="00C9618B"/>
    <w:rPr>
      <w:rFonts w:ascii="Calibri" w:eastAsia="Times New Roman" w:hAnsi="Calibri" w:cs="Arial"/>
    </w:rPr>
  </w:style>
  <w:style w:type="character" w:customStyle="1" w:styleId="GPSSchPartChar">
    <w:name w:val="GPS Sch Part Char"/>
    <w:link w:val="GPSSchPart"/>
    <w:rsid w:val="00C9618B"/>
    <w:rPr>
      <w:rFonts w:ascii="Arial Bold" w:eastAsia="STZhongsong" w:hAnsi="Arial Bold" w:cs="Times New Roman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1"/>
    <w:rPr>
      <w:rFonts w:ascii="Lucida Grande" w:eastAsia="Times New Roman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kD0fkMLEgaao2ahYrTtLPAdww==">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Randles</dc:creator>
  <cp:lastModifiedBy>OFFICE</cp:lastModifiedBy>
  <cp:revision>2</cp:revision>
  <dcterms:created xsi:type="dcterms:W3CDTF">2020-01-20T12:52:00Z</dcterms:created>
  <dcterms:modified xsi:type="dcterms:W3CDTF">2020-01-20T12:52:00Z</dcterms:modified>
</cp:coreProperties>
</file>