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C18" w:rsidRDefault="00E81A27">
      <w:pPr>
        <w:rPr>
          <w:rFonts w:ascii="Arial" w:eastAsia="Arial" w:hAnsi="Arial" w:cs="Arial"/>
          <w:b/>
          <w:sz w:val="32"/>
          <w:szCs w:val="32"/>
        </w:rPr>
      </w:pPr>
      <w:bookmarkStart w:id="0" w:name="_heading=h.gjdgxs" w:colFirst="0" w:colLast="0"/>
      <w:bookmarkStart w:id="1" w:name="_GoBack"/>
      <w:bookmarkEnd w:id="0"/>
      <w:bookmarkEnd w:id="1"/>
      <w:r>
        <w:rPr>
          <w:rFonts w:ascii="Arial" w:eastAsia="Arial" w:hAnsi="Arial" w:cs="Arial"/>
          <w:b/>
          <w:sz w:val="32"/>
          <w:szCs w:val="32"/>
        </w:rPr>
        <w:t>Guidance for completion of Part A – Order Form</w:t>
      </w:r>
    </w:p>
    <w:p w:rsidR="00927C18" w:rsidRDefault="00927C18">
      <w:pPr>
        <w:rPr>
          <w:rFonts w:ascii="Arial" w:eastAsia="Arial" w:hAnsi="Arial" w:cs="Arial"/>
        </w:rPr>
      </w:pPr>
    </w:p>
    <w:p w:rsidR="00927C18" w:rsidRDefault="00927C18">
      <w:pPr>
        <w:rPr>
          <w:rFonts w:ascii="Arial" w:eastAsia="Arial" w:hAnsi="Arial" w:cs="Arial"/>
        </w:rPr>
      </w:pPr>
    </w:p>
    <w:tbl>
      <w:tblPr>
        <w:tblStyle w:val="a0"/>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605"/>
      </w:tblGrid>
      <w:tr w:rsidR="00927C18">
        <w:tc>
          <w:tcPr>
            <w:tcW w:w="2405" w:type="dxa"/>
          </w:tcPr>
          <w:p w:rsidR="00927C18" w:rsidRDefault="00E81A27">
            <w:pPr>
              <w:rPr>
                <w:rFonts w:ascii="Arial" w:eastAsia="Arial" w:hAnsi="Arial" w:cs="Arial"/>
                <w:b/>
              </w:rPr>
            </w:pPr>
            <w:r>
              <w:rPr>
                <w:rFonts w:ascii="Arial" w:eastAsia="Arial" w:hAnsi="Arial" w:cs="Arial"/>
                <w:b/>
              </w:rPr>
              <w:t>Field Name</w:t>
            </w:r>
          </w:p>
        </w:tc>
        <w:tc>
          <w:tcPr>
            <w:tcW w:w="6605" w:type="dxa"/>
          </w:tcPr>
          <w:p w:rsidR="00927C18" w:rsidRDefault="00E81A27">
            <w:pPr>
              <w:rPr>
                <w:rFonts w:ascii="Arial" w:eastAsia="Arial" w:hAnsi="Arial" w:cs="Arial"/>
                <w:b/>
              </w:rPr>
            </w:pPr>
            <w:r>
              <w:rPr>
                <w:rFonts w:ascii="Arial" w:eastAsia="Arial" w:hAnsi="Arial" w:cs="Arial"/>
                <w:b/>
              </w:rPr>
              <w:t>Guidance</w:t>
            </w:r>
          </w:p>
        </w:tc>
      </w:tr>
      <w:tr w:rsidR="00927C18">
        <w:tc>
          <w:tcPr>
            <w:tcW w:w="2405" w:type="dxa"/>
          </w:tcPr>
          <w:p w:rsidR="00927C18" w:rsidRDefault="00E81A27">
            <w:pPr>
              <w:rPr>
                <w:rFonts w:ascii="Arial" w:eastAsia="Arial" w:hAnsi="Arial" w:cs="Arial"/>
              </w:rPr>
            </w:pPr>
            <w:r>
              <w:rPr>
                <w:rFonts w:ascii="Arial" w:eastAsia="Arial" w:hAnsi="Arial" w:cs="Arial"/>
              </w:rPr>
              <w:t>Call-Off Contract Ref</w:t>
            </w:r>
          </w:p>
        </w:tc>
        <w:tc>
          <w:tcPr>
            <w:tcW w:w="6605" w:type="dxa"/>
          </w:tcPr>
          <w:p w:rsidR="00927C18" w:rsidRDefault="00E81A27">
            <w:pPr>
              <w:rPr>
                <w:rFonts w:ascii="Arial" w:eastAsia="Arial" w:hAnsi="Arial" w:cs="Arial"/>
              </w:rPr>
            </w:pPr>
            <w:r>
              <w:rPr>
                <w:rFonts w:ascii="Arial" w:eastAsia="Arial" w:hAnsi="Arial" w:cs="Arial"/>
              </w:rPr>
              <w:t>This is the</w:t>
            </w:r>
            <w:r>
              <w:rPr>
                <w:rFonts w:ascii="Arial" w:eastAsia="Arial" w:hAnsi="Arial" w:cs="Arial"/>
                <w:color w:val="3C4043"/>
                <w:highlight w:val="white"/>
              </w:rPr>
              <w:t xml:space="preserve"> opportunity ID - the unique integer reference number at the end of any opportunities' </w:t>
            </w:r>
            <w:proofErr w:type="spellStart"/>
            <w:r>
              <w:rPr>
                <w:rFonts w:ascii="Arial" w:eastAsia="Arial" w:hAnsi="Arial" w:cs="Arial"/>
                <w:color w:val="3C4043"/>
                <w:highlight w:val="white"/>
              </w:rPr>
              <w:t>url</w:t>
            </w:r>
            <w:proofErr w:type="spellEnd"/>
            <w:r>
              <w:rPr>
                <w:rFonts w:ascii="Arial" w:eastAsia="Arial" w:hAnsi="Arial" w:cs="Arial"/>
                <w:color w:val="3C4043"/>
                <w:highlight w:val="white"/>
              </w:rPr>
              <w:t xml:space="preserve"> on the Digital Marketplace. An example is </w:t>
            </w:r>
            <w:hyperlink r:id="rId7">
              <w:r>
                <w:rPr>
                  <w:rFonts w:ascii="Arial" w:eastAsia="Arial" w:hAnsi="Arial" w:cs="Arial"/>
                  <w:color w:val="0000FF"/>
                  <w:u w:val="single"/>
                </w:rPr>
                <w:t>https://www.digitalmarketplace.service.gov.uk/digital-outcomes-and-specialists/opportunities/11331</w:t>
              </w:r>
            </w:hyperlink>
            <w:r>
              <w:rPr>
                <w:rFonts w:ascii="Arial" w:eastAsia="Arial" w:hAnsi="Arial" w:cs="Arial"/>
              </w:rPr>
              <w:t xml:space="preserve"> - so 11331 is the opportunity ID</w:t>
            </w:r>
          </w:p>
          <w:p w:rsidR="00927C18" w:rsidRDefault="00927C18">
            <w:pPr>
              <w:rPr>
                <w:rFonts w:ascii="Arial" w:eastAsia="Arial" w:hAnsi="Arial" w:cs="Arial"/>
              </w:rPr>
            </w:pPr>
          </w:p>
          <w:p w:rsidR="00927C18" w:rsidRDefault="00E81A27">
            <w:pPr>
              <w:rPr>
                <w:rFonts w:ascii="Arial" w:eastAsia="Arial" w:hAnsi="Arial" w:cs="Arial"/>
                <w:color w:val="3C4043"/>
                <w:highlight w:val="white"/>
              </w:rPr>
            </w:pPr>
            <w:r>
              <w:rPr>
                <w:rFonts w:ascii="Arial" w:eastAsia="Arial" w:hAnsi="Arial" w:cs="Arial"/>
                <w:color w:val="3C4043"/>
                <w:highlight w:val="white"/>
              </w:rPr>
              <w:t>A compl</w:t>
            </w:r>
            <w:r>
              <w:rPr>
                <w:rFonts w:ascii="Arial" w:eastAsia="Arial" w:hAnsi="Arial" w:cs="Arial"/>
                <w:color w:val="3C4043"/>
                <w:highlight w:val="white"/>
              </w:rPr>
              <w:t>ete list can also be accessed via the Opportunity data .csv file that can be downloaded here:</w:t>
            </w:r>
          </w:p>
          <w:p w:rsidR="00927C18" w:rsidRDefault="00E81A27">
            <w:pPr>
              <w:rPr>
                <w:rFonts w:ascii="Arial" w:eastAsia="Arial" w:hAnsi="Arial" w:cs="Arial"/>
              </w:rPr>
            </w:pPr>
            <w:hyperlink r:id="rId8">
              <w:r>
                <w:rPr>
                  <w:rFonts w:ascii="Arial" w:eastAsia="Arial" w:hAnsi="Arial" w:cs="Arial"/>
                  <w:color w:val="0000FF"/>
                  <w:highlight w:val="white"/>
                  <w:u w:val="single"/>
                </w:rPr>
                <w:t>https://www.digitalmarketplace.service.gov.uk/digi</w:t>
              </w:r>
              <w:r>
                <w:rPr>
                  <w:rFonts w:ascii="Arial" w:eastAsia="Arial" w:hAnsi="Arial" w:cs="Arial"/>
                  <w:color w:val="0000FF"/>
                  <w:highlight w:val="white"/>
                  <w:u w:val="single"/>
                </w:rPr>
                <w:t>tal-outcomes-and-specialists/opportunities</w:t>
              </w:r>
            </w:hyperlink>
          </w:p>
        </w:tc>
      </w:tr>
      <w:tr w:rsidR="00927C18">
        <w:tc>
          <w:tcPr>
            <w:tcW w:w="2405" w:type="dxa"/>
          </w:tcPr>
          <w:p w:rsidR="00927C18" w:rsidRDefault="00E81A27">
            <w:pPr>
              <w:rPr>
                <w:rFonts w:ascii="Arial" w:eastAsia="Arial" w:hAnsi="Arial" w:cs="Arial"/>
              </w:rPr>
            </w:pPr>
            <w:r>
              <w:rPr>
                <w:rFonts w:ascii="Arial" w:eastAsia="Arial" w:hAnsi="Arial" w:cs="Arial"/>
              </w:rPr>
              <w:t>Call-Off Contract title</w:t>
            </w:r>
          </w:p>
        </w:tc>
        <w:tc>
          <w:tcPr>
            <w:tcW w:w="6605" w:type="dxa"/>
          </w:tcPr>
          <w:p w:rsidR="00927C18" w:rsidRDefault="00E81A27">
            <w:pPr>
              <w:rPr>
                <w:rFonts w:ascii="Arial" w:eastAsia="Arial" w:hAnsi="Arial" w:cs="Arial"/>
              </w:rPr>
            </w:pPr>
            <w:r>
              <w:rPr>
                <w:rFonts w:ascii="Arial" w:eastAsia="Arial" w:hAnsi="Arial" w:cs="Arial"/>
              </w:rPr>
              <w:t>This is the title of the procurement as published on the Digital Marketplace</w:t>
            </w:r>
          </w:p>
        </w:tc>
      </w:tr>
      <w:tr w:rsidR="00927C18">
        <w:tc>
          <w:tcPr>
            <w:tcW w:w="2405" w:type="dxa"/>
          </w:tcPr>
          <w:p w:rsidR="00927C18" w:rsidRDefault="00E81A27">
            <w:pPr>
              <w:rPr>
                <w:rFonts w:ascii="Arial" w:eastAsia="Arial" w:hAnsi="Arial" w:cs="Arial"/>
              </w:rPr>
            </w:pPr>
            <w:r>
              <w:rPr>
                <w:rFonts w:ascii="Arial" w:eastAsia="Arial" w:hAnsi="Arial" w:cs="Arial"/>
              </w:rPr>
              <w:t>Call-Off Contract description</w:t>
            </w:r>
          </w:p>
        </w:tc>
        <w:tc>
          <w:tcPr>
            <w:tcW w:w="6605" w:type="dxa"/>
          </w:tcPr>
          <w:p w:rsidR="00927C18" w:rsidRDefault="00E81A27">
            <w:pPr>
              <w:rPr>
                <w:rFonts w:ascii="Arial" w:eastAsia="Arial" w:hAnsi="Arial" w:cs="Arial"/>
              </w:rPr>
            </w:pPr>
            <w:r>
              <w:rPr>
                <w:rFonts w:ascii="Arial" w:eastAsia="Arial" w:hAnsi="Arial" w:cs="Arial"/>
              </w:rPr>
              <w:t>This is the ‘Summary of the work’ as published on the Digital Marketplace</w:t>
            </w:r>
          </w:p>
        </w:tc>
      </w:tr>
      <w:tr w:rsidR="00927C18">
        <w:tc>
          <w:tcPr>
            <w:tcW w:w="2405" w:type="dxa"/>
          </w:tcPr>
          <w:p w:rsidR="00927C18" w:rsidRDefault="00E81A27">
            <w:pPr>
              <w:rPr>
                <w:rFonts w:ascii="Arial" w:eastAsia="Arial" w:hAnsi="Arial" w:cs="Arial"/>
              </w:rPr>
            </w:pPr>
            <w:r>
              <w:rPr>
                <w:rFonts w:ascii="Arial" w:eastAsia="Arial" w:hAnsi="Arial" w:cs="Arial"/>
              </w:rPr>
              <w:t>Start</w:t>
            </w:r>
            <w:r>
              <w:rPr>
                <w:rFonts w:ascii="Arial" w:eastAsia="Arial" w:hAnsi="Arial" w:cs="Arial"/>
              </w:rPr>
              <w:t xml:space="preserve"> date</w:t>
            </w:r>
          </w:p>
        </w:tc>
        <w:tc>
          <w:tcPr>
            <w:tcW w:w="6605" w:type="dxa"/>
          </w:tcPr>
          <w:p w:rsidR="00927C18" w:rsidRDefault="00E81A27">
            <w:pPr>
              <w:rPr>
                <w:rFonts w:ascii="Arial" w:eastAsia="Arial" w:hAnsi="Arial" w:cs="Arial"/>
              </w:rPr>
            </w:pPr>
            <w:r>
              <w:rPr>
                <w:rFonts w:ascii="Arial" w:eastAsia="Arial" w:hAnsi="Arial" w:cs="Arial"/>
              </w:rPr>
              <w:t>Refer to Part A – Order Form, Formation of Contract, clause 2.(C) and Part B – Terms and conditions, clause 1</w:t>
            </w:r>
          </w:p>
          <w:p w:rsidR="00927C18" w:rsidRDefault="00927C18">
            <w:pPr>
              <w:rPr>
                <w:rFonts w:ascii="Arial" w:eastAsia="Arial" w:hAnsi="Arial" w:cs="Arial"/>
              </w:rPr>
            </w:pPr>
          </w:p>
          <w:p w:rsidR="00927C18" w:rsidRDefault="00E81A27">
            <w:pPr>
              <w:rPr>
                <w:rFonts w:ascii="Arial" w:eastAsia="Arial" w:hAnsi="Arial" w:cs="Arial"/>
              </w:rPr>
            </w:pPr>
            <w:r>
              <w:rPr>
                <w:rFonts w:ascii="Arial" w:eastAsia="Arial" w:hAnsi="Arial" w:cs="Arial"/>
              </w:rPr>
              <w:t>The contract start date and the initial SOW start date should be the same</w:t>
            </w:r>
          </w:p>
        </w:tc>
      </w:tr>
      <w:tr w:rsidR="00927C18">
        <w:tc>
          <w:tcPr>
            <w:tcW w:w="2405" w:type="dxa"/>
          </w:tcPr>
          <w:p w:rsidR="00927C18" w:rsidRDefault="00E81A27">
            <w:pPr>
              <w:rPr>
                <w:rFonts w:ascii="Arial" w:eastAsia="Arial" w:hAnsi="Arial" w:cs="Arial"/>
              </w:rPr>
            </w:pPr>
            <w:r>
              <w:rPr>
                <w:rFonts w:ascii="Arial" w:eastAsia="Arial" w:hAnsi="Arial" w:cs="Arial"/>
              </w:rPr>
              <w:t>(Optional) Maximum Call-Off Contract Extension Period</w:t>
            </w:r>
          </w:p>
        </w:tc>
        <w:tc>
          <w:tcPr>
            <w:tcW w:w="6605" w:type="dxa"/>
          </w:tcPr>
          <w:p w:rsidR="00927C18" w:rsidRDefault="00E81A27">
            <w:pPr>
              <w:rPr>
                <w:rFonts w:ascii="Arial" w:eastAsia="Arial" w:hAnsi="Arial" w:cs="Arial"/>
                <w:highlight w:val="white"/>
              </w:rPr>
            </w:pPr>
            <w:r>
              <w:rPr>
                <w:rFonts w:ascii="Arial" w:eastAsia="Arial" w:hAnsi="Arial" w:cs="Arial"/>
              </w:rPr>
              <w:t>Note: if this is left blank then the call-off contract cannot be extended under the terms of the framework. Your only option would be to complete a Contract Change Notice (CCN) under Schedule 4 and comply with the Public Contract Regulations 2015, clause 7</w:t>
            </w:r>
            <w:r>
              <w:rPr>
                <w:rFonts w:ascii="Arial" w:eastAsia="Arial" w:hAnsi="Arial" w:cs="Arial"/>
              </w:rPr>
              <w:t xml:space="preserve">2.(1)(b) Modification of contracts during their term ‘… </w:t>
            </w:r>
            <w:r>
              <w:rPr>
                <w:rFonts w:ascii="Arial" w:eastAsia="Arial" w:hAnsi="Arial" w:cs="Arial"/>
                <w:highlight w:val="white"/>
              </w:rPr>
              <w:t>provided that any increase in price does not exceed 50% of the value of the original contract’</w:t>
            </w:r>
          </w:p>
          <w:p w:rsidR="00927C18" w:rsidRDefault="00927C18">
            <w:pPr>
              <w:rPr>
                <w:rFonts w:ascii="Arial" w:eastAsia="Arial" w:hAnsi="Arial" w:cs="Arial"/>
              </w:rPr>
            </w:pPr>
          </w:p>
          <w:p w:rsidR="00927C18" w:rsidRDefault="00E81A27">
            <w:pPr>
              <w:rPr>
                <w:rFonts w:ascii="Arial" w:eastAsia="Arial" w:hAnsi="Arial" w:cs="Arial"/>
              </w:rPr>
            </w:pPr>
            <w:r>
              <w:rPr>
                <w:rFonts w:ascii="Arial" w:eastAsia="Arial" w:hAnsi="Arial" w:cs="Arial"/>
              </w:rPr>
              <w:t xml:space="preserve">It is, therefore, advisable to enter the maximum extension period (25% of the original contract period, </w:t>
            </w:r>
            <w:r>
              <w:rPr>
                <w:rFonts w:ascii="Arial" w:eastAsia="Arial" w:hAnsi="Arial" w:cs="Arial"/>
              </w:rPr>
              <w:t>expressed in days) as a contingency should you need to use it</w:t>
            </w:r>
          </w:p>
        </w:tc>
      </w:tr>
      <w:tr w:rsidR="00927C18">
        <w:tc>
          <w:tcPr>
            <w:tcW w:w="2405" w:type="dxa"/>
          </w:tcPr>
          <w:p w:rsidR="00927C18" w:rsidRDefault="00E81A27">
            <w:pPr>
              <w:rPr>
                <w:rFonts w:ascii="Arial" w:eastAsia="Arial" w:hAnsi="Arial" w:cs="Arial"/>
              </w:rPr>
            </w:pPr>
            <w:r>
              <w:rPr>
                <w:rFonts w:ascii="Arial" w:eastAsia="Arial" w:hAnsi="Arial" w:cs="Arial"/>
              </w:rPr>
              <w:t>Charging method</w:t>
            </w:r>
          </w:p>
        </w:tc>
        <w:tc>
          <w:tcPr>
            <w:tcW w:w="6605" w:type="dxa"/>
          </w:tcPr>
          <w:p w:rsidR="00927C18" w:rsidRDefault="00E81A27">
            <w:pPr>
              <w:rPr>
                <w:rFonts w:ascii="Arial" w:eastAsia="Arial" w:hAnsi="Arial" w:cs="Arial"/>
              </w:rPr>
            </w:pPr>
            <w:r>
              <w:rPr>
                <w:rFonts w:ascii="Arial" w:eastAsia="Arial" w:hAnsi="Arial" w:cs="Arial"/>
              </w:rPr>
              <w:t>Note: the charging method quoted should be reflected in the individual SOWs produced</w:t>
            </w:r>
          </w:p>
        </w:tc>
      </w:tr>
      <w:tr w:rsidR="00927C18">
        <w:tc>
          <w:tcPr>
            <w:tcW w:w="2405" w:type="dxa"/>
          </w:tcPr>
          <w:p w:rsidR="00927C18" w:rsidRDefault="00E81A27">
            <w:pPr>
              <w:rPr>
                <w:rFonts w:ascii="Arial" w:eastAsia="Arial" w:hAnsi="Arial" w:cs="Arial"/>
              </w:rPr>
            </w:pPr>
            <w:r>
              <w:rPr>
                <w:rFonts w:ascii="Arial" w:eastAsia="Arial" w:hAnsi="Arial" w:cs="Arial"/>
              </w:rPr>
              <w:t>Notice period for termination for convenience</w:t>
            </w:r>
          </w:p>
        </w:tc>
        <w:tc>
          <w:tcPr>
            <w:tcW w:w="6605" w:type="dxa"/>
          </w:tcPr>
          <w:p w:rsidR="00927C18" w:rsidRDefault="00E81A27">
            <w:pPr>
              <w:rPr>
                <w:rFonts w:ascii="Arial" w:eastAsia="Arial" w:hAnsi="Arial" w:cs="Arial"/>
              </w:rPr>
            </w:pPr>
            <w:r>
              <w:rPr>
                <w:rFonts w:ascii="Arial" w:eastAsia="Arial" w:hAnsi="Arial" w:cs="Arial"/>
              </w:rPr>
              <w:t>Refer to clauses 23.1 and 23.2</w:t>
            </w:r>
          </w:p>
          <w:p w:rsidR="00927C18" w:rsidRDefault="00927C18">
            <w:pPr>
              <w:rPr>
                <w:rFonts w:ascii="Arial" w:eastAsia="Arial" w:hAnsi="Arial" w:cs="Arial"/>
              </w:rPr>
            </w:pPr>
          </w:p>
          <w:p w:rsidR="00927C18" w:rsidRDefault="00E81A27">
            <w:pPr>
              <w:rPr>
                <w:rFonts w:ascii="Arial" w:eastAsia="Arial" w:hAnsi="Arial" w:cs="Arial"/>
              </w:rPr>
            </w:pPr>
            <w:r>
              <w:rPr>
                <w:rFonts w:ascii="Arial" w:eastAsia="Arial" w:hAnsi="Arial" w:cs="Arial"/>
              </w:rPr>
              <w:t>You may speci</w:t>
            </w:r>
            <w:r>
              <w:rPr>
                <w:rFonts w:ascii="Arial" w:eastAsia="Arial" w:hAnsi="Arial" w:cs="Arial"/>
              </w:rPr>
              <w:t>fy here a minimum notice period for termination that must be given to the supplier where no cause is given</w:t>
            </w:r>
          </w:p>
        </w:tc>
      </w:tr>
      <w:tr w:rsidR="00927C18">
        <w:tc>
          <w:tcPr>
            <w:tcW w:w="2405" w:type="dxa"/>
          </w:tcPr>
          <w:p w:rsidR="00927C18" w:rsidRDefault="00E81A27">
            <w:pPr>
              <w:rPr>
                <w:rFonts w:ascii="Arial" w:eastAsia="Arial" w:hAnsi="Arial" w:cs="Arial"/>
              </w:rPr>
            </w:pPr>
            <w:r>
              <w:rPr>
                <w:rFonts w:ascii="Arial" w:eastAsia="Arial" w:hAnsi="Arial" w:cs="Arial"/>
              </w:rPr>
              <w:t>Initial SOW package</w:t>
            </w:r>
          </w:p>
        </w:tc>
        <w:tc>
          <w:tcPr>
            <w:tcW w:w="6605" w:type="dxa"/>
          </w:tcPr>
          <w:p w:rsidR="00927C18" w:rsidRDefault="00E81A27">
            <w:pPr>
              <w:pStyle w:val="Heading1"/>
              <w:rPr>
                <w:b w:val="0"/>
                <w:sz w:val="24"/>
                <w:szCs w:val="24"/>
              </w:rPr>
            </w:pPr>
            <w:r>
              <w:rPr>
                <w:rFonts w:ascii="Arial" w:eastAsia="Arial" w:hAnsi="Arial" w:cs="Arial"/>
                <w:b w:val="0"/>
                <w:sz w:val="24"/>
                <w:szCs w:val="24"/>
              </w:rPr>
              <w:t xml:space="preserve">You should enter here the ‘SOW Reference’ detailed under </w:t>
            </w:r>
            <w:proofErr w:type="spellStart"/>
            <w:r>
              <w:rPr>
                <w:rFonts w:ascii="Arial" w:eastAsia="Arial" w:hAnsi="Arial" w:cs="Arial"/>
                <w:b w:val="0"/>
                <w:sz w:val="24"/>
                <w:szCs w:val="24"/>
              </w:rPr>
              <w:t>Sch</w:t>
            </w:r>
            <w:proofErr w:type="spellEnd"/>
            <w:r>
              <w:rPr>
                <w:rFonts w:ascii="Arial" w:eastAsia="Arial" w:hAnsi="Arial" w:cs="Arial"/>
                <w:b w:val="0"/>
                <w:sz w:val="24"/>
                <w:szCs w:val="24"/>
              </w:rPr>
              <w:t xml:space="preserve"> 3.1 SOW Details of the Schedule 3 </w:t>
            </w:r>
            <w:r>
              <w:rPr>
                <w:rFonts w:ascii="Arial" w:eastAsia="Arial" w:hAnsi="Arial" w:cs="Arial"/>
                <w:b w:val="0"/>
                <w:color w:val="000000"/>
                <w:sz w:val="24"/>
                <w:szCs w:val="24"/>
              </w:rPr>
              <w:t xml:space="preserve">- </w:t>
            </w:r>
            <w:r>
              <w:rPr>
                <w:rFonts w:ascii="Arial" w:eastAsia="Arial" w:hAnsi="Arial" w:cs="Arial"/>
                <w:b w:val="0"/>
                <w:color w:val="000000"/>
                <w:sz w:val="24"/>
                <w:szCs w:val="24"/>
                <w:highlight w:val="white"/>
              </w:rPr>
              <w:t>Statement</w:t>
            </w:r>
            <w:r>
              <w:rPr>
                <w:rFonts w:ascii="Arial" w:eastAsia="Arial" w:hAnsi="Arial" w:cs="Arial"/>
                <w:b w:val="0"/>
                <w:color w:val="000000"/>
                <w:sz w:val="24"/>
                <w:szCs w:val="24"/>
              </w:rPr>
              <w:t xml:space="preserve"> of Work (</w:t>
            </w:r>
            <w:r>
              <w:rPr>
                <w:rFonts w:ascii="Arial" w:eastAsia="Arial" w:hAnsi="Arial" w:cs="Arial"/>
                <w:b w:val="0"/>
                <w:color w:val="000000"/>
                <w:sz w:val="24"/>
                <w:szCs w:val="24"/>
                <w:highlight w:val="white"/>
              </w:rPr>
              <w:t>SOW</w:t>
            </w:r>
            <w:r>
              <w:rPr>
                <w:rFonts w:ascii="Arial" w:eastAsia="Arial" w:hAnsi="Arial" w:cs="Arial"/>
                <w:b w:val="0"/>
                <w:color w:val="000000"/>
                <w:sz w:val="24"/>
                <w:szCs w:val="24"/>
              </w:rPr>
              <w:t>), includ</w:t>
            </w:r>
            <w:r>
              <w:rPr>
                <w:rFonts w:ascii="Arial" w:eastAsia="Arial" w:hAnsi="Arial" w:cs="Arial"/>
                <w:b w:val="0"/>
                <w:color w:val="000000"/>
                <w:sz w:val="24"/>
                <w:szCs w:val="24"/>
              </w:rPr>
              <w:t xml:space="preserve">ing pricing arrangements and Key Staff. As detailed under </w:t>
            </w:r>
            <w:r>
              <w:rPr>
                <w:rFonts w:ascii="Arial" w:eastAsia="Arial" w:hAnsi="Arial" w:cs="Arial"/>
                <w:b w:val="0"/>
                <w:sz w:val="24"/>
                <w:szCs w:val="24"/>
              </w:rPr>
              <w:t>Part A – Order Form, Formation of Contract, clause 2.(C) – the call-off contract will only have contractual effect on the execution of a SOW</w:t>
            </w:r>
          </w:p>
        </w:tc>
      </w:tr>
      <w:tr w:rsidR="00927C18">
        <w:tc>
          <w:tcPr>
            <w:tcW w:w="2405" w:type="dxa"/>
          </w:tcPr>
          <w:p w:rsidR="00927C18" w:rsidRDefault="00E81A27">
            <w:pPr>
              <w:rPr>
                <w:rFonts w:ascii="Arial" w:eastAsia="Arial" w:hAnsi="Arial" w:cs="Arial"/>
              </w:rPr>
            </w:pPr>
            <w:r>
              <w:rPr>
                <w:rFonts w:ascii="Arial" w:eastAsia="Arial" w:hAnsi="Arial" w:cs="Arial"/>
              </w:rPr>
              <w:lastRenderedPageBreak/>
              <w:t>Project reference</w:t>
            </w:r>
          </w:p>
        </w:tc>
        <w:tc>
          <w:tcPr>
            <w:tcW w:w="6605" w:type="dxa"/>
          </w:tcPr>
          <w:p w:rsidR="00927C18" w:rsidRDefault="00E81A27">
            <w:pPr>
              <w:pStyle w:val="Heading1"/>
              <w:rPr>
                <w:rFonts w:ascii="Arial" w:eastAsia="Arial" w:hAnsi="Arial" w:cs="Arial"/>
                <w:b w:val="0"/>
                <w:sz w:val="24"/>
                <w:szCs w:val="24"/>
              </w:rPr>
            </w:pPr>
            <w:r>
              <w:rPr>
                <w:rFonts w:ascii="Arial" w:eastAsia="Arial" w:hAnsi="Arial" w:cs="Arial"/>
                <w:b w:val="0"/>
                <w:sz w:val="24"/>
                <w:szCs w:val="24"/>
              </w:rPr>
              <w:t>This is your own internal id for the p</w:t>
            </w:r>
            <w:r>
              <w:rPr>
                <w:rFonts w:ascii="Arial" w:eastAsia="Arial" w:hAnsi="Arial" w:cs="Arial"/>
                <w:b w:val="0"/>
                <w:sz w:val="24"/>
                <w:szCs w:val="24"/>
              </w:rPr>
              <w:t>roject</w:t>
            </w:r>
          </w:p>
        </w:tc>
      </w:tr>
      <w:tr w:rsidR="00927C18">
        <w:tc>
          <w:tcPr>
            <w:tcW w:w="2405" w:type="dxa"/>
          </w:tcPr>
          <w:p w:rsidR="00927C18" w:rsidRDefault="00E81A27">
            <w:pPr>
              <w:rPr>
                <w:rFonts w:ascii="Arial" w:eastAsia="Arial" w:hAnsi="Arial" w:cs="Arial"/>
              </w:rPr>
            </w:pPr>
            <w:r>
              <w:rPr>
                <w:rFonts w:ascii="Arial" w:eastAsia="Arial" w:hAnsi="Arial" w:cs="Arial"/>
              </w:rPr>
              <w:t>Buyer reference</w:t>
            </w:r>
          </w:p>
        </w:tc>
        <w:tc>
          <w:tcPr>
            <w:tcW w:w="6605" w:type="dxa"/>
          </w:tcPr>
          <w:p w:rsidR="00927C18" w:rsidRDefault="00E81A27">
            <w:pPr>
              <w:pStyle w:val="Heading1"/>
              <w:rPr>
                <w:rFonts w:ascii="Arial" w:eastAsia="Arial" w:hAnsi="Arial" w:cs="Arial"/>
                <w:b w:val="0"/>
                <w:sz w:val="24"/>
                <w:szCs w:val="24"/>
              </w:rPr>
            </w:pPr>
            <w:r>
              <w:rPr>
                <w:rFonts w:ascii="Arial" w:eastAsia="Arial" w:hAnsi="Arial" w:cs="Arial"/>
                <w:b w:val="0"/>
                <w:sz w:val="24"/>
                <w:szCs w:val="24"/>
              </w:rPr>
              <w:t>This is your own internal id for the procurement</w:t>
            </w:r>
          </w:p>
        </w:tc>
      </w:tr>
      <w:tr w:rsidR="00927C18">
        <w:tc>
          <w:tcPr>
            <w:tcW w:w="2405" w:type="dxa"/>
          </w:tcPr>
          <w:p w:rsidR="00927C18" w:rsidRDefault="00E81A27">
            <w:pPr>
              <w:rPr>
                <w:rFonts w:ascii="Arial" w:eastAsia="Arial" w:hAnsi="Arial" w:cs="Arial"/>
              </w:rPr>
            </w:pPr>
            <w:r>
              <w:rPr>
                <w:rFonts w:ascii="Arial" w:eastAsia="Arial" w:hAnsi="Arial" w:cs="Arial"/>
              </w:rPr>
              <w:t>Digital outcomes and specialists services required</w:t>
            </w:r>
          </w:p>
        </w:tc>
        <w:tc>
          <w:tcPr>
            <w:tcW w:w="6605" w:type="dxa"/>
          </w:tcPr>
          <w:p w:rsidR="00927C18" w:rsidRDefault="00E81A27">
            <w:pPr>
              <w:pStyle w:val="Heading1"/>
              <w:spacing w:after="280"/>
              <w:rPr>
                <w:rFonts w:ascii="Arial" w:eastAsia="Arial" w:hAnsi="Arial" w:cs="Arial"/>
                <w:b w:val="0"/>
                <w:sz w:val="24"/>
                <w:szCs w:val="24"/>
              </w:rPr>
            </w:pPr>
            <w:r>
              <w:rPr>
                <w:rFonts w:ascii="Arial" w:eastAsia="Arial" w:hAnsi="Arial" w:cs="Arial"/>
                <w:b w:val="0"/>
                <w:sz w:val="24"/>
                <w:szCs w:val="24"/>
              </w:rPr>
              <w:t xml:space="preserve">This is the ‘Problem to be solved’ as published on the Digital </w:t>
            </w:r>
            <w:proofErr w:type="spellStart"/>
            <w:r>
              <w:rPr>
                <w:rFonts w:ascii="Arial" w:eastAsia="Arial" w:hAnsi="Arial" w:cs="Arial"/>
                <w:b w:val="0"/>
                <w:sz w:val="24"/>
                <w:szCs w:val="24"/>
              </w:rPr>
              <w:t>Markeplace</w:t>
            </w:r>
            <w:proofErr w:type="spellEnd"/>
            <w:r>
              <w:rPr>
                <w:rFonts w:ascii="Arial" w:eastAsia="Arial" w:hAnsi="Arial" w:cs="Arial"/>
                <w:b w:val="0"/>
                <w:sz w:val="24"/>
                <w:szCs w:val="24"/>
              </w:rPr>
              <w:t xml:space="preserve"> for an outcomes requirement.</w:t>
            </w:r>
          </w:p>
          <w:p w:rsidR="00927C18" w:rsidRDefault="00E81A27">
            <w:pPr>
              <w:pStyle w:val="Heading1"/>
              <w:spacing w:before="280" w:after="280"/>
              <w:rPr>
                <w:rFonts w:ascii="Arial" w:eastAsia="Arial" w:hAnsi="Arial" w:cs="Arial"/>
                <w:b w:val="0"/>
                <w:sz w:val="24"/>
                <w:szCs w:val="24"/>
              </w:rPr>
            </w:pPr>
            <w:r>
              <w:rPr>
                <w:rFonts w:ascii="Arial" w:eastAsia="Arial" w:hAnsi="Arial" w:cs="Arial"/>
                <w:b w:val="0"/>
                <w:sz w:val="24"/>
                <w:szCs w:val="24"/>
              </w:rPr>
              <w:t>For an individual specialist requirement this is the ‘What the specialist will work on’</w:t>
            </w:r>
          </w:p>
          <w:p w:rsidR="00927C18" w:rsidRDefault="00E81A27">
            <w:pPr>
              <w:pStyle w:val="Heading1"/>
              <w:spacing w:before="280"/>
              <w:rPr>
                <w:rFonts w:ascii="Arial" w:eastAsia="Arial" w:hAnsi="Arial" w:cs="Arial"/>
                <w:b w:val="0"/>
                <w:sz w:val="24"/>
                <w:szCs w:val="24"/>
              </w:rPr>
            </w:pPr>
            <w:r>
              <w:rPr>
                <w:rFonts w:ascii="Arial" w:eastAsia="Arial" w:hAnsi="Arial" w:cs="Arial"/>
                <w:b w:val="0"/>
                <w:sz w:val="24"/>
                <w:szCs w:val="24"/>
              </w:rPr>
              <w:t>For a user research participants requirement this is the ‘Description of your participants’</w:t>
            </w:r>
          </w:p>
        </w:tc>
      </w:tr>
      <w:tr w:rsidR="00927C18">
        <w:tc>
          <w:tcPr>
            <w:tcW w:w="2405" w:type="dxa"/>
          </w:tcPr>
          <w:p w:rsidR="00927C18" w:rsidRDefault="00E81A27">
            <w:pPr>
              <w:rPr>
                <w:rFonts w:ascii="Arial" w:eastAsia="Arial" w:hAnsi="Arial" w:cs="Arial"/>
              </w:rPr>
            </w:pPr>
            <w:r>
              <w:rPr>
                <w:rFonts w:ascii="Arial" w:eastAsia="Arial" w:hAnsi="Arial" w:cs="Arial"/>
              </w:rPr>
              <w:t>Warranty period</w:t>
            </w:r>
          </w:p>
        </w:tc>
        <w:tc>
          <w:tcPr>
            <w:tcW w:w="6605" w:type="dxa"/>
          </w:tcPr>
          <w:p w:rsidR="00927C18" w:rsidRDefault="00E81A27">
            <w:pPr>
              <w:pStyle w:val="Heading1"/>
              <w:rPr>
                <w:rFonts w:ascii="Arial" w:eastAsia="Arial" w:hAnsi="Arial" w:cs="Arial"/>
                <w:b w:val="0"/>
                <w:sz w:val="24"/>
                <w:szCs w:val="24"/>
              </w:rPr>
            </w:pPr>
            <w:r>
              <w:rPr>
                <w:rFonts w:ascii="Arial" w:eastAsia="Arial" w:hAnsi="Arial" w:cs="Arial"/>
                <w:b w:val="0"/>
                <w:sz w:val="24"/>
                <w:szCs w:val="24"/>
              </w:rPr>
              <w:t>There is no default warranty period specified in the call-o</w:t>
            </w:r>
            <w:r>
              <w:rPr>
                <w:rFonts w:ascii="Arial" w:eastAsia="Arial" w:hAnsi="Arial" w:cs="Arial"/>
                <w:b w:val="0"/>
                <w:sz w:val="24"/>
                <w:szCs w:val="24"/>
              </w:rPr>
              <w:t>ff contract, so buyers will need to enter an appropriate value (number of days) here</w:t>
            </w:r>
          </w:p>
        </w:tc>
      </w:tr>
      <w:tr w:rsidR="00927C18">
        <w:tc>
          <w:tcPr>
            <w:tcW w:w="2405" w:type="dxa"/>
          </w:tcPr>
          <w:p w:rsidR="00927C18" w:rsidRDefault="00E81A27">
            <w:pPr>
              <w:rPr>
                <w:rFonts w:ascii="Arial" w:eastAsia="Arial" w:hAnsi="Arial" w:cs="Arial"/>
              </w:rPr>
            </w:pPr>
            <w:r>
              <w:rPr>
                <w:rFonts w:ascii="Arial" w:eastAsia="Arial" w:hAnsi="Arial" w:cs="Arial"/>
              </w:rPr>
              <w:t>Staff vetting procedures</w:t>
            </w:r>
          </w:p>
        </w:tc>
        <w:tc>
          <w:tcPr>
            <w:tcW w:w="6605" w:type="dxa"/>
          </w:tcPr>
          <w:p w:rsidR="00927C18" w:rsidRDefault="00E81A27">
            <w:pPr>
              <w:pStyle w:val="Heading1"/>
              <w:rPr>
                <w:rFonts w:ascii="Arial" w:eastAsia="Arial" w:hAnsi="Arial" w:cs="Arial"/>
                <w:b w:val="0"/>
                <w:sz w:val="24"/>
                <w:szCs w:val="24"/>
              </w:rPr>
            </w:pPr>
            <w:r>
              <w:rPr>
                <w:rFonts w:ascii="Arial" w:eastAsia="Arial" w:hAnsi="Arial" w:cs="Arial"/>
                <w:b w:val="0"/>
                <w:sz w:val="24"/>
                <w:szCs w:val="24"/>
              </w:rPr>
              <w:t>This should match those details published on the Digital Marketplace under the section ‘Security clearance’</w:t>
            </w:r>
          </w:p>
        </w:tc>
      </w:tr>
      <w:tr w:rsidR="00927C18">
        <w:tc>
          <w:tcPr>
            <w:tcW w:w="2405" w:type="dxa"/>
          </w:tcPr>
          <w:p w:rsidR="00927C18" w:rsidRDefault="00E81A27">
            <w:pPr>
              <w:rPr>
                <w:rFonts w:ascii="Arial" w:eastAsia="Arial" w:hAnsi="Arial" w:cs="Arial"/>
              </w:rPr>
            </w:pPr>
            <w:r>
              <w:rPr>
                <w:rFonts w:ascii="Arial" w:eastAsia="Arial" w:hAnsi="Arial" w:cs="Arial"/>
              </w:rPr>
              <w:t>Standards</w:t>
            </w:r>
          </w:p>
        </w:tc>
        <w:tc>
          <w:tcPr>
            <w:tcW w:w="6605" w:type="dxa"/>
          </w:tcPr>
          <w:p w:rsidR="00927C18" w:rsidRDefault="00E81A27">
            <w:pPr>
              <w:pStyle w:val="Heading1"/>
              <w:rPr>
                <w:rFonts w:ascii="Arial" w:eastAsia="Arial" w:hAnsi="Arial" w:cs="Arial"/>
                <w:b w:val="0"/>
                <w:sz w:val="24"/>
                <w:szCs w:val="24"/>
              </w:rPr>
            </w:pPr>
            <w:r>
              <w:rPr>
                <w:rFonts w:ascii="Arial" w:eastAsia="Arial" w:hAnsi="Arial" w:cs="Arial"/>
                <w:b w:val="0"/>
                <w:sz w:val="24"/>
                <w:szCs w:val="24"/>
              </w:rPr>
              <w:t>You can enter here any external certifications such as ISO standards, or similar, that are required for the project. These should have been specified in the published opportunity on the Digital Marketplace under the section ‘Additional terms and conditions</w:t>
            </w:r>
            <w:r>
              <w:rPr>
                <w:rFonts w:ascii="Arial" w:eastAsia="Arial" w:hAnsi="Arial" w:cs="Arial"/>
                <w:b w:val="0"/>
                <w:sz w:val="24"/>
                <w:szCs w:val="24"/>
              </w:rPr>
              <w:t>’</w:t>
            </w:r>
          </w:p>
        </w:tc>
      </w:tr>
      <w:tr w:rsidR="00927C18">
        <w:tc>
          <w:tcPr>
            <w:tcW w:w="2405" w:type="dxa"/>
          </w:tcPr>
          <w:p w:rsidR="00927C18" w:rsidRDefault="00E81A27">
            <w:pPr>
              <w:rPr>
                <w:rFonts w:ascii="Arial" w:eastAsia="Arial" w:hAnsi="Arial" w:cs="Arial"/>
              </w:rPr>
            </w:pPr>
            <w:r>
              <w:rPr>
                <w:rFonts w:ascii="Arial" w:eastAsia="Arial" w:hAnsi="Arial" w:cs="Arial"/>
              </w:rPr>
              <w:t>Limit on supplier’s liability</w:t>
            </w:r>
          </w:p>
        </w:tc>
        <w:tc>
          <w:tcPr>
            <w:tcW w:w="6605" w:type="dxa"/>
          </w:tcPr>
          <w:p w:rsidR="00927C18" w:rsidRDefault="00E81A27">
            <w:pPr>
              <w:pStyle w:val="Heading1"/>
              <w:spacing w:after="280"/>
              <w:rPr>
                <w:rFonts w:ascii="Arial" w:eastAsia="Arial" w:hAnsi="Arial" w:cs="Arial"/>
                <w:b w:val="0"/>
                <w:sz w:val="24"/>
                <w:szCs w:val="24"/>
              </w:rPr>
            </w:pPr>
            <w:r>
              <w:rPr>
                <w:rFonts w:ascii="Arial" w:eastAsia="Arial" w:hAnsi="Arial" w:cs="Arial"/>
                <w:b w:val="0"/>
                <w:sz w:val="24"/>
                <w:szCs w:val="24"/>
              </w:rPr>
              <w:t>Refer to clause 34 Liabilities – particularly 34.2 and 34.3</w:t>
            </w:r>
          </w:p>
          <w:p w:rsidR="00927C18" w:rsidRDefault="00927C18">
            <w:pPr>
              <w:pStyle w:val="Heading1"/>
              <w:spacing w:before="280" w:after="280"/>
              <w:rPr>
                <w:rFonts w:ascii="Arial" w:eastAsia="Arial" w:hAnsi="Arial" w:cs="Arial"/>
                <w:b w:val="0"/>
                <w:sz w:val="24"/>
                <w:szCs w:val="24"/>
              </w:rPr>
            </w:pPr>
          </w:p>
          <w:p w:rsidR="00927C18" w:rsidRDefault="00E81A27">
            <w:pPr>
              <w:pStyle w:val="Heading1"/>
              <w:spacing w:before="280"/>
              <w:rPr>
                <w:rFonts w:ascii="Arial" w:eastAsia="Arial" w:hAnsi="Arial" w:cs="Arial"/>
                <w:b w:val="0"/>
                <w:sz w:val="24"/>
                <w:szCs w:val="24"/>
              </w:rPr>
            </w:pPr>
            <w:r>
              <w:rPr>
                <w:rFonts w:ascii="Arial" w:eastAsia="Arial" w:hAnsi="Arial" w:cs="Arial"/>
                <w:b w:val="0"/>
                <w:sz w:val="24"/>
                <w:szCs w:val="24"/>
              </w:rPr>
              <w:t>If you wish to specify anything different to the stated defaults then you can enter the details here. For example, you may wish to limit a supplier’s liability in</w:t>
            </w:r>
            <w:r>
              <w:rPr>
                <w:rFonts w:ascii="Arial" w:eastAsia="Arial" w:hAnsi="Arial" w:cs="Arial"/>
                <w:b w:val="0"/>
                <w:sz w:val="24"/>
                <w:szCs w:val="24"/>
              </w:rPr>
              <w:t xml:space="preserve"> instances of data breach to an agreed maximum amount rather than have it unlimited</w:t>
            </w:r>
          </w:p>
        </w:tc>
      </w:tr>
      <w:tr w:rsidR="00927C18">
        <w:tc>
          <w:tcPr>
            <w:tcW w:w="2405" w:type="dxa"/>
          </w:tcPr>
          <w:p w:rsidR="00927C18" w:rsidRDefault="00E81A27">
            <w:pPr>
              <w:rPr>
                <w:rFonts w:ascii="Arial" w:eastAsia="Arial" w:hAnsi="Arial" w:cs="Arial"/>
              </w:rPr>
            </w:pPr>
            <w:r>
              <w:rPr>
                <w:rFonts w:ascii="Arial" w:eastAsia="Arial" w:hAnsi="Arial" w:cs="Arial"/>
              </w:rPr>
              <w:t>Insurance</w:t>
            </w:r>
          </w:p>
        </w:tc>
        <w:tc>
          <w:tcPr>
            <w:tcW w:w="6605" w:type="dxa"/>
          </w:tcPr>
          <w:p w:rsidR="00927C18" w:rsidRDefault="00E81A27">
            <w:pPr>
              <w:pStyle w:val="Heading1"/>
              <w:spacing w:after="280"/>
              <w:rPr>
                <w:rFonts w:ascii="Arial" w:eastAsia="Arial" w:hAnsi="Arial" w:cs="Arial"/>
                <w:b w:val="0"/>
                <w:sz w:val="24"/>
                <w:szCs w:val="24"/>
              </w:rPr>
            </w:pPr>
            <w:r>
              <w:rPr>
                <w:rFonts w:ascii="Arial" w:eastAsia="Arial" w:hAnsi="Arial" w:cs="Arial"/>
                <w:b w:val="0"/>
                <w:sz w:val="24"/>
                <w:szCs w:val="24"/>
              </w:rPr>
              <w:t>Refer to clause 10 Insurance – particularly 10.1.1 and 10.2.1 and 10.3</w:t>
            </w:r>
          </w:p>
          <w:p w:rsidR="00927C18" w:rsidRDefault="00927C18">
            <w:pPr>
              <w:pStyle w:val="Heading1"/>
              <w:spacing w:before="280" w:after="280"/>
              <w:rPr>
                <w:rFonts w:ascii="Arial" w:eastAsia="Arial" w:hAnsi="Arial" w:cs="Arial"/>
                <w:b w:val="0"/>
                <w:sz w:val="24"/>
                <w:szCs w:val="24"/>
              </w:rPr>
            </w:pPr>
          </w:p>
          <w:p w:rsidR="00927C18" w:rsidRDefault="00E81A27">
            <w:pPr>
              <w:pStyle w:val="Heading1"/>
              <w:spacing w:before="280"/>
              <w:rPr>
                <w:rFonts w:ascii="Arial" w:eastAsia="Arial" w:hAnsi="Arial" w:cs="Arial"/>
                <w:b w:val="0"/>
                <w:sz w:val="24"/>
                <w:szCs w:val="24"/>
              </w:rPr>
            </w:pPr>
            <w:r>
              <w:rPr>
                <w:rFonts w:ascii="Arial" w:eastAsia="Arial" w:hAnsi="Arial" w:cs="Arial"/>
                <w:b w:val="0"/>
                <w:sz w:val="24"/>
                <w:szCs w:val="24"/>
              </w:rPr>
              <w:t>If you wish to specify anything different to the stated defaults then you can enter the d</w:t>
            </w:r>
            <w:r>
              <w:rPr>
                <w:rFonts w:ascii="Arial" w:eastAsia="Arial" w:hAnsi="Arial" w:cs="Arial"/>
                <w:b w:val="0"/>
                <w:sz w:val="24"/>
                <w:szCs w:val="24"/>
              </w:rPr>
              <w:t>etails here</w:t>
            </w:r>
          </w:p>
        </w:tc>
      </w:tr>
      <w:tr w:rsidR="00927C18">
        <w:tc>
          <w:tcPr>
            <w:tcW w:w="2405" w:type="dxa"/>
          </w:tcPr>
          <w:p w:rsidR="00927C18" w:rsidRDefault="00E81A27">
            <w:pPr>
              <w:rPr>
                <w:rFonts w:ascii="Arial" w:eastAsia="Arial" w:hAnsi="Arial" w:cs="Arial"/>
              </w:rPr>
            </w:pPr>
            <w:r>
              <w:rPr>
                <w:rFonts w:ascii="Arial" w:eastAsia="Arial" w:hAnsi="Arial" w:cs="Arial"/>
              </w:rPr>
              <w:t>Subcontractors / Partners</w:t>
            </w:r>
          </w:p>
        </w:tc>
        <w:tc>
          <w:tcPr>
            <w:tcW w:w="6605" w:type="dxa"/>
          </w:tcPr>
          <w:p w:rsidR="00927C18" w:rsidRDefault="00E81A27">
            <w:pPr>
              <w:pStyle w:val="Heading1"/>
              <w:spacing w:after="280"/>
              <w:rPr>
                <w:rFonts w:ascii="Arial" w:eastAsia="Arial" w:hAnsi="Arial" w:cs="Arial"/>
                <w:b w:val="0"/>
                <w:sz w:val="24"/>
                <w:szCs w:val="24"/>
              </w:rPr>
            </w:pPr>
            <w:r>
              <w:rPr>
                <w:rFonts w:ascii="Arial" w:eastAsia="Arial" w:hAnsi="Arial" w:cs="Arial"/>
                <w:b w:val="0"/>
                <w:sz w:val="24"/>
                <w:szCs w:val="24"/>
              </w:rPr>
              <w:t>Detail here the name of the third party and proportion of the work that they will be undertaking as part of the overall project delivery</w:t>
            </w:r>
          </w:p>
          <w:p w:rsidR="00927C18" w:rsidRDefault="00927C18">
            <w:pPr>
              <w:pStyle w:val="Heading1"/>
              <w:spacing w:before="280" w:after="280"/>
              <w:rPr>
                <w:rFonts w:ascii="Arial" w:eastAsia="Arial" w:hAnsi="Arial" w:cs="Arial"/>
                <w:b w:val="0"/>
                <w:sz w:val="24"/>
                <w:szCs w:val="24"/>
              </w:rPr>
            </w:pPr>
          </w:p>
          <w:p w:rsidR="00927C18" w:rsidRDefault="00E81A27">
            <w:pPr>
              <w:pStyle w:val="Heading1"/>
              <w:spacing w:before="280"/>
              <w:rPr>
                <w:rFonts w:ascii="Arial" w:eastAsia="Arial" w:hAnsi="Arial" w:cs="Arial"/>
                <w:b w:val="0"/>
                <w:sz w:val="24"/>
                <w:szCs w:val="24"/>
              </w:rPr>
            </w:pPr>
            <w:r>
              <w:rPr>
                <w:rFonts w:ascii="Arial" w:eastAsia="Arial" w:hAnsi="Arial" w:cs="Arial"/>
                <w:b w:val="0"/>
                <w:sz w:val="24"/>
                <w:szCs w:val="24"/>
              </w:rPr>
              <w:t>Suppliers are obliged to disclose these details as part of their written proposal and bid; and it is at the buyer’s discretion whether this is acceptable or not</w:t>
            </w:r>
          </w:p>
        </w:tc>
      </w:tr>
      <w:tr w:rsidR="00927C18">
        <w:tc>
          <w:tcPr>
            <w:tcW w:w="2405" w:type="dxa"/>
          </w:tcPr>
          <w:p w:rsidR="00927C18" w:rsidRDefault="00E81A27">
            <w:pPr>
              <w:rPr>
                <w:rFonts w:ascii="Arial" w:eastAsia="Arial" w:hAnsi="Arial" w:cs="Arial"/>
              </w:rPr>
            </w:pPr>
            <w:r>
              <w:rPr>
                <w:rFonts w:ascii="Arial" w:eastAsia="Arial" w:hAnsi="Arial" w:cs="Arial"/>
              </w:rPr>
              <w:t>Warranties, representations and acceptance criteria</w:t>
            </w:r>
          </w:p>
        </w:tc>
        <w:tc>
          <w:tcPr>
            <w:tcW w:w="6605" w:type="dxa"/>
          </w:tcPr>
          <w:p w:rsidR="00927C18" w:rsidRDefault="00E81A27">
            <w:pPr>
              <w:pStyle w:val="Heading1"/>
              <w:spacing w:after="280"/>
              <w:rPr>
                <w:rFonts w:ascii="Arial" w:eastAsia="Arial" w:hAnsi="Arial" w:cs="Arial"/>
                <w:b w:val="0"/>
                <w:color w:val="000000"/>
                <w:sz w:val="24"/>
                <w:szCs w:val="24"/>
              </w:rPr>
            </w:pPr>
            <w:r>
              <w:rPr>
                <w:rFonts w:ascii="Arial" w:eastAsia="Arial" w:hAnsi="Arial" w:cs="Arial"/>
                <w:b w:val="0"/>
                <w:sz w:val="24"/>
                <w:szCs w:val="24"/>
              </w:rPr>
              <w:t xml:space="preserve">Refer to clause 6 and to Schedule 3 </w:t>
            </w:r>
            <w:r>
              <w:rPr>
                <w:rFonts w:ascii="Arial" w:eastAsia="Arial" w:hAnsi="Arial" w:cs="Arial"/>
                <w:b w:val="0"/>
                <w:color w:val="000000"/>
                <w:sz w:val="24"/>
                <w:szCs w:val="24"/>
              </w:rPr>
              <w:t xml:space="preserve">- </w:t>
            </w:r>
            <w:r>
              <w:rPr>
                <w:rFonts w:ascii="Arial" w:eastAsia="Arial" w:hAnsi="Arial" w:cs="Arial"/>
                <w:b w:val="0"/>
                <w:color w:val="000000"/>
                <w:sz w:val="24"/>
                <w:szCs w:val="24"/>
                <w:highlight w:val="white"/>
              </w:rPr>
              <w:t>Stat</w:t>
            </w:r>
            <w:r>
              <w:rPr>
                <w:rFonts w:ascii="Arial" w:eastAsia="Arial" w:hAnsi="Arial" w:cs="Arial"/>
                <w:b w:val="0"/>
                <w:color w:val="000000"/>
                <w:sz w:val="24"/>
                <w:szCs w:val="24"/>
                <w:highlight w:val="white"/>
              </w:rPr>
              <w:t>ement</w:t>
            </w:r>
            <w:r>
              <w:rPr>
                <w:rFonts w:ascii="Arial" w:eastAsia="Arial" w:hAnsi="Arial" w:cs="Arial"/>
                <w:b w:val="0"/>
                <w:color w:val="000000"/>
                <w:sz w:val="24"/>
                <w:szCs w:val="24"/>
              </w:rPr>
              <w:t xml:space="preserve"> of Work (</w:t>
            </w:r>
            <w:r>
              <w:rPr>
                <w:rFonts w:ascii="Arial" w:eastAsia="Arial" w:hAnsi="Arial" w:cs="Arial"/>
                <w:b w:val="0"/>
                <w:color w:val="000000"/>
                <w:sz w:val="24"/>
                <w:szCs w:val="24"/>
                <w:highlight w:val="white"/>
              </w:rPr>
              <w:t>SOW</w:t>
            </w:r>
            <w:r>
              <w:rPr>
                <w:rFonts w:ascii="Arial" w:eastAsia="Arial" w:hAnsi="Arial" w:cs="Arial"/>
                <w:b w:val="0"/>
                <w:color w:val="000000"/>
                <w:sz w:val="24"/>
                <w:szCs w:val="24"/>
              </w:rPr>
              <w:t>), including pricing arrangements and Key Staff clause 3.4.4</w:t>
            </w:r>
          </w:p>
          <w:p w:rsidR="00927C18" w:rsidRDefault="00927C18">
            <w:pPr>
              <w:pStyle w:val="Heading1"/>
              <w:spacing w:before="280" w:after="280"/>
              <w:rPr>
                <w:rFonts w:ascii="Arial" w:eastAsia="Arial" w:hAnsi="Arial" w:cs="Arial"/>
                <w:b w:val="0"/>
                <w:sz w:val="24"/>
                <w:szCs w:val="24"/>
              </w:rPr>
            </w:pPr>
          </w:p>
          <w:p w:rsidR="00927C18" w:rsidRDefault="00E81A27">
            <w:pPr>
              <w:pStyle w:val="Heading1"/>
              <w:spacing w:before="280"/>
              <w:rPr>
                <w:rFonts w:ascii="Arial" w:eastAsia="Arial" w:hAnsi="Arial" w:cs="Arial"/>
                <w:b w:val="0"/>
                <w:sz w:val="24"/>
                <w:szCs w:val="24"/>
              </w:rPr>
            </w:pPr>
            <w:r>
              <w:rPr>
                <w:rFonts w:ascii="Arial" w:eastAsia="Arial" w:hAnsi="Arial" w:cs="Arial"/>
                <w:b w:val="0"/>
                <w:sz w:val="24"/>
                <w:szCs w:val="24"/>
              </w:rPr>
              <w:t>If you wish to specify anything additional to the stated terms then you can enter the details here</w:t>
            </w:r>
          </w:p>
        </w:tc>
      </w:tr>
      <w:tr w:rsidR="00927C18">
        <w:tc>
          <w:tcPr>
            <w:tcW w:w="2405" w:type="dxa"/>
          </w:tcPr>
          <w:p w:rsidR="00927C18" w:rsidRDefault="00E81A27">
            <w:pPr>
              <w:rPr>
                <w:rFonts w:ascii="Arial" w:eastAsia="Arial" w:hAnsi="Arial" w:cs="Arial"/>
              </w:rPr>
            </w:pPr>
            <w:r>
              <w:rPr>
                <w:rFonts w:ascii="Arial" w:eastAsia="Arial" w:hAnsi="Arial" w:cs="Arial"/>
              </w:rPr>
              <w:lastRenderedPageBreak/>
              <w:t>Supplemental requirements in addition to the call-off terms</w:t>
            </w:r>
          </w:p>
        </w:tc>
        <w:tc>
          <w:tcPr>
            <w:tcW w:w="6605" w:type="dxa"/>
          </w:tcPr>
          <w:p w:rsidR="00927C18" w:rsidRDefault="00E81A27">
            <w:pPr>
              <w:pStyle w:val="Heading1"/>
              <w:spacing w:after="280"/>
              <w:rPr>
                <w:rFonts w:ascii="Arial" w:eastAsia="Arial" w:hAnsi="Arial" w:cs="Arial"/>
                <w:b w:val="0"/>
                <w:sz w:val="24"/>
                <w:szCs w:val="24"/>
              </w:rPr>
            </w:pPr>
            <w:r>
              <w:rPr>
                <w:rFonts w:ascii="Arial" w:eastAsia="Arial" w:hAnsi="Arial" w:cs="Arial"/>
                <w:b w:val="0"/>
                <w:sz w:val="24"/>
                <w:szCs w:val="24"/>
              </w:rPr>
              <w:t>These are the ‘Additional terms and conditions’ as published on the Digital Marketplace</w:t>
            </w:r>
          </w:p>
          <w:p w:rsidR="00927C18" w:rsidRDefault="00927C18">
            <w:pPr>
              <w:pStyle w:val="Heading1"/>
              <w:spacing w:before="280" w:after="280"/>
              <w:rPr>
                <w:rFonts w:ascii="Arial" w:eastAsia="Arial" w:hAnsi="Arial" w:cs="Arial"/>
                <w:b w:val="0"/>
                <w:sz w:val="24"/>
                <w:szCs w:val="24"/>
              </w:rPr>
            </w:pPr>
          </w:p>
          <w:p w:rsidR="00927C18" w:rsidRDefault="00E81A27">
            <w:pPr>
              <w:pStyle w:val="Heading1"/>
              <w:spacing w:before="280"/>
              <w:rPr>
                <w:rFonts w:ascii="Arial" w:eastAsia="Arial" w:hAnsi="Arial" w:cs="Arial"/>
                <w:b w:val="0"/>
                <w:sz w:val="24"/>
                <w:szCs w:val="24"/>
              </w:rPr>
            </w:pPr>
            <w:r>
              <w:rPr>
                <w:rFonts w:ascii="Arial" w:eastAsia="Arial" w:hAnsi="Arial" w:cs="Arial"/>
                <w:b w:val="0"/>
                <w:sz w:val="24"/>
                <w:szCs w:val="24"/>
              </w:rPr>
              <w:t>For example, you may have specified limits to any travel and subsistence claims as part of the project</w:t>
            </w:r>
          </w:p>
        </w:tc>
      </w:tr>
      <w:tr w:rsidR="00927C18">
        <w:tc>
          <w:tcPr>
            <w:tcW w:w="2405" w:type="dxa"/>
          </w:tcPr>
          <w:p w:rsidR="00927C18" w:rsidRDefault="00E81A27">
            <w:pPr>
              <w:rPr>
                <w:rFonts w:ascii="Arial" w:eastAsia="Arial" w:hAnsi="Arial" w:cs="Arial"/>
              </w:rPr>
            </w:pPr>
            <w:r>
              <w:rPr>
                <w:rFonts w:ascii="Arial" w:eastAsia="Arial" w:hAnsi="Arial" w:cs="Arial"/>
              </w:rPr>
              <w:t>Buyer specific amendments to/refinements of the Call-Off Contra</w:t>
            </w:r>
            <w:r>
              <w:rPr>
                <w:rFonts w:ascii="Arial" w:eastAsia="Arial" w:hAnsi="Arial" w:cs="Arial"/>
              </w:rPr>
              <w:t>ct terms</w:t>
            </w:r>
          </w:p>
        </w:tc>
        <w:tc>
          <w:tcPr>
            <w:tcW w:w="6605" w:type="dxa"/>
          </w:tcPr>
          <w:p w:rsidR="00927C18" w:rsidRDefault="00E81A27">
            <w:pPr>
              <w:pStyle w:val="Heading1"/>
              <w:spacing w:after="280"/>
              <w:rPr>
                <w:rFonts w:ascii="Arial" w:eastAsia="Arial" w:hAnsi="Arial" w:cs="Arial"/>
                <w:b w:val="0"/>
                <w:sz w:val="24"/>
                <w:szCs w:val="24"/>
              </w:rPr>
            </w:pPr>
            <w:r>
              <w:rPr>
                <w:rFonts w:ascii="Arial" w:eastAsia="Arial" w:hAnsi="Arial" w:cs="Arial"/>
                <w:b w:val="0"/>
                <w:sz w:val="24"/>
                <w:szCs w:val="24"/>
              </w:rPr>
              <w:t>This is where you can amend an existing clause in the call-off contract without materially changing its status</w:t>
            </w:r>
          </w:p>
          <w:p w:rsidR="00927C18" w:rsidRDefault="00927C18">
            <w:pPr>
              <w:pStyle w:val="Heading1"/>
              <w:spacing w:before="280" w:after="280"/>
              <w:rPr>
                <w:rFonts w:ascii="Arial" w:eastAsia="Arial" w:hAnsi="Arial" w:cs="Arial"/>
                <w:b w:val="0"/>
                <w:sz w:val="24"/>
                <w:szCs w:val="24"/>
              </w:rPr>
            </w:pPr>
          </w:p>
          <w:p w:rsidR="00927C18" w:rsidRDefault="00E81A27">
            <w:pPr>
              <w:pStyle w:val="Heading1"/>
              <w:spacing w:before="280"/>
              <w:rPr>
                <w:rFonts w:ascii="Arial" w:eastAsia="Arial" w:hAnsi="Arial" w:cs="Arial"/>
                <w:b w:val="0"/>
                <w:sz w:val="24"/>
                <w:szCs w:val="24"/>
              </w:rPr>
            </w:pPr>
            <w:r>
              <w:rPr>
                <w:rFonts w:ascii="Arial" w:eastAsia="Arial" w:hAnsi="Arial" w:cs="Arial"/>
                <w:b w:val="0"/>
                <w:sz w:val="24"/>
                <w:szCs w:val="24"/>
              </w:rPr>
              <w:t>For example, you may specify a refinement to clause 14.9 under Data Protection and Disclosure such that if you consent to subcontractors then you can specify that there should be a written agreement between the supplier as processor, and subcontractor as s</w:t>
            </w:r>
            <w:r>
              <w:rPr>
                <w:rFonts w:ascii="Arial" w:eastAsia="Arial" w:hAnsi="Arial" w:cs="Arial"/>
                <w:b w:val="0"/>
                <w:sz w:val="24"/>
                <w:szCs w:val="24"/>
              </w:rPr>
              <w:t>ub-processor, as provided for by paragraph 1.11c in PPN 02/18</w:t>
            </w:r>
          </w:p>
        </w:tc>
      </w:tr>
      <w:tr w:rsidR="00927C18">
        <w:tc>
          <w:tcPr>
            <w:tcW w:w="2405" w:type="dxa"/>
          </w:tcPr>
          <w:p w:rsidR="00927C18" w:rsidRDefault="00E81A27">
            <w:pPr>
              <w:rPr>
                <w:rFonts w:ascii="Arial" w:eastAsia="Arial" w:hAnsi="Arial" w:cs="Arial"/>
              </w:rPr>
            </w:pPr>
            <w:r>
              <w:rPr>
                <w:rFonts w:ascii="Arial" w:eastAsia="Arial" w:hAnsi="Arial" w:cs="Arial"/>
              </w:rPr>
              <w:t>Specific terms</w:t>
            </w:r>
          </w:p>
        </w:tc>
        <w:tc>
          <w:tcPr>
            <w:tcW w:w="6605" w:type="dxa"/>
          </w:tcPr>
          <w:p w:rsidR="00927C18" w:rsidRDefault="00E81A27">
            <w:pPr>
              <w:pStyle w:val="Heading1"/>
              <w:rPr>
                <w:rFonts w:ascii="Arial" w:eastAsia="Arial" w:hAnsi="Arial" w:cs="Arial"/>
                <w:b w:val="0"/>
                <w:sz w:val="24"/>
                <w:szCs w:val="24"/>
              </w:rPr>
            </w:pPr>
            <w:r>
              <w:rPr>
                <w:rFonts w:ascii="Arial" w:eastAsia="Arial" w:hAnsi="Arial" w:cs="Arial"/>
                <w:b w:val="0"/>
                <w:sz w:val="24"/>
                <w:szCs w:val="24"/>
              </w:rPr>
              <w:t>This is where you just list the specific contract clauses that are being amended/refined above – essentially a checklist of affected clauses</w:t>
            </w:r>
          </w:p>
        </w:tc>
      </w:tr>
    </w:tbl>
    <w:p w:rsidR="00927C18" w:rsidRDefault="00927C18">
      <w:pPr>
        <w:rPr>
          <w:rFonts w:ascii="Arial" w:eastAsia="Arial" w:hAnsi="Arial" w:cs="Arial"/>
        </w:rPr>
      </w:pPr>
    </w:p>
    <w:sectPr w:rsidR="00927C18">
      <w:footerReference w:type="default" r:id="rId9"/>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A27" w:rsidRDefault="00E81A27">
      <w:r>
        <w:separator/>
      </w:r>
    </w:p>
  </w:endnote>
  <w:endnote w:type="continuationSeparator" w:id="0">
    <w:p w:rsidR="00E81A27" w:rsidRDefault="00E8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C18" w:rsidRDefault="00E81A27">
    <w:r>
      <w:t>RM1043.6 DOS4 call-off contract guidance for completion of part A order form v1.0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A27" w:rsidRDefault="00E81A27">
      <w:r>
        <w:separator/>
      </w:r>
    </w:p>
  </w:footnote>
  <w:footnote w:type="continuationSeparator" w:id="0">
    <w:p w:rsidR="00E81A27" w:rsidRDefault="00E81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18"/>
    <w:rsid w:val="00561777"/>
    <w:rsid w:val="00927C18"/>
    <w:rsid w:val="00E81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29619-EADE-41ED-9DE0-5CB1AEFB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634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6C3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2E4C"/>
    <w:rPr>
      <w:color w:val="0000FF"/>
      <w:u w:val="single"/>
    </w:rPr>
  </w:style>
  <w:style w:type="character" w:customStyle="1" w:styleId="UnresolvedMention">
    <w:name w:val="Unresolved Mention"/>
    <w:basedOn w:val="DefaultParagraphFont"/>
    <w:uiPriority w:val="99"/>
    <w:rsid w:val="00D43FBE"/>
    <w:rPr>
      <w:color w:val="605E5C"/>
      <w:shd w:val="clear" w:color="auto" w:fill="E1DFDD"/>
    </w:rPr>
  </w:style>
  <w:style w:type="character" w:styleId="FollowedHyperlink">
    <w:name w:val="FollowedHyperlink"/>
    <w:basedOn w:val="DefaultParagraphFont"/>
    <w:uiPriority w:val="99"/>
    <w:semiHidden/>
    <w:unhideWhenUsed/>
    <w:rsid w:val="002E6CAE"/>
    <w:rPr>
      <w:color w:val="954F72" w:themeColor="followedHyperlink"/>
      <w:u w:val="single"/>
    </w:rPr>
  </w:style>
  <w:style w:type="character" w:customStyle="1" w:styleId="Heading1Char">
    <w:name w:val="Heading 1 Char"/>
    <w:basedOn w:val="DefaultParagraphFont"/>
    <w:link w:val="Heading1"/>
    <w:uiPriority w:val="9"/>
    <w:rsid w:val="001B6348"/>
    <w:rPr>
      <w:rFonts w:ascii="Times New Roman" w:eastAsia="Times New Roman" w:hAnsi="Times New Roman" w:cs="Times New Roman"/>
      <w:b/>
      <w:bCs/>
      <w:kern w:val="36"/>
      <w:sz w:val="48"/>
      <w:szCs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igitalmarketplace.service.gov.uk/digital-outcomes-and-specialists/opportunities" TargetMode="External"/><Relationship Id="rId3" Type="http://schemas.openxmlformats.org/officeDocument/2006/relationships/settings" Target="settings.xml"/><Relationship Id="rId7" Type="http://schemas.openxmlformats.org/officeDocument/2006/relationships/hyperlink" Target="https://www.digitalmarketplace.service.gov.uk/digital-outcomes-and-specialists/opportunities/1133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RCuo6lAvsjMtcuhGTmUD/TmtrQ==">AMUW2mXUGBYwIXMI7/yAxNg7eb2SqbH2Kqeq9m2M6uXFPGXHpXrkcERkupk/lrNLQNVMQDUj36SdDNPGptG1teMwMcctyUt/D6xcch7D+RFUCTlkECam/r8w6K93ND4AxSfDiqwJkII7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Jack Sexton</cp:lastModifiedBy>
  <cp:revision>2</cp:revision>
  <dcterms:created xsi:type="dcterms:W3CDTF">2020-02-03T10:15:00Z</dcterms:created>
  <dcterms:modified xsi:type="dcterms:W3CDTF">2020-02-03T10:15:00Z</dcterms:modified>
</cp:coreProperties>
</file>