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906D" w14:textId="32C003D5" w:rsidR="00FF513B" w:rsidRDefault="004C2CE0" w:rsidP="00652FAB">
      <w:pPr>
        <w:keepNext/>
        <w:spacing w:before="120" w:after="120"/>
        <w:rPr>
          <w:rFonts w:eastAsia="Arial"/>
          <w:b/>
          <w:sz w:val="36"/>
          <w:szCs w:val="36"/>
        </w:rPr>
      </w:pPr>
      <w:r>
        <w:rPr>
          <w:rFonts w:eastAsia="Arial"/>
          <w:b/>
          <w:sz w:val="36"/>
          <w:szCs w:val="36"/>
        </w:rPr>
        <w:t xml:space="preserve">Call-Off Schedule 17 (MOD Terms) </w:t>
      </w:r>
    </w:p>
    <w:p w14:paraId="70D93804" w14:textId="283FF0C0" w:rsidR="007752E4" w:rsidRDefault="007752E4" w:rsidP="00652FAB">
      <w:pPr>
        <w:keepNext/>
        <w:pBdr>
          <w:top w:val="nil"/>
          <w:left w:val="nil"/>
          <w:bottom w:val="nil"/>
          <w:right w:val="nil"/>
          <w:between w:val="nil"/>
        </w:pBdr>
        <w:spacing w:before="120" w:after="120"/>
        <w:rPr>
          <w:rFonts w:eastAsia="Arial"/>
          <w:b/>
          <w:smallCaps/>
        </w:rPr>
      </w:pPr>
    </w:p>
    <w:p w14:paraId="5846D4CF"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eastAsia="Arial"/>
          <w:b/>
          <w:smallCaps/>
        </w:rPr>
      </w:pPr>
      <w:r>
        <w:rPr>
          <w:rFonts w:eastAsia="Arial"/>
          <w:b/>
          <w:smallCaps/>
        </w:rPr>
        <w:t>D</w:t>
      </w:r>
      <w:r>
        <w:rPr>
          <w:rFonts w:ascii="Arial Bold" w:eastAsia="Arial Bold" w:hAnsi="Arial Bold" w:cs="Arial Bold"/>
          <w:b/>
        </w:rPr>
        <w:t>efinitions</w:t>
      </w:r>
    </w:p>
    <w:p w14:paraId="305EDDA5" w14:textId="77777777" w:rsidR="00FF513B" w:rsidRDefault="004C2CE0" w:rsidP="000F0BA1">
      <w:pPr>
        <w:keepNext/>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 xml:space="preserve">In this Schedule, the following words shall have the following </w:t>
      </w:r>
      <w:proofErr w:type="gramStart"/>
      <w:r>
        <w:rPr>
          <w:rFonts w:eastAsia="Arial"/>
        </w:rPr>
        <w:t>meanings</w:t>
      </w:r>
      <w:proofErr w:type="gramEnd"/>
      <w:r>
        <w:rPr>
          <w:rFonts w:eastAsia="Arial"/>
        </w:rPr>
        <w:t xml:space="preserve"> and they shall supplement Joint Schedule 1 </w:t>
      </w:r>
      <w:r w:rsidRPr="000F0BA1">
        <w:rPr>
          <w:rFonts w:eastAsia="Arial"/>
          <w:i/>
        </w:rPr>
        <w:t>(Definitions)</w:t>
      </w:r>
      <w:r>
        <w:rPr>
          <w:rFonts w:eastAsia="Arial"/>
        </w:rPr>
        <w:t>:</w:t>
      </w:r>
    </w:p>
    <w:tbl>
      <w:tblPr>
        <w:tblStyle w:val="a"/>
        <w:tblW w:w="801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FF513B" w14:paraId="44281D4B" w14:textId="77777777">
        <w:tc>
          <w:tcPr>
            <w:tcW w:w="3422" w:type="dxa"/>
          </w:tcPr>
          <w:p w14:paraId="4269D19E" w14:textId="77777777" w:rsidR="00FF513B" w:rsidRDefault="004C2CE0" w:rsidP="00652FAB">
            <w:pPr>
              <w:spacing w:before="120" w:after="120"/>
              <w:rPr>
                <w:rFonts w:eastAsia="Arial"/>
                <w:b/>
              </w:rPr>
            </w:pPr>
            <w:r>
              <w:rPr>
                <w:rFonts w:eastAsia="Arial"/>
                <w:b/>
              </w:rPr>
              <w:t>"MOD Terms and Conditions"</w:t>
            </w:r>
          </w:p>
        </w:tc>
        <w:tc>
          <w:tcPr>
            <w:tcW w:w="4596" w:type="dxa"/>
          </w:tcPr>
          <w:p w14:paraId="152EEC33" w14:textId="101AF670" w:rsidR="00FF513B" w:rsidRPr="00652FAB" w:rsidRDefault="004C2CE0" w:rsidP="00652FAB">
            <w:pPr>
              <w:spacing w:before="120" w:after="120"/>
              <w:rPr>
                <w:rFonts w:eastAsia="Arial"/>
              </w:rPr>
            </w:pPr>
            <w:r>
              <w:rPr>
                <w:rFonts w:eastAsia="Arial"/>
              </w:rPr>
              <w:t>the terms and conditions listed in this Schedule;</w:t>
            </w:r>
          </w:p>
        </w:tc>
      </w:tr>
      <w:tr w:rsidR="00FF513B" w14:paraId="33A15C45" w14:textId="77777777">
        <w:tc>
          <w:tcPr>
            <w:tcW w:w="3422" w:type="dxa"/>
          </w:tcPr>
          <w:p w14:paraId="51F8ABFF" w14:textId="77777777" w:rsidR="00FF513B" w:rsidRDefault="004C2CE0" w:rsidP="00652FAB">
            <w:pPr>
              <w:spacing w:before="120" w:after="120"/>
              <w:rPr>
                <w:rFonts w:eastAsia="Arial"/>
                <w:b/>
              </w:rPr>
            </w:pPr>
            <w:r>
              <w:rPr>
                <w:rFonts w:eastAsia="Arial"/>
                <w:b/>
              </w:rPr>
              <w:t>"MOD Site"</w:t>
            </w:r>
          </w:p>
        </w:tc>
        <w:tc>
          <w:tcPr>
            <w:tcW w:w="4596" w:type="dxa"/>
          </w:tcPr>
          <w:p w14:paraId="1C6040C4" w14:textId="0A619AE8" w:rsidR="00FF513B" w:rsidRPr="000F0BA1" w:rsidRDefault="004C2CE0" w:rsidP="00652FAB">
            <w:pPr>
              <w:spacing w:before="120" w:after="120"/>
              <w:rPr>
                <w:rFonts w:eastAsia="Arial"/>
              </w:rPr>
            </w:pPr>
            <w:r>
              <w:rPr>
                <w:rFonts w:eastAsia="Arial"/>
              </w:rPr>
              <w:t>shall include any of H</w:t>
            </w:r>
            <w:r w:rsidR="00771CB2">
              <w:rPr>
                <w:rFonts w:eastAsia="Arial"/>
              </w:rPr>
              <w:t>is</w:t>
            </w:r>
            <w:r>
              <w:rPr>
                <w:rFonts w:eastAsia="Arial"/>
              </w:rPr>
              <w:t xml:space="preserve"> Majesty's Ships or Vessels and Service Stations;</w:t>
            </w:r>
            <w:r w:rsidR="000F0BA1">
              <w:rPr>
                <w:rFonts w:eastAsia="Arial"/>
              </w:rPr>
              <w:t xml:space="preserve"> and</w:t>
            </w:r>
          </w:p>
        </w:tc>
      </w:tr>
      <w:tr w:rsidR="00FF513B" w14:paraId="547DE2F4" w14:textId="77777777">
        <w:tc>
          <w:tcPr>
            <w:tcW w:w="3422" w:type="dxa"/>
          </w:tcPr>
          <w:p w14:paraId="505D9E54" w14:textId="77777777" w:rsidR="00FF513B" w:rsidRDefault="004C2CE0" w:rsidP="00652FAB">
            <w:pPr>
              <w:spacing w:before="120" w:after="120"/>
              <w:rPr>
                <w:rFonts w:eastAsia="Arial"/>
                <w:b/>
              </w:rPr>
            </w:pPr>
            <w:r>
              <w:rPr>
                <w:rFonts w:eastAsia="Arial"/>
                <w:b/>
              </w:rPr>
              <w:t>"Officer in charge"</w:t>
            </w:r>
          </w:p>
        </w:tc>
        <w:tc>
          <w:tcPr>
            <w:tcW w:w="4596" w:type="dxa"/>
          </w:tcPr>
          <w:p w14:paraId="328FDF7F" w14:textId="162811AE" w:rsidR="00FF513B" w:rsidRDefault="004C2CE0" w:rsidP="00652FAB">
            <w:pPr>
              <w:spacing w:before="120" w:after="120"/>
              <w:rPr>
                <w:rFonts w:eastAsia="Arial"/>
                <w:b/>
              </w:rPr>
            </w:pPr>
            <w:r>
              <w:rPr>
                <w:rFonts w:eastAsia="Arial"/>
              </w:rPr>
              <w:t>shall include Officers Commanding Service Stations, Ships' Masters or Senior Officers, and Officers superinte</w:t>
            </w:r>
            <w:r w:rsidR="000F0BA1">
              <w:rPr>
                <w:rFonts w:eastAsia="Arial"/>
              </w:rPr>
              <w:t>nding Government Establishments.</w:t>
            </w:r>
          </w:p>
        </w:tc>
      </w:tr>
    </w:tbl>
    <w:p w14:paraId="7C787FFB"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ascii="Arial Bold" w:eastAsia="Arial Bold" w:hAnsi="Arial Bold" w:cs="Arial Bold"/>
          <w:b/>
        </w:rPr>
      </w:pPr>
      <w:r>
        <w:rPr>
          <w:rFonts w:ascii="Arial Bold" w:eastAsia="Arial Bold" w:hAnsi="Arial Bold" w:cs="Arial Bold"/>
          <w:b/>
        </w:rPr>
        <w:t>Access to MOD sites</w:t>
      </w:r>
    </w:p>
    <w:p w14:paraId="35D2BC1E" w14:textId="1D5F101C"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Buyer shall issue passes for those representatives of the Supplier who are approved for admission to the MOD Site and a representative shall not be admitted unless</w:t>
      </w:r>
      <w:r w:rsidR="000F0BA1">
        <w:rPr>
          <w:rFonts w:eastAsia="Arial"/>
        </w:rPr>
        <w:t xml:space="preserve"> in possession of such a pass. </w:t>
      </w:r>
      <w:r>
        <w:rPr>
          <w:rFonts w:eastAsia="Arial"/>
        </w:rPr>
        <w:t>Passes shall remain the property of the Buyer and shall be surrendered on demand or on completion of the supply of the Deliverables.</w:t>
      </w:r>
    </w:p>
    <w:p w14:paraId="70878F28"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B8BDD95" w14:textId="36C33AC6"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w:t>
      </w:r>
      <w:r w:rsidR="000F0BA1">
        <w:rPr>
          <w:rFonts w:eastAsia="Arial"/>
        </w:rPr>
        <w:t xml:space="preserve"> before the commencement of the</w:t>
      </w:r>
      <w:r>
        <w:rPr>
          <w:rFonts w:eastAsia="Arial"/>
        </w:rPr>
        <w:t xml:space="preserve"> Contract where so asked by the Supplier.  When sleeping accommodation and messing facilities are not available, a certificate to this effect may be required by the Buyer and shall be obtained by the Suppli</w:t>
      </w:r>
      <w:r w:rsidR="000F0BA1">
        <w:rPr>
          <w:rFonts w:eastAsia="Arial"/>
        </w:rPr>
        <w:t xml:space="preserve">er from the Officer in charge. </w:t>
      </w:r>
      <w:r>
        <w:rPr>
          <w:rFonts w:eastAsia="Arial"/>
        </w:rPr>
        <w:t xml:space="preserve">Such </w:t>
      </w:r>
      <w:r>
        <w:rPr>
          <w:rFonts w:eastAsia="Arial"/>
        </w:rPr>
        <w:lastRenderedPageBreak/>
        <w:t>certificate shall be presented to the Buyer with other eviden</w:t>
      </w:r>
      <w:r w:rsidR="000F0BA1">
        <w:rPr>
          <w:rFonts w:eastAsia="Arial"/>
        </w:rPr>
        <w:t>ce relating to the costs of the</w:t>
      </w:r>
      <w:r>
        <w:rPr>
          <w:rFonts w:eastAsia="Arial"/>
        </w:rPr>
        <w:t xml:space="preserve"> Contract.</w:t>
      </w:r>
    </w:p>
    <w:p w14:paraId="5FC04DE8" w14:textId="7E3B4D68"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Where the Supplier's repr</w:t>
      </w:r>
      <w:r w:rsidR="000F0BA1">
        <w:rPr>
          <w:rFonts w:eastAsia="Arial"/>
        </w:rPr>
        <w:t>esentatives are required by the</w:t>
      </w:r>
      <w:r>
        <w:rPr>
          <w:rFonts w:eastAsia="Arial"/>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w:t>
      </w:r>
      <w:r w:rsidR="000F0BA1">
        <w:rPr>
          <w:rFonts w:eastAsia="Arial"/>
        </w:rPr>
        <w:t>ecessary for the purpose of the</w:t>
      </w:r>
      <w:r>
        <w:rPr>
          <w:rFonts w:eastAsia="Arial"/>
        </w:rPr>
        <w:t xml:space="preserve"> Contract shall be provided wherever possible by the Ministry of Defence, or by the Officer in charge and, where so provided, shall be free of charge.</w:t>
      </w:r>
    </w:p>
    <w:p w14:paraId="6F79A0A2"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8146183"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 xml:space="preserve">Accidents to the Supplier's representatives which ordinarily require to be reported in accordance with Health and Safety at Work etc. </w:t>
      </w:r>
      <w:proofErr w:type="gramStart"/>
      <w:r>
        <w:rPr>
          <w:rFonts w:eastAsia="Arial"/>
        </w:rPr>
        <w:t>Act 1974,</w:t>
      </w:r>
      <w:proofErr w:type="gramEnd"/>
      <w:r>
        <w:rPr>
          <w:rFonts w:eastAsia="Arial"/>
        </w:rPr>
        <w:t xml:space="preserve"> shall be reported to the Officer in charge so that the Inspector of Factories may be informed.</w:t>
      </w:r>
    </w:p>
    <w:p w14:paraId="30ED9F67"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70910D4" w14:textId="578FFBEB"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w:t>
      </w:r>
      <w:proofErr w:type="gramStart"/>
      <w:r>
        <w:rPr>
          <w:rFonts w:eastAsia="Arial"/>
        </w:rPr>
        <w:t>make arrangements</w:t>
      </w:r>
      <w:proofErr w:type="gramEnd"/>
      <w:r>
        <w:rPr>
          <w:rFonts w:eastAsia="Arial"/>
        </w:rPr>
        <w:t xml:space="preserve"> for payments, converted at the prevailing rate of exchange (where applicable), to be made at the Site to which the Supplier's representatives are attached.  All such advances made by the Buyer shall be recovered from the Supplier</w:t>
      </w:r>
      <w:r w:rsidR="000F0BA1">
        <w:rPr>
          <w:rFonts w:eastAsia="Arial"/>
        </w:rPr>
        <w:t>.</w:t>
      </w:r>
    </w:p>
    <w:p w14:paraId="21D769C3"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lastRenderedPageBreak/>
        <w:t>DEFCONS and DEFFORMS</w:t>
      </w:r>
    </w:p>
    <w:p w14:paraId="60012206" w14:textId="7D41D222"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The DEFCONS and DEFORMS listed in Annex 1 to this Sch</w:t>
      </w:r>
      <w:r w:rsidR="000F0BA1">
        <w:rPr>
          <w:rFonts w:ascii="Arial" w:eastAsia="Arial" w:hAnsi="Arial" w:cs="Arial"/>
          <w:szCs w:val="24"/>
        </w:rPr>
        <w:t>edule are incorporated into the</w:t>
      </w:r>
      <w:r>
        <w:rPr>
          <w:rFonts w:ascii="Arial" w:eastAsia="Arial" w:hAnsi="Arial" w:cs="Arial"/>
          <w:szCs w:val="24"/>
        </w:rPr>
        <w:t xml:space="preserve"> Contract.  </w:t>
      </w:r>
    </w:p>
    <w:p w14:paraId="26832543" w14:textId="77777777"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Where a DEFCON or DEFORM is updated or replaced the reference shall be taken as referring to the updated or replacement DEFCON or DEFORM from time to time.</w:t>
      </w:r>
    </w:p>
    <w:p w14:paraId="10393018" w14:textId="1481077C"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In the event of a conflict between any DEFCONs and DEFFORMS listed in the Order For</w:t>
      </w:r>
      <w:r w:rsidR="000F0BA1">
        <w:rPr>
          <w:rFonts w:ascii="Arial" w:eastAsia="Arial" w:hAnsi="Arial" w:cs="Arial"/>
          <w:szCs w:val="24"/>
        </w:rPr>
        <w:t>m and the other terms in a Call-</w:t>
      </w:r>
      <w:r>
        <w:rPr>
          <w:rFonts w:ascii="Arial" w:eastAsia="Arial" w:hAnsi="Arial" w:cs="Arial"/>
          <w:szCs w:val="24"/>
        </w:rPr>
        <w:t xml:space="preserve">Off Contract, the DEFCONs and DEFFORMS shall prevail. </w:t>
      </w:r>
    </w:p>
    <w:p w14:paraId="7CF6B765"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t xml:space="preserve">Authorisation by the Crown for use of </w:t>
      </w:r>
      <w:proofErr w:type="gramStart"/>
      <w:r>
        <w:rPr>
          <w:rFonts w:ascii="Arial" w:eastAsia="Arial" w:hAnsi="Arial" w:cs="Arial"/>
          <w:szCs w:val="24"/>
        </w:rPr>
        <w:t>third party</w:t>
      </w:r>
      <w:proofErr w:type="gramEnd"/>
      <w:r>
        <w:rPr>
          <w:rFonts w:ascii="Arial" w:eastAsia="Arial" w:hAnsi="Arial" w:cs="Arial"/>
          <w:szCs w:val="24"/>
        </w:rPr>
        <w:t xml:space="preserve"> intellectual property rights</w:t>
      </w:r>
    </w:p>
    <w:p w14:paraId="1FE6A41D" w14:textId="574BA310"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Notwithstanding a</w:t>
      </w:r>
      <w:r w:rsidR="000F0BA1">
        <w:rPr>
          <w:rFonts w:ascii="Arial" w:eastAsia="Arial" w:hAnsi="Arial" w:cs="Arial"/>
          <w:szCs w:val="24"/>
        </w:rPr>
        <w:t>ny other provisions of the Call-</w:t>
      </w:r>
      <w:r>
        <w:rPr>
          <w:rFonts w:ascii="Arial" w:eastAsia="Arial" w:hAnsi="Arial" w:cs="Arial"/>
          <w:szCs w:val="24"/>
        </w:rPr>
        <w:t>Off Contract and for the avoida</w:t>
      </w:r>
      <w:r w:rsidR="000F0BA1">
        <w:rPr>
          <w:rFonts w:ascii="Arial" w:eastAsia="Arial" w:hAnsi="Arial" w:cs="Arial"/>
          <w:szCs w:val="24"/>
        </w:rPr>
        <w:t>nce of doubt, award of the Call-</w:t>
      </w:r>
      <w:r>
        <w:rPr>
          <w:rFonts w:ascii="Arial" w:eastAsia="Arial" w:hAnsi="Arial" w:cs="Arial"/>
          <w:szCs w:val="24"/>
        </w:rPr>
        <w:t>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6E32C147" w14:textId="77777777" w:rsidR="00FF513B" w:rsidRDefault="004C2CE0" w:rsidP="00652FAB">
      <w:pPr>
        <w:spacing w:before="120" w:after="120"/>
        <w:rPr>
          <w:rFonts w:eastAsia="Arial"/>
          <w:b/>
        </w:rPr>
      </w:pPr>
      <w:r>
        <w:br w:type="page"/>
      </w:r>
    </w:p>
    <w:p w14:paraId="2C2DAB58" w14:textId="77777777" w:rsidR="00FF513B" w:rsidRDefault="00FF513B" w:rsidP="00652FAB">
      <w:pPr>
        <w:spacing w:before="120" w:after="120"/>
        <w:rPr>
          <w:rFonts w:eastAsia="Arial"/>
          <w:b/>
          <w:sz w:val="36"/>
          <w:szCs w:val="36"/>
        </w:rPr>
      </w:pPr>
    </w:p>
    <w:p w14:paraId="6F130DD5" w14:textId="77777777" w:rsidR="00FF513B" w:rsidRDefault="004C2CE0" w:rsidP="00652FAB">
      <w:pPr>
        <w:spacing w:before="120" w:after="120"/>
        <w:rPr>
          <w:rFonts w:eastAsia="Arial"/>
          <w:b/>
          <w:sz w:val="36"/>
          <w:szCs w:val="36"/>
        </w:rPr>
      </w:pPr>
      <w:r>
        <w:rPr>
          <w:rFonts w:eastAsia="Arial"/>
          <w:b/>
          <w:sz w:val="36"/>
          <w:szCs w:val="36"/>
        </w:rPr>
        <w:t>ANNEX 1 - DEFCONS &amp; DEFFORMS</w:t>
      </w:r>
    </w:p>
    <w:p w14:paraId="49068D6E" w14:textId="77777777" w:rsidR="00FF513B" w:rsidRDefault="00FF513B" w:rsidP="00652FAB">
      <w:pPr>
        <w:spacing w:before="120" w:after="120"/>
        <w:ind w:left="720"/>
        <w:rPr>
          <w:rFonts w:eastAsia="Arial"/>
        </w:rPr>
      </w:pPr>
    </w:p>
    <w:p w14:paraId="1B6C81EA" w14:textId="77777777" w:rsidR="00FF513B" w:rsidRDefault="004C2CE0" w:rsidP="00652FAB">
      <w:pPr>
        <w:spacing w:before="120" w:after="120"/>
        <w:rPr>
          <w:rFonts w:eastAsia="Arial"/>
        </w:rPr>
      </w:pPr>
      <w:bookmarkStart w:id="0" w:name="_heading=h.gjdgxs" w:colFirst="0" w:colLast="0"/>
      <w:bookmarkEnd w:id="0"/>
      <w:r>
        <w:rPr>
          <w:rFonts w:eastAsia="Arial"/>
        </w:rPr>
        <w:t xml:space="preserve">The full text of Defence Conditions (DEFCONs) and Defence Forms (DEFFORMS) are available electronically via </w:t>
      </w:r>
      <w:hyperlink r:id="rId8">
        <w:r>
          <w:rPr>
            <w:rFonts w:eastAsia="Arial"/>
            <w:color w:val="0000FF"/>
            <w:u w:val="single"/>
          </w:rPr>
          <w:t>https://www.gov.uk/guidance/knowledge-in-defence-kid</w:t>
        </w:r>
      </w:hyperlink>
      <w:r>
        <w:rPr>
          <w:rFonts w:eastAsia="Arial"/>
        </w:rPr>
        <w:t>.</w:t>
      </w:r>
    </w:p>
    <w:p w14:paraId="2CC0B664" w14:textId="55217740" w:rsidR="00FF513B" w:rsidRDefault="004C2CE0" w:rsidP="00652FAB">
      <w:pPr>
        <w:spacing w:before="120" w:after="120"/>
        <w:ind w:left="576" w:hanging="576"/>
        <w:rPr>
          <w:rFonts w:eastAsia="Arial"/>
        </w:rPr>
      </w:pPr>
      <w:r>
        <w:rPr>
          <w:rFonts w:eastAsia="Arial"/>
        </w:rPr>
        <w:t>The following MOD DEFCON</w:t>
      </w:r>
      <w:r w:rsidR="000F0BA1">
        <w:rPr>
          <w:rFonts w:eastAsia="Arial"/>
        </w:rPr>
        <w:t>s and DEFFORMs form part of the C</w:t>
      </w:r>
      <w:r>
        <w:rPr>
          <w:rFonts w:eastAsia="Arial"/>
        </w:rPr>
        <w:t>ontract:</w:t>
      </w:r>
    </w:p>
    <w:p w14:paraId="7821DFA2" w14:textId="77777777" w:rsidR="00FF513B" w:rsidRDefault="004C2CE0" w:rsidP="00652FAB">
      <w:pPr>
        <w:spacing w:before="120" w:after="120"/>
        <w:ind w:left="851"/>
        <w:rPr>
          <w:rFonts w:eastAsia="Arial"/>
        </w:rPr>
      </w:pPr>
      <w:r>
        <w:rPr>
          <w:rFonts w:eastAsia="Arial"/>
        </w:rPr>
        <w:t>DEFCONs</w:t>
      </w:r>
    </w:p>
    <w:p w14:paraId="468D4ABA" w14:textId="77777777" w:rsidR="00FF513B" w:rsidRDefault="00FF513B" w:rsidP="00652FAB">
      <w:pPr>
        <w:spacing w:before="120" w:after="120"/>
        <w:ind w:left="720"/>
        <w:rPr>
          <w:rFonts w:eastAsia="Arial"/>
        </w:rPr>
      </w:pPr>
    </w:p>
    <w:tbl>
      <w:tblPr>
        <w:tblStyle w:val="a0"/>
        <w:tblW w:w="8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FF513B" w14:paraId="66E0F885" w14:textId="77777777">
        <w:tc>
          <w:tcPr>
            <w:tcW w:w="2870" w:type="dxa"/>
          </w:tcPr>
          <w:p w14:paraId="3578AB98" w14:textId="77777777" w:rsidR="00FF513B" w:rsidRDefault="004C2CE0" w:rsidP="00652FAB">
            <w:pPr>
              <w:spacing w:before="120" w:after="120"/>
              <w:rPr>
                <w:rFonts w:eastAsia="Arial"/>
                <w:b/>
              </w:rPr>
            </w:pPr>
            <w:r>
              <w:rPr>
                <w:rFonts w:eastAsia="Arial"/>
                <w:b/>
              </w:rPr>
              <w:t>DEFCON No</w:t>
            </w:r>
          </w:p>
        </w:tc>
        <w:tc>
          <w:tcPr>
            <w:tcW w:w="2861" w:type="dxa"/>
          </w:tcPr>
          <w:p w14:paraId="715BC0E1" w14:textId="77777777" w:rsidR="00FF513B" w:rsidRDefault="004C2CE0" w:rsidP="00652FAB">
            <w:pPr>
              <w:spacing w:before="120" w:after="120"/>
              <w:rPr>
                <w:rFonts w:eastAsia="Arial"/>
                <w:b/>
                <w:u w:val="single"/>
              </w:rPr>
            </w:pPr>
            <w:r>
              <w:rPr>
                <w:rFonts w:eastAsia="Arial"/>
                <w:b/>
              </w:rPr>
              <w:t>Version</w:t>
            </w:r>
          </w:p>
        </w:tc>
        <w:tc>
          <w:tcPr>
            <w:tcW w:w="2928" w:type="dxa"/>
          </w:tcPr>
          <w:p w14:paraId="68036FB2" w14:textId="77777777" w:rsidR="00FF513B" w:rsidRDefault="004C2CE0" w:rsidP="00652FAB">
            <w:pPr>
              <w:spacing w:before="120" w:after="120"/>
              <w:rPr>
                <w:rFonts w:eastAsia="Arial"/>
                <w:b/>
                <w:u w:val="single"/>
              </w:rPr>
            </w:pPr>
            <w:r>
              <w:rPr>
                <w:rFonts w:eastAsia="Arial"/>
                <w:b/>
              </w:rPr>
              <w:t>Description</w:t>
            </w:r>
          </w:p>
        </w:tc>
      </w:tr>
      <w:tr w:rsidR="00FF513B" w14:paraId="562512C7" w14:textId="77777777">
        <w:tc>
          <w:tcPr>
            <w:tcW w:w="2870" w:type="dxa"/>
          </w:tcPr>
          <w:p w14:paraId="5FAB05FE" w14:textId="77777777" w:rsidR="00FF513B" w:rsidRDefault="00FF513B" w:rsidP="00652FAB">
            <w:pPr>
              <w:spacing w:before="120" w:after="120"/>
              <w:rPr>
                <w:rFonts w:eastAsia="Arial"/>
                <w:b/>
              </w:rPr>
            </w:pPr>
          </w:p>
        </w:tc>
        <w:tc>
          <w:tcPr>
            <w:tcW w:w="2861" w:type="dxa"/>
          </w:tcPr>
          <w:p w14:paraId="3F11CEE5" w14:textId="77777777" w:rsidR="00FF513B" w:rsidRDefault="00FF513B" w:rsidP="00652FAB">
            <w:pPr>
              <w:spacing w:before="120" w:after="120"/>
              <w:rPr>
                <w:rFonts w:eastAsia="Arial"/>
                <w:b/>
              </w:rPr>
            </w:pPr>
          </w:p>
        </w:tc>
        <w:tc>
          <w:tcPr>
            <w:tcW w:w="2928" w:type="dxa"/>
          </w:tcPr>
          <w:p w14:paraId="293AF711" w14:textId="77777777" w:rsidR="00FF513B" w:rsidRDefault="00FF513B" w:rsidP="00652FAB">
            <w:pPr>
              <w:spacing w:before="120" w:after="120"/>
              <w:rPr>
                <w:rFonts w:eastAsia="Arial"/>
                <w:b/>
              </w:rPr>
            </w:pPr>
          </w:p>
        </w:tc>
      </w:tr>
    </w:tbl>
    <w:p w14:paraId="674E40B2" w14:textId="77777777" w:rsidR="00FF513B" w:rsidRDefault="00FF513B" w:rsidP="00652FAB">
      <w:pPr>
        <w:spacing w:before="120" w:after="120"/>
        <w:ind w:left="720"/>
        <w:rPr>
          <w:rFonts w:eastAsia="Arial"/>
        </w:rPr>
      </w:pPr>
    </w:p>
    <w:p w14:paraId="4014D5CA" w14:textId="77777777" w:rsidR="00FF513B" w:rsidRDefault="00FF513B" w:rsidP="00652FAB">
      <w:pPr>
        <w:spacing w:before="120" w:after="120"/>
        <w:ind w:left="720"/>
        <w:rPr>
          <w:rFonts w:eastAsia="Arial"/>
        </w:rPr>
      </w:pPr>
    </w:p>
    <w:p w14:paraId="7A5A7A26" w14:textId="77777777" w:rsidR="00FF513B" w:rsidRDefault="00FF513B" w:rsidP="00652FAB">
      <w:pPr>
        <w:spacing w:before="120" w:after="120"/>
        <w:ind w:left="720"/>
        <w:rPr>
          <w:rFonts w:eastAsia="Arial"/>
        </w:rPr>
      </w:pPr>
    </w:p>
    <w:p w14:paraId="7C0D06DA" w14:textId="77777777" w:rsidR="00FF513B" w:rsidRDefault="004C2CE0" w:rsidP="00652FAB">
      <w:pPr>
        <w:keepNext/>
        <w:spacing w:before="120" w:after="120"/>
        <w:ind w:left="720"/>
        <w:rPr>
          <w:rFonts w:eastAsia="Arial"/>
        </w:rPr>
      </w:pPr>
      <w:r>
        <w:rPr>
          <w:rFonts w:eastAsia="Arial"/>
        </w:rPr>
        <w:t>DEFFORMs (Ministry of Defence Forms)</w:t>
      </w:r>
    </w:p>
    <w:p w14:paraId="1ACCCD90" w14:textId="77777777" w:rsidR="00FF513B" w:rsidRDefault="00FF513B" w:rsidP="00652FAB">
      <w:pPr>
        <w:keepNext/>
        <w:spacing w:before="120" w:after="120"/>
        <w:rPr>
          <w:rFonts w:eastAsia="Arial"/>
        </w:rPr>
      </w:pPr>
    </w:p>
    <w:tbl>
      <w:tblPr>
        <w:tblStyle w:val="a1"/>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FF513B" w14:paraId="48D138DF" w14:textId="77777777">
        <w:tc>
          <w:tcPr>
            <w:tcW w:w="2976" w:type="dxa"/>
          </w:tcPr>
          <w:p w14:paraId="3DF6C43C" w14:textId="77777777" w:rsidR="00FF513B" w:rsidRDefault="004C2CE0" w:rsidP="00652FAB">
            <w:pPr>
              <w:spacing w:before="120" w:after="120"/>
              <w:rPr>
                <w:rFonts w:eastAsia="Arial"/>
                <w:b/>
              </w:rPr>
            </w:pPr>
            <w:r>
              <w:rPr>
                <w:rFonts w:eastAsia="Arial"/>
                <w:b/>
              </w:rPr>
              <w:t>DEFFORM No</w:t>
            </w:r>
          </w:p>
        </w:tc>
        <w:tc>
          <w:tcPr>
            <w:tcW w:w="2975" w:type="dxa"/>
          </w:tcPr>
          <w:p w14:paraId="3ED3111B" w14:textId="77777777" w:rsidR="00FF513B" w:rsidRDefault="004C2CE0" w:rsidP="00652FAB">
            <w:pPr>
              <w:spacing w:before="120" w:after="120"/>
              <w:rPr>
                <w:rFonts w:eastAsia="Arial"/>
                <w:b/>
                <w:u w:val="single"/>
              </w:rPr>
            </w:pPr>
            <w:r>
              <w:rPr>
                <w:rFonts w:eastAsia="Arial"/>
                <w:b/>
              </w:rPr>
              <w:t>Version</w:t>
            </w:r>
          </w:p>
        </w:tc>
        <w:tc>
          <w:tcPr>
            <w:tcW w:w="2899" w:type="dxa"/>
          </w:tcPr>
          <w:p w14:paraId="42441472" w14:textId="77777777" w:rsidR="00FF513B" w:rsidRDefault="004C2CE0" w:rsidP="00652FAB">
            <w:pPr>
              <w:spacing w:before="120" w:after="120"/>
              <w:rPr>
                <w:rFonts w:eastAsia="Arial"/>
                <w:b/>
                <w:u w:val="single"/>
              </w:rPr>
            </w:pPr>
            <w:r>
              <w:rPr>
                <w:rFonts w:eastAsia="Arial"/>
                <w:b/>
              </w:rPr>
              <w:t>Description</w:t>
            </w:r>
          </w:p>
        </w:tc>
      </w:tr>
      <w:tr w:rsidR="00FF513B" w14:paraId="507D6670" w14:textId="77777777">
        <w:tc>
          <w:tcPr>
            <w:tcW w:w="2976" w:type="dxa"/>
          </w:tcPr>
          <w:p w14:paraId="1D7FAC97" w14:textId="77777777" w:rsidR="00FF513B" w:rsidRDefault="00FF513B" w:rsidP="00652FAB">
            <w:pPr>
              <w:spacing w:before="120" w:after="120"/>
              <w:rPr>
                <w:rFonts w:eastAsia="Arial"/>
                <w:b/>
              </w:rPr>
            </w:pPr>
          </w:p>
        </w:tc>
        <w:tc>
          <w:tcPr>
            <w:tcW w:w="2975" w:type="dxa"/>
          </w:tcPr>
          <w:p w14:paraId="460CCDB5" w14:textId="77777777" w:rsidR="00FF513B" w:rsidRDefault="00FF513B" w:rsidP="00652FAB">
            <w:pPr>
              <w:spacing w:before="120" w:after="120"/>
              <w:rPr>
                <w:rFonts w:eastAsia="Arial"/>
                <w:b/>
              </w:rPr>
            </w:pPr>
          </w:p>
        </w:tc>
        <w:tc>
          <w:tcPr>
            <w:tcW w:w="2899" w:type="dxa"/>
          </w:tcPr>
          <w:p w14:paraId="743C8313" w14:textId="77777777" w:rsidR="00FF513B" w:rsidRDefault="00FF513B" w:rsidP="00652FAB">
            <w:pPr>
              <w:spacing w:before="120" w:after="120"/>
              <w:rPr>
                <w:rFonts w:eastAsia="Arial"/>
                <w:b/>
              </w:rPr>
            </w:pPr>
          </w:p>
        </w:tc>
      </w:tr>
    </w:tbl>
    <w:p w14:paraId="36603FEE" w14:textId="77777777" w:rsidR="00FF513B" w:rsidRDefault="00FF513B" w:rsidP="00652FAB">
      <w:pPr>
        <w:spacing w:before="120" w:after="120"/>
        <w:rPr>
          <w:rFonts w:eastAsia="Arial"/>
        </w:rPr>
        <w:sectPr w:rsidR="00FF51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25816A26" w14:textId="77777777" w:rsidR="00FF513B" w:rsidRDefault="00FF513B" w:rsidP="00652FAB">
      <w:pPr>
        <w:spacing w:before="120" w:after="120"/>
        <w:rPr>
          <w:rFonts w:eastAsia="Arial"/>
        </w:rPr>
      </w:pPr>
    </w:p>
    <w:sectPr w:rsidR="00FF513B">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4FE2" w14:textId="77777777" w:rsidR="001966F9" w:rsidRDefault="004C2CE0">
      <w:pPr>
        <w:spacing w:after="0"/>
      </w:pPr>
      <w:r>
        <w:separator/>
      </w:r>
    </w:p>
  </w:endnote>
  <w:endnote w:type="continuationSeparator" w:id="0">
    <w:p w14:paraId="138C7775" w14:textId="77777777" w:rsidR="001966F9" w:rsidRDefault="004C2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AF58" w14:textId="77777777" w:rsidR="0065148C" w:rsidRDefault="00651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9236" w14:textId="77777777" w:rsidR="00FF513B" w:rsidRDefault="00FF513B">
    <w:pPr>
      <w:tabs>
        <w:tab w:val="center" w:pos="4513"/>
        <w:tab w:val="right" w:pos="9026"/>
      </w:tabs>
      <w:spacing w:after="0"/>
    </w:pPr>
  </w:p>
  <w:p w14:paraId="1867E06B" w14:textId="516E468E" w:rsidR="00652FAB" w:rsidRDefault="00652FAB" w:rsidP="00652FAB">
    <w:pPr>
      <w:tabs>
        <w:tab w:val="center" w:pos="4513"/>
        <w:tab w:val="right" w:pos="9026"/>
      </w:tabs>
      <w:spacing w:after="0"/>
      <w:rPr>
        <w:rFonts w:eastAsia="Arial"/>
        <w:sz w:val="20"/>
        <w:szCs w:val="20"/>
      </w:rPr>
    </w:pPr>
    <w:r>
      <w:rPr>
        <w:rFonts w:eastAsia="Arial"/>
        <w:sz w:val="20"/>
        <w:szCs w:val="20"/>
      </w:rPr>
      <w:t>Framework Ref: RM</w:t>
    </w:r>
    <w:r w:rsidR="0065148C">
      <w:rPr>
        <w:rFonts w:eastAsia="Arial"/>
        <w:sz w:val="20"/>
        <w:szCs w:val="20"/>
      </w:rPr>
      <w:t>1043.9</w:t>
    </w:r>
    <w:r>
      <w:rPr>
        <w:rFonts w:eastAsia="Arial"/>
        <w:sz w:val="20"/>
        <w:szCs w:val="20"/>
      </w:rPr>
      <w:tab/>
      <w:t xml:space="preserve">                                           </w:t>
    </w:r>
  </w:p>
  <w:p w14:paraId="64191766" w14:textId="6D8EB6D5" w:rsidR="00652FAB" w:rsidRDefault="00652FAB" w:rsidP="00652FAB">
    <w:pP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574D20">
      <w:rPr>
        <w:rFonts w:eastAsia="Arial"/>
        <w:noProof/>
        <w:sz w:val="20"/>
        <w:szCs w:val="20"/>
      </w:rPr>
      <w:t>1</w:t>
    </w:r>
    <w:r>
      <w:rPr>
        <w:rFonts w:eastAsia="Arial"/>
        <w:sz w:val="20"/>
        <w:szCs w:val="20"/>
      </w:rPr>
      <w:fldChar w:fldCharType="end"/>
    </w:r>
  </w:p>
  <w:p w14:paraId="447CED1A" w14:textId="683F1F3D" w:rsidR="00FF513B" w:rsidRPr="00652FAB" w:rsidRDefault="00652FAB" w:rsidP="00652FAB">
    <w:pPr>
      <w:spacing w:after="0"/>
      <w:jc w:val="both"/>
      <w:rPr>
        <w:rFonts w:eastAsia="Arial"/>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C928" w14:textId="77777777" w:rsidR="00FF513B" w:rsidRDefault="00FF513B">
    <w:pPr>
      <w:tabs>
        <w:tab w:val="center" w:pos="4513"/>
        <w:tab w:val="right" w:pos="9026"/>
      </w:tabs>
      <w:spacing w:after="0"/>
    </w:pPr>
  </w:p>
  <w:p w14:paraId="0DB7CF23" w14:textId="77777777" w:rsidR="00FF513B" w:rsidRDefault="004C2CE0">
    <w:pPr>
      <w:tabs>
        <w:tab w:val="center" w:pos="4513"/>
        <w:tab w:val="right" w:pos="9026"/>
      </w:tabs>
      <w:spacing w:after="0"/>
    </w:pPr>
    <w:r>
      <w:t>Framework Ref: RM</w:t>
    </w:r>
    <w:r>
      <w:tab/>
      <w:t xml:space="preserve">                                           </w:t>
    </w:r>
  </w:p>
  <w:p w14:paraId="5F922FC1" w14:textId="77777777" w:rsidR="00FF513B" w:rsidRDefault="004C2CE0">
    <w:pPr>
      <w:tabs>
        <w:tab w:val="center" w:pos="4513"/>
        <w:tab w:val="right" w:pos="9026"/>
      </w:tabs>
      <w:spacing w:after="0"/>
    </w:pPr>
    <w:r>
      <w:t>Project Version: v1.0</w:t>
    </w:r>
    <w:r>
      <w:tab/>
    </w:r>
    <w:r>
      <w:tab/>
    </w:r>
    <w:r>
      <w:tab/>
      <w:t xml:space="preserve"> -1-</w:t>
    </w:r>
  </w:p>
  <w:p w14:paraId="063EE83E" w14:textId="77777777" w:rsidR="00FF513B" w:rsidRDefault="004C2CE0">
    <w:pPr>
      <w:pBdr>
        <w:top w:val="nil"/>
        <w:left w:val="nil"/>
        <w:bottom w:val="nil"/>
        <w:right w:val="nil"/>
        <w:between w:val="nil"/>
      </w:pBdr>
      <w:tabs>
        <w:tab w:val="center" w:pos="4513"/>
        <w:tab w:val="right" w:pos="9026"/>
      </w:tabs>
      <w:spacing w:after="0"/>
      <w:rPr>
        <w:rFonts w:cs="Calibri"/>
      </w:rPr>
    </w:pPr>
    <w:r>
      <w:rPr>
        <w:rFonts w:cs="Calibri"/>
      </w:rPr>
      <w:t xml:space="preserve">Model </w:t>
    </w:r>
    <w:proofErr w:type="gramStart"/>
    <w:r>
      <w:rPr>
        <w:rFonts w:cs="Calibri"/>
      </w:rPr>
      <w:t>Version :</w:t>
    </w:r>
    <w:proofErr w:type="gramEnd"/>
    <w:r>
      <w:rPr>
        <w:rFonts w:cs="Calibri"/>
      </w:rPr>
      <w:t xml:space="preserve"> v2.9</w:t>
    </w:r>
    <w:r>
      <w:rPr>
        <w:rFonts w:cs="Calibri"/>
      </w:rPr>
      <w:tab/>
    </w:r>
    <w:r>
      <w:rPr>
        <w:rFonts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01BA" w14:textId="77777777" w:rsidR="001966F9" w:rsidRDefault="004C2CE0">
      <w:pPr>
        <w:spacing w:after="0"/>
      </w:pPr>
      <w:r>
        <w:separator/>
      </w:r>
    </w:p>
  </w:footnote>
  <w:footnote w:type="continuationSeparator" w:id="0">
    <w:p w14:paraId="4399392D" w14:textId="77777777" w:rsidR="001966F9" w:rsidRDefault="004C2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A0E4" w14:textId="77777777" w:rsidR="0065148C" w:rsidRDefault="00651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4539" w14:textId="77777777" w:rsidR="00FF513B" w:rsidRPr="00652FAB" w:rsidRDefault="004C2CE0">
    <w:pPr>
      <w:pBdr>
        <w:top w:val="nil"/>
        <w:left w:val="nil"/>
        <w:bottom w:val="nil"/>
        <w:right w:val="nil"/>
        <w:between w:val="nil"/>
      </w:pBdr>
      <w:tabs>
        <w:tab w:val="center" w:pos="4513"/>
        <w:tab w:val="right" w:pos="9026"/>
      </w:tabs>
      <w:spacing w:after="0"/>
      <w:rPr>
        <w:rFonts w:eastAsia="Arial"/>
        <w:sz w:val="22"/>
        <w:szCs w:val="22"/>
      </w:rPr>
    </w:pPr>
    <w:r w:rsidRPr="00652FAB">
      <w:rPr>
        <w:rFonts w:eastAsia="Arial"/>
        <w:b/>
        <w:sz w:val="22"/>
        <w:szCs w:val="22"/>
      </w:rPr>
      <w:t xml:space="preserve">Call-Off Schedule 17 (MOD Terms) </w:t>
    </w:r>
  </w:p>
  <w:p w14:paraId="578E7CF6" w14:textId="77777777" w:rsidR="00FF513B" w:rsidRPr="00652FAB" w:rsidRDefault="004C2CE0">
    <w:pPr>
      <w:spacing w:after="0"/>
      <w:rPr>
        <w:rFonts w:eastAsia="Arial"/>
        <w:sz w:val="22"/>
        <w:szCs w:val="22"/>
      </w:rPr>
    </w:pPr>
    <w:r w:rsidRPr="00652FAB">
      <w:rPr>
        <w:rFonts w:eastAsia="Arial"/>
        <w:sz w:val="22"/>
        <w:szCs w:val="22"/>
      </w:rPr>
      <w:t>Call-Off Ref:</w:t>
    </w:r>
  </w:p>
  <w:p w14:paraId="105CE0BB" w14:textId="58C75C8E" w:rsidR="00FF513B" w:rsidRPr="00652FAB" w:rsidRDefault="004C2CE0">
    <w:pPr>
      <w:spacing w:after="0"/>
      <w:rPr>
        <w:rFonts w:eastAsia="Arial"/>
        <w:sz w:val="22"/>
        <w:szCs w:val="22"/>
      </w:rPr>
    </w:pPr>
    <w:r w:rsidRPr="00652FAB">
      <w:rPr>
        <w:rFonts w:eastAsia="Arial"/>
        <w:sz w:val="22"/>
        <w:szCs w:val="22"/>
      </w:rPr>
      <w:t>Crown Copyright 202</w:t>
    </w:r>
    <w:r w:rsidR="00097969" w:rsidRPr="00652FAB">
      <w:rPr>
        <w:rFonts w:eastAsia="Arial"/>
        <w:sz w:val="22"/>
        <w:szCs w:val="22"/>
      </w:rPr>
      <w:t>5</w:t>
    </w:r>
  </w:p>
  <w:p w14:paraId="562626F8" w14:textId="77777777" w:rsidR="00FF513B" w:rsidRDefault="00FF513B">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7074" w14:textId="77777777" w:rsidR="0065148C" w:rsidRDefault="00651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6AB"/>
    <w:multiLevelType w:val="multilevel"/>
    <w:tmpl w:val="0672A7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03AEC"/>
    <w:multiLevelType w:val="multilevel"/>
    <w:tmpl w:val="4FB8D4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970089458">
    <w:abstractNumId w:val="0"/>
  </w:num>
  <w:num w:numId="2" w16cid:durableId="937328018">
    <w:abstractNumId w:val="2"/>
  </w:num>
  <w:num w:numId="3" w16cid:durableId="203672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66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3B"/>
    <w:rsid w:val="00097969"/>
    <w:rsid w:val="000F0BA1"/>
    <w:rsid w:val="001966F9"/>
    <w:rsid w:val="00264BAC"/>
    <w:rsid w:val="0039707B"/>
    <w:rsid w:val="004C2CE0"/>
    <w:rsid w:val="004E78D0"/>
    <w:rsid w:val="00574D20"/>
    <w:rsid w:val="005B7445"/>
    <w:rsid w:val="0065148C"/>
    <w:rsid w:val="00652FAB"/>
    <w:rsid w:val="00771CB2"/>
    <w:rsid w:val="007752E4"/>
    <w:rsid w:val="009E743E"/>
    <w:rsid w:val="00CF48C5"/>
    <w:rsid w:val="00E51EF8"/>
    <w:rsid w:val="00E616BD"/>
    <w:rsid w:val="00ED5320"/>
    <w:rsid w:val="00FF5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6BC29"/>
  <w15:docId w15:val="{C60226AE-7CAC-40E6-B674-F1F61859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eastAsia="STZhongsong"/>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styleId="ListParagraph">
    <w:name w:val="List Paragraph"/>
    <w:basedOn w:val="Normal"/>
    <w:uiPriority w:val="34"/>
    <w:qFormat/>
    <w:rsid w:val="007752E4"/>
    <w:pPr>
      <w:spacing w:line="276" w:lineRule="auto"/>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99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AFfy1N10rnNX9NxIR9WikmXIg==">AMUW2mWq4C8wncVsmjf/ggMe11M8NqSnzweuMhL9Ox99mxq8kRBGD6yzR+J4wu2ADvN0ouYJxTU0qYrAuef2OumRXTrl4ZcSXSfreOn5p3K2xmRfCPeSdWAzpDo3Qdruep4/79t3bYjI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1025</Words>
  <Characters>5844</Characters>
  <Application>Microsoft Office Word</Application>
  <DocSecurity>0</DocSecurity>
  <Lines>48</Lines>
  <Paragraphs>13</Paragraphs>
  <ScaleCrop>false</ScaleCrop>
  <Company>DWF LLP</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Thomas</cp:lastModifiedBy>
  <cp:revision>15</cp:revision>
  <dcterms:created xsi:type="dcterms:W3CDTF">2020-02-27T11:34:00Z</dcterms:created>
  <dcterms:modified xsi:type="dcterms:W3CDTF">2025-05-09T16:30:00Z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