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B220A" w14:textId="2D068FA9" w:rsidR="008612D5" w:rsidRPr="00AE1F87" w:rsidRDefault="00461D95" w:rsidP="00AE1F87">
      <w:pPr>
        <w:pBdr>
          <w:top w:val="nil"/>
          <w:left w:val="nil"/>
          <w:bottom w:val="nil"/>
          <w:right w:val="nil"/>
          <w:between w:val="nil"/>
        </w:pBdr>
        <w:tabs>
          <w:tab w:val="center" w:pos="4153"/>
          <w:tab w:val="right" w:pos="8306"/>
          <w:tab w:val="left" w:pos="720"/>
          <w:tab w:val="center" w:pos="4513"/>
          <w:tab w:val="right" w:pos="9026"/>
        </w:tabs>
        <w:spacing w:before="120" w:after="120" w:line="240" w:lineRule="auto"/>
        <w:rPr>
          <w:rFonts w:eastAsia="Arial"/>
          <w:b/>
          <w:smallCaps/>
          <w:color w:val="000000"/>
          <w:sz w:val="36"/>
          <w:szCs w:val="36"/>
        </w:rPr>
      </w:pPr>
      <w:r>
        <w:rPr>
          <w:rFonts w:eastAsia="Arial"/>
          <w:b/>
          <w:color w:val="000000"/>
          <w:sz w:val="36"/>
          <w:szCs w:val="36"/>
        </w:rPr>
        <w:t>Call-Off Schedule 5 (Pricing Details</w:t>
      </w:r>
      <w:r w:rsidR="009319D7">
        <w:rPr>
          <w:rFonts w:eastAsia="Arial"/>
          <w:b/>
          <w:color w:val="000000"/>
          <w:sz w:val="36"/>
          <w:szCs w:val="36"/>
        </w:rPr>
        <w:t xml:space="preserve"> and Expenses Policy</w:t>
      </w:r>
      <w:r>
        <w:rPr>
          <w:rFonts w:eastAsia="Arial"/>
          <w:b/>
          <w:color w:val="000000"/>
          <w:sz w:val="36"/>
          <w:szCs w:val="36"/>
        </w:rPr>
        <w:t>)</w:t>
      </w:r>
    </w:p>
    <w:p w14:paraId="4C785651" w14:textId="56A788BA" w:rsidR="00263749" w:rsidRDefault="00263749" w:rsidP="00AE1F87">
      <w:pPr>
        <w:spacing w:before="120" w:after="120" w:line="240" w:lineRule="auto"/>
        <w:jc w:val="left"/>
        <w:rPr>
          <w:rFonts w:eastAsia="Arial"/>
          <w:b/>
        </w:rPr>
      </w:pPr>
    </w:p>
    <w:p w14:paraId="3F9437AB" w14:textId="608DD747" w:rsidR="008612D5" w:rsidRPr="00E35C36" w:rsidRDefault="00461D95" w:rsidP="00AE1F87">
      <w:pPr>
        <w:spacing w:before="120" w:after="120" w:line="240" w:lineRule="auto"/>
        <w:jc w:val="left"/>
        <w:rPr>
          <w:rFonts w:eastAsia="Arial"/>
          <w:b/>
          <w:i/>
        </w:rPr>
      </w:pPr>
      <w:r w:rsidRPr="00E35C36">
        <w:rPr>
          <w:rFonts w:eastAsia="Arial"/>
          <w:b/>
          <w:i/>
          <w:highlight w:val="yellow"/>
        </w:rPr>
        <w:t>[</w:t>
      </w:r>
      <w:r w:rsidR="00E35C36" w:rsidRPr="00E35C36">
        <w:rPr>
          <w:rFonts w:eastAsia="Arial"/>
          <w:b/>
          <w:i/>
          <w:highlight w:val="yellow"/>
        </w:rPr>
        <w:t xml:space="preserve">Buyer </w:t>
      </w:r>
      <w:r w:rsidRPr="00E35C36">
        <w:rPr>
          <w:rFonts w:eastAsia="Arial"/>
          <w:b/>
          <w:i/>
          <w:highlight w:val="yellow"/>
        </w:rPr>
        <w:t xml:space="preserve">Guidance: </w:t>
      </w:r>
      <w:r w:rsidR="002B1FD8">
        <w:t xml:space="preserve">This Schedule should be used to show further detailed pricing information (including Supplier Staff rate cards for each Supplier Staff jurisdiction where work is undertaken in accordance with the applicable pricing mechanism for each Service provided), where an </w:t>
      </w:r>
      <w:r w:rsidR="009319D7">
        <w:t>e</w:t>
      </w:r>
      <w:r w:rsidR="002B1FD8">
        <w:t xml:space="preserve">xpenses </w:t>
      </w:r>
      <w:r w:rsidR="009319D7">
        <w:t>p</w:t>
      </w:r>
      <w:r w:rsidR="002B1FD8">
        <w:t>olicy is used, in addition to the pricing set out in the Order Form</w:t>
      </w:r>
      <w:r w:rsidRPr="00E35C36">
        <w:rPr>
          <w:rFonts w:eastAsia="Arial"/>
          <w:b/>
          <w:i/>
          <w:highlight w:val="yellow"/>
        </w:rPr>
        <w:t>]</w:t>
      </w:r>
      <w:r w:rsidRPr="00E35C36">
        <w:rPr>
          <w:rFonts w:eastAsia="Arial"/>
          <w:b/>
          <w:i/>
        </w:rPr>
        <w:t xml:space="preserve"> </w:t>
      </w:r>
    </w:p>
    <w:p w14:paraId="7B0FF201" w14:textId="6051D34D" w:rsidR="001F1290" w:rsidRPr="00632033" w:rsidRDefault="001F1290" w:rsidP="001F1290">
      <w:pPr>
        <w:pStyle w:val="GPSL1CLAUSEHEADING"/>
        <w:numPr>
          <w:ilvl w:val="0"/>
          <w:numId w:val="18"/>
        </w:numPr>
        <w:tabs>
          <w:tab w:val="clear" w:pos="142"/>
          <w:tab w:val="left" w:pos="0"/>
        </w:tabs>
        <w:spacing w:after="120"/>
        <w:rPr>
          <w:rFonts w:ascii="Arial" w:hAnsi="Arial"/>
        </w:rPr>
      </w:pPr>
      <w:r w:rsidRPr="00632033">
        <w:rPr>
          <w:rFonts w:ascii="Arial" w:hAnsi="Arial"/>
          <w:caps w:val="0"/>
        </w:rPr>
        <w:t xml:space="preserve">How Framework Prices are used to calculate Call-Off </w:t>
      </w:r>
      <w:r w:rsidR="00F33B31">
        <w:rPr>
          <w:rFonts w:ascii="Arial" w:hAnsi="Arial"/>
          <w:caps w:val="0"/>
        </w:rPr>
        <w:t xml:space="preserve">Contract </w:t>
      </w:r>
      <w:r w:rsidRPr="00632033">
        <w:rPr>
          <w:rFonts w:ascii="Arial" w:hAnsi="Arial"/>
          <w:caps w:val="0"/>
        </w:rPr>
        <w:t>Charges</w:t>
      </w:r>
    </w:p>
    <w:p w14:paraId="40865803" w14:textId="5734C452" w:rsidR="002B1FD8" w:rsidRPr="002B1FD8" w:rsidRDefault="002B1FD8" w:rsidP="00632033">
      <w:pPr>
        <w:numPr>
          <w:ilvl w:val="1"/>
          <w:numId w:val="18"/>
        </w:numPr>
        <w:tabs>
          <w:tab w:val="left" w:pos="709"/>
          <w:tab w:val="left" w:pos="1440"/>
          <w:tab w:val="left" w:pos="1985"/>
          <w:tab w:val="left" w:pos="2127"/>
        </w:tabs>
        <w:overflowPunct/>
        <w:autoSpaceDE/>
        <w:autoSpaceDN/>
        <w:adjustRightInd/>
        <w:spacing w:before="120" w:after="120" w:line="240" w:lineRule="auto"/>
        <w:jc w:val="left"/>
        <w:textAlignment w:val="auto"/>
        <w:rPr>
          <w:color w:val="000000"/>
        </w:rPr>
      </w:pPr>
      <w:r w:rsidRPr="002B1FD8">
        <w:rPr>
          <w:color w:val="000000"/>
        </w:rPr>
        <w:t>The Framework Prices</w:t>
      </w:r>
      <w:r>
        <w:rPr>
          <w:color w:val="000000"/>
        </w:rPr>
        <w:t xml:space="preserve"> </w:t>
      </w:r>
      <w:r w:rsidRPr="002B1FD8">
        <w:rPr>
          <w:color w:val="000000"/>
        </w:rPr>
        <w:t>will be used as the basis for the Charges (and are maximums that the Supplier may charge) under this Call-Off Contract.</w:t>
      </w:r>
    </w:p>
    <w:p w14:paraId="7CEB37AA" w14:textId="77777777" w:rsidR="002B1FD8" w:rsidRDefault="002B1FD8" w:rsidP="002B1FD8">
      <w:pPr>
        <w:numPr>
          <w:ilvl w:val="1"/>
          <w:numId w:val="18"/>
        </w:numPr>
        <w:tabs>
          <w:tab w:val="left" w:pos="709"/>
        </w:tabs>
        <w:overflowPunct/>
        <w:autoSpaceDE/>
        <w:autoSpaceDN/>
        <w:adjustRightInd/>
        <w:spacing w:before="120" w:after="120" w:line="240" w:lineRule="auto"/>
        <w:jc w:val="left"/>
        <w:textAlignment w:val="auto"/>
        <w:rPr>
          <w:color w:val="000000"/>
        </w:rPr>
      </w:pPr>
      <w:r>
        <w:rPr>
          <w:color w:val="000000"/>
        </w:rPr>
        <w:t>The Charges:</w:t>
      </w:r>
    </w:p>
    <w:p w14:paraId="66C36705" w14:textId="77777777" w:rsidR="002B1FD8" w:rsidRPr="00B038BB" w:rsidRDefault="002B1FD8" w:rsidP="00632033">
      <w:pPr>
        <w:numPr>
          <w:ilvl w:val="2"/>
          <w:numId w:val="18"/>
        </w:numPr>
        <w:tabs>
          <w:tab w:val="left" w:pos="1985"/>
          <w:tab w:val="left" w:pos="2127"/>
        </w:tabs>
        <w:overflowPunct/>
        <w:autoSpaceDE/>
        <w:autoSpaceDN/>
        <w:adjustRightInd/>
        <w:spacing w:before="120" w:after="120" w:line="240" w:lineRule="auto"/>
        <w:ind w:left="1560" w:hanging="851"/>
        <w:jc w:val="left"/>
        <w:textAlignment w:val="auto"/>
        <w:rPr>
          <w:color w:val="000000"/>
        </w:rPr>
      </w:pPr>
      <w:r w:rsidRPr="00B038BB">
        <w:rPr>
          <w:color w:val="000000"/>
        </w:rPr>
        <w:t>shall be calculated in accordance with the terms of the Call</w:t>
      </w:r>
      <w:r>
        <w:rPr>
          <w:color w:val="000000"/>
        </w:rPr>
        <w:t>-</w:t>
      </w:r>
      <w:r w:rsidRPr="00B038BB">
        <w:rPr>
          <w:color w:val="000000"/>
        </w:rPr>
        <w:t xml:space="preserve">Off Contract and in particular in accordance with the terms of the Order Form using </w:t>
      </w:r>
      <w:proofErr w:type="gramStart"/>
      <w:r w:rsidRPr="00B038BB">
        <w:rPr>
          <w:color w:val="000000"/>
        </w:rPr>
        <w:t>all of</w:t>
      </w:r>
      <w:proofErr w:type="gramEnd"/>
      <w:r w:rsidRPr="00B038BB">
        <w:rPr>
          <w:color w:val="000000"/>
        </w:rPr>
        <w:t xml:space="preserve"> the following: </w:t>
      </w:r>
    </w:p>
    <w:p w14:paraId="71542B2A" w14:textId="77777777" w:rsidR="002B1FD8" w:rsidRDefault="002B1FD8" w:rsidP="00632033">
      <w:pPr>
        <w:numPr>
          <w:ilvl w:val="3"/>
          <w:numId w:val="18"/>
        </w:numPr>
        <w:suppressAutoHyphens/>
        <w:overflowPunct/>
        <w:autoSpaceDE/>
        <w:autoSpaceDN/>
        <w:adjustRightInd/>
        <w:spacing w:after="120" w:line="240" w:lineRule="auto"/>
        <w:ind w:left="2552" w:hanging="992"/>
        <w:jc w:val="left"/>
        <w:textAlignment w:val="auto"/>
        <w:rPr>
          <w:color w:val="000000"/>
        </w:rPr>
      </w:pPr>
      <w:r>
        <w:rPr>
          <w:color w:val="000000"/>
        </w:rPr>
        <w:t>the agreed Day Rates for Supplier Staff and/or rates for Studios (which are exclusive of any applicable expenses and VAT) incorporated into the Call-Off Contract; and</w:t>
      </w:r>
    </w:p>
    <w:p w14:paraId="4508F03B" w14:textId="77777777" w:rsidR="002B1FD8" w:rsidRDefault="002B1FD8" w:rsidP="00632033">
      <w:pPr>
        <w:numPr>
          <w:ilvl w:val="3"/>
          <w:numId w:val="18"/>
        </w:numPr>
        <w:suppressAutoHyphens/>
        <w:overflowPunct/>
        <w:autoSpaceDE/>
        <w:autoSpaceDN/>
        <w:adjustRightInd/>
        <w:spacing w:after="120" w:line="240" w:lineRule="auto"/>
        <w:ind w:left="2552" w:hanging="992"/>
        <w:jc w:val="left"/>
        <w:textAlignment w:val="auto"/>
        <w:rPr>
          <w:color w:val="000000"/>
        </w:rPr>
      </w:pPr>
      <w:r>
        <w:rPr>
          <w:color w:val="000000"/>
        </w:rPr>
        <w:t xml:space="preserve">the number of </w:t>
      </w:r>
      <w:proofErr w:type="gramStart"/>
      <w:r>
        <w:rPr>
          <w:color w:val="000000"/>
        </w:rPr>
        <w:t>Work Days</w:t>
      </w:r>
      <w:proofErr w:type="gramEnd"/>
      <w:r>
        <w:rPr>
          <w:color w:val="000000"/>
        </w:rPr>
        <w:t>, or pro rata portion of a Work Day, that Supplier Staff work solely to provide the Deliverables;</w:t>
      </w:r>
    </w:p>
    <w:p w14:paraId="02F4D896" w14:textId="77777777" w:rsidR="002B1FD8" w:rsidRDefault="002B1FD8" w:rsidP="00632033">
      <w:pPr>
        <w:numPr>
          <w:ilvl w:val="2"/>
          <w:numId w:val="18"/>
        </w:numPr>
        <w:tabs>
          <w:tab w:val="left" w:pos="1985"/>
          <w:tab w:val="left" w:pos="2127"/>
        </w:tabs>
        <w:overflowPunct/>
        <w:autoSpaceDE/>
        <w:autoSpaceDN/>
        <w:adjustRightInd/>
        <w:spacing w:before="120" w:after="120" w:line="240" w:lineRule="auto"/>
        <w:ind w:left="1560" w:hanging="851"/>
        <w:jc w:val="left"/>
        <w:textAlignment w:val="auto"/>
        <w:rPr>
          <w:color w:val="000000"/>
        </w:rPr>
      </w:pPr>
      <w:r>
        <w:rPr>
          <w:color w:val="000000"/>
        </w:rPr>
        <w:t>will be broken down in sufficient detail for the Buyer to verify the accuracy of any invoice including but not limited to:</w:t>
      </w:r>
    </w:p>
    <w:p w14:paraId="06259B1B" w14:textId="77777777" w:rsidR="002B1FD8" w:rsidRDefault="002B1FD8" w:rsidP="00632033">
      <w:pPr>
        <w:numPr>
          <w:ilvl w:val="3"/>
          <w:numId w:val="18"/>
        </w:numPr>
        <w:suppressAutoHyphens/>
        <w:overflowPunct/>
        <w:autoSpaceDE/>
        <w:autoSpaceDN/>
        <w:adjustRightInd/>
        <w:spacing w:after="120" w:line="240" w:lineRule="auto"/>
        <w:ind w:left="2552" w:hanging="992"/>
        <w:jc w:val="left"/>
        <w:textAlignment w:val="auto"/>
        <w:rPr>
          <w:color w:val="000000"/>
        </w:rPr>
      </w:pPr>
      <w:r>
        <w:rPr>
          <w:color w:val="000000"/>
        </w:rPr>
        <w:t xml:space="preserve">a role description for each member of the Supplier </w:t>
      </w:r>
      <w:proofErr w:type="gramStart"/>
      <w:r>
        <w:rPr>
          <w:color w:val="000000"/>
        </w:rPr>
        <w:t>Staff;</w:t>
      </w:r>
      <w:proofErr w:type="gramEnd"/>
    </w:p>
    <w:p w14:paraId="6BBC1F85" w14:textId="77777777" w:rsidR="002B1FD8" w:rsidRDefault="002B1FD8" w:rsidP="00632033">
      <w:pPr>
        <w:numPr>
          <w:ilvl w:val="3"/>
          <w:numId w:val="18"/>
        </w:numPr>
        <w:suppressAutoHyphens/>
        <w:overflowPunct/>
        <w:autoSpaceDE/>
        <w:autoSpaceDN/>
        <w:adjustRightInd/>
        <w:spacing w:after="120" w:line="240" w:lineRule="auto"/>
        <w:ind w:left="2552" w:hanging="992"/>
        <w:jc w:val="left"/>
        <w:textAlignment w:val="auto"/>
        <w:rPr>
          <w:color w:val="000000"/>
        </w:rPr>
      </w:pPr>
      <w:r>
        <w:rPr>
          <w:color w:val="000000"/>
        </w:rPr>
        <w:t xml:space="preserve">a </w:t>
      </w:r>
      <w:proofErr w:type="gramStart"/>
      <w:r>
        <w:rPr>
          <w:color w:val="000000"/>
        </w:rPr>
        <w:t>Studios</w:t>
      </w:r>
      <w:proofErr w:type="gramEnd"/>
      <w:r>
        <w:rPr>
          <w:color w:val="000000"/>
        </w:rPr>
        <w:t xml:space="preserve"> description (if applicable);</w:t>
      </w:r>
    </w:p>
    <w:p w14:paraId="2B121171" w14:textId="77777777" w:rsidR="002B1FD8" w:rsidRDefault="002B1FD8" w:rsidP="00632033">
      <w:pPr>
        <w:numPr>
          <w:ilvl w:val="3"/>
          <w:numId w:val="18"/>
        </w:numPr>
        <w:suppressAutoHyphens/>
        <w:overflowPunct/>
        <w:autoSpaceDE/>
        <w:autoSpaceDN/>
        <w:adjustRightInd/>
        <w:spacing w:after="120" w:line="240" w:lineRule="auto"/>
        <w:ind w:left="2552" w:hanging="992"/>
        <w:jc w:val="left"/>
        <w:textAlignment w:val="auto"/>
        <w:rPr>
          <w:color w:val="000000"/>
        </w:rPr>
      </w:pPr>
      <w:r>
        <w:rPr>
          <w:color w:val="000000"/>
        </w:rPr>
        <w:t xml:space="preserve">the agreed Day Rate for each member of Supplier </w:t>
      </w:r>
      <w:proofErr w:type="gramStart"/>
      <w:r>
        <w:rPr>
          <w:color w:val="000000"/>
        </w:rPr>
        <w:t>Staff;</w:t>
      </w:r>
      <w:proofErr w:type="gramEnd"/>
    </w:p>
    <w:p w14:paraId="6F33E866" w14:textId="77777777" w:rsidR="002B1FD8" w:rsidRDefault="002B1FD8" w:rsidP="00632033">
      <w:pPr>
        <w:numPr>
          <w:ilvl w:val="3"/>
          <w:numId w:val="18"/>
        </w:numPr>
        <w:suppressAutoHyphens/>
        <w:overflowPunct/>
        <w:autoSpaceDE/>
        <w:autoSpaceDN/>
        <w:adjustRightInd/>
        <w:spacing w:after="120" w:line="240" w:lineRule="auto"/>
        <w:ind w:left="2552" w:hanging="992"/>
        <w:jc w:val="left"/>
        <w:textAlignment w:val="auto"/>
        <w:rPr>
          <w:color w:val="000000"/>
        </w:rPr>
      </w:pPr>
      <w:r>
        <w:rPr>
          <w:color w:val="000000"/>
        </w:rPr>
        <w:t xml:space="preserve">any Reimbursable Expenses charged for each </w:t>
      </w:r>
      <w:proofErr w:type="gramStart"/>
      <w:r>
        <w:rPr>
          <w:color w:val="000000"/>
        </w:rPr>
        <w:t>Work Day</w:t>
      </w:r>
      <w:proofErr w:type="gramEnd"/>
      <w:r>
        <w:rPr>
          <w:color w:val="000000"/>
        </w:rPr>
        <w:t xml:space="preserve"> for each member of Supplier Staff, which must be in accordance with the Buyer’s expenses policy in Annex 1 of this Schedule (if applicable);</w:t>
      </w:r>
    </w:p>
    <w:p w14:paraId="356794C8" w14:textId="77777777" w:rsidR="002B1FD8" w:rsidRDefault="002B1FD8" w:rsidP="00632033">
      <w:pPr>
        <w:numPr>
          <w:ilvl w:val="3"/>
          <w:numId w:val="18"/>
        </w:numPr>
        <w:suppressAutoHyphens/>
        <w:overflowPunct/>
        <w:autoSpaceDE/>
        <w:autoSpaceDN/>
        <w:adjustRightInd/>
        <w:spacing w:after="120" w:line="240" w:lineRule="auto"/>
        <w:ind w:left="2552" w:hanging="992"/>
        <w:jc w:val="left"/>
        <w:textAlignment w:val="auto"/>
        <w:rPr>
          <w:color w:val="000000"/>
        </w:rPr>
      </w:pPr>
      <w:r>
        <w:rPr>
          <w:color w:val="000000"/>
        </w:rPr>
        <w:t xml:space="preserve">the number of </w:t>
      </w:r>
      <w:proofErr w:type="gramStart"/>
      <w:r>
        <w:rPr>
          <w:color w:val="000000"/>
        </w:rPr>
        <w:t>Work Days</w:t>
      </w:r>
      <w:proofErr w:type="gramEnd"/>
      <w:r>
        <w:rPr>
          <w:color w:val="000000"/>
        </w:rPr>
        <w:t>, or pro rata for every part day, each member of Supplier Staff will actively be engaged in providing the Deliverables;</w:t>
      </w:r>
    </w:p>
    <w:p w14:paraId="61C37CB8" w14:textId="77777777" w:rsidR="002B1FD8" w:rsidRDefault="002B1FD8" w:rsidP="00632033">
      <w:pPr>
        <w:numPr>
          <w:ilvl w:val="3"/>
          <w:numId w:val="18"/>
        </w:numPr>
        <w:suppressAutoHyphens/>
        <w:overflowPunct/>
        <w:autoSpaceDE/>
        <w:autoSpaceDN/>
        <w:adjustRightInd/>
        <w:spacing w:after="120" w:line="240" w:lineRule="auto"/>
        <w:ind w:left="2552" w:hanging="992"/>
        <w:jc w:val="left"/>
        <w:textAlignment w:val="auto"/>
        <w:rPr>
          <w:color w:val="000000"/>
        </w:rPr>
      </w:pPr>
      <w:r>
        <w:rPr>
          <w:color w:val="000000"/>
        </w:rPr>
        <w:t>the total cost for all Supplier Staff roles; and</w:t>
      </w:r>
    </w:p>
    <w:p w14:paraId="2394844C" w14:textId="733E6978" w:rsidR="002B1FD8" w:rsidRDefault="002B1FD8" w:rsidP="00632033">
      <w:pPr>
        <w:numPr>
          <w:ilvl w:val="3"/>
          <w:numId w:val="18"/>
        </w:numPr>
        <w:suppressAutoHyphens/>
        <w:overflowPunct/>
        <w:autoSpaceDE/>
        <w:autoSpaceDN/>
        <w:adjustRightInd/>
        <w:spacing w:after="120" w:line="240" w:lineRule="auto"/>
        <w:ind w:left="2552" w:hanging="992"/>
        <w:jc w:val="left"/>
        <w:textAlignment w:val="auto"/>
        <w:rPr>
          <w:color w:val="000000"/>
        </w:rPr>
      </w:pPr>
      <w:r>
        <w:rPr>
          <w:color w:val="000000"/>
        </w:rPr>
        <w:t xml:space="preserve">the total cost for providing the </w:t>
      </w:r>
      <w:proofErr w:type="gramStart"/>
      <w:r>
        <w:rPr>
          <w:color w:val="000000"/>
        </w:rPr>
        <w:t>Deliverables</w:t>
      </w:r>
      <w:r w:rsidR="00682A32">
        <w:rPr>
          <w:color w:val="000000"/>
        </w:rPr>
        <w:t>;</w:t>
      </w:r>
      <w:proofErr w:type="gramEnd"/>
    </w:p>
    <w:p w14:paraId="13A42F34" w14:textId="77777777" w:rsidR="002B1FD8" w:rsidRDefault="002B1FD8" w:rsidP="00632033">
      <w:pPr>
        <w:numPr>
          <w:ilvl w:val="2"/>
          <w:numId w:val="18"/>
        </w:numPr>
        <w:tabs>
          <w:tab w:val="left" w:pos="1985"/>
          <w:tab w:val="left" w:pos="2127"/>
        </w:tabs>
        <w:overflowPunct/>
        <w:autoSpaceDE/>
        <w:autoSpaceDN/>
        <w:adjustRightInd/>
        <w:spacing w:before="120" w:after="120" w:line="240" w:lineRule="auto"/>
        <w:ind w:left="1560" w:hanging="851"/>
        <w:jc w:val="left"/>
        <w:textAlignment w:val="auto"/>
        <w:rPr>
          <w:color w:val="000000"/>
        </w:rPr>
      </w:pPr>
      <w:r>
        <w:rPr>
          <w:color w:val="000000"/>
        </w:rPr>
        <w:t xml:space="preserve">cannot be increased except as specifically permitted by the Call-Off Contract and </w:t>
      </w:r>
      <w:proofErr w:type="gramStart"/>
      <w:r>
        <w:rPr>
          <w:color w:val="000000"/>
        </w:rPr>
        <w:t>in particular shall</w:t>
      </w:r>
      <w:proofErr w:type="gramEnd"/>
      <w:r>
        <w:rPr>
          <w:color w:val="000000"/>
        </w:rPr>
        <w:t xml:space="preserve"> only be subject to Indexation where specifically stated in the Order Form; and</w:t>
      </w:r>
    </w:p>
    <w:p w14:paraId="1CB39E55" w14:textId="77777777" w:rsidR="002B1FD8" w:rsidRDefault="002B1FD8" w:rsidP="00632033">
      <w:pPr>
        <w:numPr>
          <w:ilvl w:val="2"/>
          <w:numId w:val="18"/>
        </w:numPr>
        <w:tabs>
          <w:tab w:val="left" w:pos="1985"/>
          <w:tab w:val="left" w:pos="2127"/>
        </w:tabs>
        <w:overflowPunct/>
        <w:autoSpaceDE/>
        <w:autoSpaceDN/>
        <w:adjustRightInd/>
        <w:spacing w:before="120" w:after="120" w:line="240" w:lineRule="auto"/>
        <w:ind w:left="1560" w:hanging="851"/>
        <w:jc w:val="left"/>
        <w:textAlignment w:val="auto"/>
        <w:rPr>
          <w:color w:val="000000"/>
        </w:rPr>
      </w:pPr>
      <w:r>
        <w:rPr>
          <w:color w:val="000000"/>
        </w:rPr>
        <w:t>shall not be impacted by any change to the Framework Prices.</w:t>
      </w:r>
    </w:p>
    <w:p w14:paraId="41DBA4C3" w14:textId="77777777" w:rsidR="002B1FD8" w:rsidRDefault="002B1FD8" w:rsidP="002B1FD8">
      <w:pPr>
        <w:numPr>
          <w:ilvl w:val="1"/>
          <w:numId w:val="18"/>
        </w:numPr>
        <w:suppressAutoHyphens/>
        <w:overflowPunct/>
        <w:autoSpaceDE/>
        <w:autoSpaceDN/>
        <w:adjustRightInd/>
        <w:spacing w:after="120" w:line="240" w:lineRule="auto"/>
        <w:jc w:val="left"/>
        <w:textAlignment w:val="auto"/>
        <w:rPr>
          <w:color w:val="000000"/>
        </w:rPr>
      </w:pPr>
      <w:r>
        <w:rPr>
          <w:color w:val="000000"/>
        </w:rPr>
        <w:t>Where a capped or fixed Charge has been agreed for a particular Deliverable:</w:t>
      </w:r>
    </w:p>
    <w:p w14:paraId="224CB584" w14:textId="75CAFBC7" w:rsidR="002B1FD8" w:rsidRDefault="002B1FD8" w:rsidP="00632033">
      <w:pPr>
        <w:numPr>
          <w:ilvl w:val="2"/>
          <w:numId w:val="18"/>
        </w:numPr>
        <w:tabs>
          <w:tab w:val="left" w:pos="1985"/>
          <w:tab w:val="left" w:pos="2127"/>
        </w:tabs>
        <w:overflowPunct/>
        <w:autoSpaceDE/>
        <w:autoSpaceDN/>
        <w:adjustRightInd/>
        <w:spacing w:before="120" w:after="120" w:line="240" w:lineRule="auto"/>
        <w:ind w:left="1560" w:hanging="851"/>
        <w:jc w:val="left"/>
        <w:textAlignment w:val="auto"/>
        <w:rPr>
          <w:color w:val="000000"/>
        </w:rPr>
      </w:pPr>
      <w:r>
        <w:rPr>
          <w:color w:val="000000"/>
        </w:rPr>
        <w:lastRenderedPageBreak/>
        <w:t>the Supplier shall continue</w:t>
      </w:r>
      <w:r w:rsidRPr="002050D1">
        <w:rPr>
          <w:color w:val="000000"/>
        </w:rPr>
        <w:t xml:space="preserve"> </w:t>
      </w:r>
      <w:r>
        <w:rPr>
          <w:color w:val="000000"/>
        </w:rPr>
        <w:t>to work on the Deliverable at its own cost and expense until it is satisfactorily complete and accepted by the Buyer; and</w:t>
      </w:r>
    </w:p>
    <w:p w14:paraId="73DC5946" w14:textId="77777777" w:rsidR="002B1FD8" w:rsidRPr="00B038BB" w:rsidRDefault="002B1FD8" w:rsidP="00632033">
      <w:pPr>
        <w:numPr>
          <w:ilvl w:val="2"/>
          <w:numId w:val="18"/>
        </w:numPr>
        <w:tabs>
          <w:tab w:val="left" w:pos="1985"/>
          <w:tab w:val="left" w:pos="2127"/>
        </w:tabs>
        <w:overflowPunct/>
        <w:autoSpaceDE/>
        <w:autoSpaceDN/>
        <w:adjustRightInd/>
        <w:spacing w:before="120" w:after="120" w:line="240" w:lineRule="auto"/>
        <w:ind w:left="1560" w:hanging="851"/>
        <w:jc w:val="left"/>
        <w:textAlignment w:val="auto"/>
        <w:rPr>
          <w:color w:val="000000"/>
        </w:rPr>
      </w:pPr>
      <w:r>
        <w:rPr>
          <w:color w:val="000000"/>
        </w:rPr>
        <w:t>the Buyer will have no obligation or liability to pay any additional Charges or cost of any part of the Deliverables yet to be completed and/or Delivered after the capped or fixed Charge is exceeded by the Supplier’s costs.</w:t>
      </w:r>
    </w:p>
    <w:p w14:paraId="6759C7D7" w14:textId="77777777" w:rsidR="002B1FD8" w:rsidRDefault="002B1FD8" w:rsidP="002B1FD8">
      <w:pPr>
        <w:numPr>
          <w:ilvl w:val="1"/>
          <w:numId w:val="18"/>
        </w:numPr>
        <w:tabs>
          <w:tab w:val="left" w:pos="1985"/>
          <w:tab w:val="left" w:pos="2127"/>
        </w:tabs>
        <w:overflowPunct/>
        <w:autoSpaceDE/>
        <w:autoSpaceDN/>
        <w:adjustRightInd/>
        <w:spacing w:before="120" w:after="120" w:line="240" w:lineRule="auto"/>
        <w:jc w:val="left"/>
        <w:textAlignment w:val="auto"/>
        <w:rPr>
          <w:color w:val="000000"/>
        </w:rPr>
      </w:pPr>
      <w:r w:rsidRPr="002050D1">
        <w:rPr>
          <w:color w:val="000000"/>
        </w:rPr>
        <w:t xml:space="preserve">All risks or contingencies will be included in the Charges. </w:t>
      </w:r>
    </w:p>
    <w:p w14:paraId="7A547538" w14:textId="14C5F265" w:rsidR="002B1FD8" w:rsidRPr="00632033" w:rsidRDefault="002B1FD8" w:rsidP="00632033">
      <w:pPr>
        <w:numPr>
          <w:ilvl w:val="1"/>
          <w:numId w:val="18"/>
        </w:numPr>
        <w:tabs>
          <w:tab w:val="left" w:pos="1985"/>
          <w:tab w:val="left" w:pos="2127"/>
        </w:tabs>
        <w:overflowPunct/>
        <w:autoSpaceDE/>
        <w:autoSpaceDN/>
        <w:adjustRightInd/>
        <w:spacing w:before="120" w:after="120" w:line="240" w:lineRule="auto"/>
        <w:jc w:val="left"/>
        <w:textAlignment w:val="auto"/>
        <w:rPr>
          <w:color w:val="000000"/>
        </w:rPr>
      </w:pPr>
      <w:r>
        <w:rPr>
          <w:color w:val="000000"/>
        </w:rPr>
        <w:t>Any variation to the Charges payable under this Call</w:t>
      </w:r>
      <w:r w:rsidR="00682A32">
        <w:rPr>
          <w:color w:val="000000"/>
        </w:rPr>
        <w:t>-</w:t>
      </w:r>
      <w:r>
        <w:rPr>
          <w:color w:val="000000"/>
        </w:rPr>
        <w:t>Off Contract must be agreed between the Supplier and the Buyer and implemented using the procedure for altering Charges in accordance with the provisions of this Schedule.</w:t>
      </w:r>
    </w:p>
    <w:p w14:paraId="1521D7B0" w14:textId="77777777" w:rsidR="002B1FD8" w:rsidRPr="00632033" w:rsidRDefault="002B1FD8" w:rsidP="00632033">
      <w:pPr>
        <w:numPr>
          <w:ilvl w:val="1"/>
          <w:numId w:val="18"/>
        </w:numPr>
        <w:tabs>
          <w:tab w:val="left" w:pos="1985"/>
          <w:tab w:val="left" w:pos="2127"/>
        </w:tabs>
        <w:overflowPunct/>
        <w:autoSpaceDE/>
        <w:autoSpaceDN/>
        <w:adjustRightInd/>
        <w:spacing w:before="120" w:after="120" w:line="240" w:lineRule="auto"/>
        <w:jc w:val="left"/>
        <w:textAlignment w:val="auto"/>
        <w:rPr>
          <w:color w:val="000000"/>
        </w:rPr>
      </w:pPr>
      <w:r>
        <w:rPr>
          <w:color w:val="000000"/>
        </w:rPr>
        <w:t>The Buyer will not pay for Participants who do not attend on the day in accordance with Buyer instructions.</w:t>
      </w:r>
    </w:p>
    <w:p w14:paraId="4E5C359B" w14:textId="77777777" w:rsidR="002B1FD8" w:rsidRPr="004B1E6F" w:rsidRDefault="002B1FD8" w:rsidP="00632033">
      <w:pPr>
        <w:numPr>
          <w:ilvl w:val="1"/>
          <w:numId w:val="18"/>
        </w:numPr>
        <w:tabs>
          <w:tab w:val="left" w:pos="1985"/>
          <w:tab w:val="left" w:pos="2127"/>
        </w:tabs>
        <w:overflowPunct/>
        <w:autoSpaceDE/>
        <w:autoSpaceDN/>
        <w:adjustRightInd/>
        <w:spacing w:before="120" w:after="120" w:line="240" w:lineRule="auto"/>
        <w:jc w:val="left"/>
        <w:textAlignment w:val="auto"/>
        <w:rPr>
          <w:color w:val="000000"/>
        </w:rPr>
      </w:pPr>
      <w:r>
        <w:rPr>
          <w:color w:val="000000"/>
        </w:rPr>
        <w:t>The Supplier is solely responsible for payments to Participants. The Buyer will not be responsible for making any such payments.</w:t>
      </w:r>
    </w:p>
    <w:p w14:paraId="0F629EB7" w14:textId="77777777" w:rsidR="001F1290" w:rsidRPr="00B97403" w:rsidRDefault="001F1290" w:rsidP="00632033">
      <w:pPr>
        <w:tabs>
          <w:tab w:val="left" w:pos="709"/>
        </w:tabs>
        <w:overflowPunct/>
        <w:autoSpaceDE/>
        <w:autoSpaceDN/>
        <w:adjustRightInd/>
        <w:spacing w:before="120" w:after="120" w:line="240" w:lineRule="auto"/>
        <w:ind w:left="576"/>
        <w:jc w:val="left"/>
        <w:textAlignment w:val="auto"/>
        <w:rPr>
          <w:rFonts w:eastAsia="Arial"/>
          <w:color w:val="000000"/>
          <w:sz w:val="22"/>
          <w:szCs w:val="22"/>
        </w:rPr>
      </w:pPr>
    </w:p>
    <w:p w14:paraId="42815DC4" w14:textId="77777777" w:rsidR="002B1FD8" w:rsidRPr="00632033" w:rsidRDefault="002B1FD8" w:rsidP="002B1FD8">
      <w:pPr>
        <w:pStyle w:val="Heading3"/>
        <w:numPr>
          <w:ilvl w:val="0"/>
          <w:numId w:val="18"/>
        </w:numPr>
        <w:tabs>
          <w:tab w:val="num" w:pos="720"/>
        </w:tabs>
        <w:ind w:left="720" w:hanging="720"/>
        <w:rPr>
          <w:b/>
          <w:bCs/>
        </w:rPr>
      </w:pPr>
      <w:r w:rsidRPr="00632033">
        <w:rPr>
          <w:b/>
          <w:bCs/>
        </w:rPr>
        <w:t>When the Supplier can ask to change the Call-Off Contract Charges</w:t>
      </w:r>
    </w:p>
    <w:p w14:paraId="77F6F59A" w14:textId="77777777" w:rsidR="002B1FD8" w:rsidRDefault="002B1FD8" w:rsidP="002B1FD8">
      <w:pPr>
        <w:numPr>
          <w:ilvl w:val="1"/>
          <w:numId w:val="18"/>
        </w:numPr>
        <w:pBdr>
          <w:top w:val="nil"/>
          <w:left w:val="nil"/>
          <w:bottom w:val="nil"/>
          <w:right w:val="nil"/>
          <w:between w:val="nil"/>
        </w:pBdr>
        <w:tabs>
          <w:tab w:val="left" w:pos="709"/>
        </w:tabs>
        <w:overflowPunct/>
        <w:autoSpaceDE/>
        <w:autoSpaceDN/>
        <w:adjustRightInd/>
        <w:spacing w:before="120" w:after="120" w:line="240" w:lineRule="auto"/>
        <w:jc w:val="left"/>
        <w:textAlignment w:val="auto"/>
        <w:rPr>
          <w:color w:val="000000"/>
        </w:rPr>
      </w:pPr>
      <w:r>
        <w:rPr>
          <w:color w:val="000000"/>
        </w:rPr>
        <w:t xml:space="preserve">The Charges will be fixed for the first </w:t>
      </w:r>
      <w:r>
        <w:rPr>
          <w:b/>
          <w:color w:val="000000"/>
          <w:highlight w:val="yellow"/>
        </w:rPr>
        <w:t>[Insert:</w:t>
      </w:r>
      <w:r>
        <w:rPr>
          <w:color w:val="000000"/>
          <w:highlight w:val="yellow"/>
        </w:rPr>
        <w:t xml:space="preserve"> number]</w:t>
      </w:r>
      <w:r>
        <w:rPr>
          <w:color w:val="000000"/>
        </w:rPr>
        <w:t xml:space="preserve"> years following the Call-Off Contract Start Date (the date of expiry of such period is a "</w:t>
      </w:r>
      <w:r>
        <w:rPr>
          <w:b/>
          <w:color w:val="000000"/>
        </w:rPr>
        <w:t>Review Date</w:t>
      </w:r>
      <w:r>
        <w:rPr>
          <w:color w:val="000000"/>
        </w:rPr>
        <w:t>").  After this Charges can only be adjusted on each following yearly anniversary (the date of each such anniversary is also a "</w:t>
      </w:r>
      <w:r>
        <w:rPr>
          <w:b/>
          <w:color w:val="000000"/>
        </w:rPr>
        <w:t>Review Date</w:t>
      </w:r>
      <w:r>
        <w:rPr>
          <w:color w:val="000000"/>
        </w:rPr>
        <w:t>").</w:t>
      </w:r>
    </w:p>
    <w:p w14:paraId="58390723" w14:textId="77777777" w:rsidR="002B1FD8" w:rsidRDefault="002B1FD8" w:rsidP="002B1FD8">
      <w:pPr>
        <w:numPr>
          <w:ilvl w:val="1"/>
          <w:numId w:val="18"/>
        </w:numPr>
        <w:pBdr>
          <w:top w:val="nil"/>
          <w:left w:val="nil"/>
          <w:bottom w:val="nil"/>
          <w:right w:val="nil"/>
          <w:between w:val="nil"/>
        </w:pBdr>
        <w:tabs>
          <w:tab w:val="left" w:pos="709"/>
        </w:tabs>
        <w:overflowPunct/>
        <w:autoSpaceDE/>
        <w:autoSpaceDN/>
        <w:adjustRightInd/>
        <w:spacing w:before="120" w:after="120" w:line="240" w:lineRule="auto"/>
        <w:jc w:val="left"/>
        <w:textAlignment w:val="auto"/>
        <w:rPr>
          <w:color w:val="000000"/>
        </w:rPr>
      </w:pPr>
      <w:bookmarkStart w:id="0" w:name="_heading=h.2et92p0" w:colFirst="0" w:colLast="0"/>
      <w:bookmarkEnd w:id="0"/>
      <w:r>
        <w:rPr>
          <w:color w:val="000000"/>
        </w:rPr>
        <w:t xml:space="preserve">The Supplier shall give the Buyer at least three (3) Months' notice in writing prior to a Review Date where it wants to request an increase.  If the Supplier does not give notice in </w:t>
      </w:r>
      <w:proofErr w:type="gramStart"/>
      <w:r>
        <w:rPr>
          <w:color w:val="000000"/>
        </w:rPr>
        <w:t>time</w:t>
      </w:r>
      <w:proofErr w:type="gramEnd"/>
      <w:r>
        <w:rPr>
          <w:color w:val="000000"/>
        </w:rPr>
        <w:t xml:space="preserve"> then it will only be able to request an increase prior to the next Review Date.</w:t>
      </w:r>
    </w:p>
    <w:p w14:paraId="1ED39CAA" w14:textId="77777777" w:rsidR="002B1FD8" w:rsidRDefault="002B1FD8" w:rsidP="002B1FD8">
      <w:pPr>
        <w:numPr>
          <w:ilvl w:val="1"/>
          <w:numId w:val="18"/>
        </w:numPr>
        <w:pBdr>
          <w:top w:val="nil"/>
          <w:left w:val="nil"/>
          <w:bottom w:val="nil"/>
          <w:right w:val="nil"/>
          <w:between w:val="nil"/>
        </w:pBdr>
        <w:tabs>
          <w:tab w:val="left" w:pos="709"/>
        </w:tabs>
        <w:overflowPunct/>
        <w:autoSpaceDE/>
        <w:autoSpaceDN/>
        <w:adjustRightInd/>
        <w:spacing w:before="120" w:after="120" w:line="240" w:lineRule="auto"/>
        <w:jc w:val="left"/>
        <w:textAlignment w:val="auto"/>
        <w:rPr>
          <w:color w:val="000000"/>
        </w:rPr>
      </w:pPr>
      <w:r>
        <w:rPr>
          <w:color w:val="000000"/>
        </w:rPr>
        <w:t>Any notice requesting an increase shall include:</w:t>
      </w:r>
    </w:p>
    <w:p w14:paraId="372DDC28" w14:textId="77777777" w:rsidR="002B1FD8" w:rsidRDefault="002B1FD8" w:rsidP="00632033">
      <w:pPr>
        <w:numPr>
          <w:ilvl w:val="2"/>
          <w:numId w:val="18"/>
        </w:numPr>
        <w:tabs>
          <w:tab w:val="left" w:pos="1985"/>
          <w:tab w:val="left" w:pos="2127"/>
        </w:tabs>
        <w:overflowPunct/>
        <w:autoSpaceDE/>
        <w:autoSpaceDN/>
        <w:adjustRightInd/>
        <w:spacing w:before="120" w:after="120" w:line="240" w:lineRule="auto"/>
        <w:ind w:left="1560" w:hanging="851"/>
        <w:jc w:val="left"/>
        <w:textAlignment w:val="auto"/>
        <w:rPr>
          <w:color w:val="000000"/>
        </w:rPr>
      </w:pPr>
      <w:r>
        <w:rPr>
          <w:color w:val="000000"/>
        </w:rPr>
        <w:t xml:space="preserve">a list of the Charges to be </w:t>
      </w:r>
      <w:proofErr w:type="gramStart"/>
      <w:r>
        <w:rPr>
          <w:color w:val="000000"/>
        </w:rPr>
        <w:t>reviewed;</w:t>
      </w:r>
      <w:proofErr w:type="gramEnd"/>
    </w:p>
    <w:p w14:paraId="7563BF6C" w14:textId="77777777" w:rsidR="002B1FD8" w:rsidRDefault="002B1FD8" w:rsidP="00632033">
      <w:pPr>
        <w:numPr>
          <w:ilvl w:val="2"/>
          <w:numId w:val="18"/>
        </w:numPr>
        <w:tabs>
          <w:tab w:val="left" w:pos="1985"/>
          <w:tab w:val="left" w:pos="2127"/>
        </w:tabs>
        <w:overflowPunct/>
        <w:autoSpaceDE/>
        <w:autoSpaceDN/>
        <w:adjustRightInd/>
        <w:spacing w:before="120" w:after="120" w:line="240" w:lineRule="auto"/>
        <w:ind w:left="1560" w:hanging="851"/>
        <w:jc w:val="left"/>
        <w:textAlignment w:val="auto"/>
        <w:rPr>
          <w:color w:val="000000"/>
        </w:rPr>
      </w:pPr>
      <w:r>
        <w:rPr>
          <w:color w:val="000000"/>
        </w:rPr>
        <w:t>for each Charge under review, written evidence of the justification for the requested increase including:</w:t>
      </w:r>
    </w:p>
    <w:p w14:paraId="0EB38AB9" w14:textId="5405BA48" w:rsidR="002B1FD8" w:rsidRDefault="002B1FD8" w:rsidP="002B1FD8">
      <w:pPr>
        <w:pBdr>
          <w:top w:val="nil"/>
          <w:left w:val="nil"/>
          <w:bottom w:val="nil"/>
          <w:right w:val="nil"/>
          <w:between w:val="nil"/>
        </w:pBdr>
        <w:tabs>
          <w:tab w:val="left" w:pos="1985"/>
          <w:tab w:val="left" w:pos="2127"/>
        </w:tabs>
        <w:spacing w:before="120"/>
        <w:rPr>
          <w:color w:val="000000"/>
        </w:rPr>
      </w:pPr>
      <w:r>
        <w:rPr>
          <w:color w:val="000000"/>
        </w:rPr>
        <w:t>[</w:t>
      </w:r>
      <w:r w:rsidR="00C73683" w:rsidRPr="00632033">
        <w:rPr>
          <w:b/>
          <w:bCs/>
          <w:color w:val="000000"/>
        </w:rPr>
        <w:t xml:space="preserve">Buyer </w:t>
      </w:r>
      <w:r w:rsidRPr="00632033">
        <w:rPr>
          <w:b/>
          <w:bCs/>
          <w:color w:val="000000"/>
        </w:rPr>
        <w:t>Guidance Note</w:t>
      </w:r>
      <w:r>
        <w:rPr>
          <w:color w:val="000000"/>
        </w:rPr>
        <w:t>: Buyer to select, add to, remove, or amend as necessary]</w:t>
      </w:r>
    </w:p>
    <w:p w14:paraId="18DD91AF" w14:textId="77777777" w:rsidR="002B1FD8" w:rsidRPr="00632033" w:rsidRDefault="002B1FD8" w:rsidP="00632033">
      <w:pPr>
        <w:numPr>
          <w:ilvl w:val="3"/>
          <w:numId w:val="18"/>
        </w:numPr>
        <w:tabs>
          <w:tab w:val="left" w:pos="1985"/>
          <w:tab w:val="left" w:pos="1985"/>
        </w:tabs>
        <w:suppressAutoHyphens/>
        <w:overflowPunct/>
        <w:autoSpaceDE/>
        <w:autoSpaceDN/>
        <w:adjustRightInd/>
        <w:spacing w:after="120" w:line="240" w:lineRule="auto"/>
        <w:ind w:left="2552" w:hanging="992"/>
        <w:jc w:val="left"/>
        <w:textAlignment w:val="auto"/>
        <w:rPr>
          <w:color w:val="000000"/>
          <w:highlight w:val="yellow"/>
        </w:rPr>
      </w:pPr>
      <w:r w:rsidRPr="004B1E6F">
        <w:rPr>
          <w:color w:val="000000"/>
          <w:highlight w:val="yellow"/>
        </w:rPr>
        <w:t>[a breakdown of the profit and cost components that comprise the relevant Charge</w:t>
      </w:r>
      <w:proofErr w:type="gramStart"/>
      <w:r w:rsidRPr="004B1E6F">
        <w:rPr>
          <w:color w:val="000000"/>
          <w:highlight w:val="yellow"/>
        </w:rPr>
        <w:t>; ]</w:t>
      </w:r>
      <w:proofErr w:type="gramEnd"/>
    </w:p>
    <w:p w14:paraId="072A9C14" w14:textId="0F806333" w:rsidR="002B1FD8" w:rsidRDefault="002B1FD8" w:rsidP="00632033">
      <w:pPr>
        <w:pBdr>
          <w:top w:val="nil"/>
          <w:left w:val="nil"/>
          <w:bottom w:val="nil"/>
          <w:right w:val="nil"/>
          <w:between w:val="nil"/>
        </w:pBdr>
        <w:tabs>
          <w:tab w:val="left" w:pos="1985"/>
          <w:tab w:val="left" w:pos="2127"/>
        </w:tabs>
        <w:spacing w:before="120"/>
        <w:rPr>
          <w:color w:val="000000"/>
        </w:rPr>
      </w:pPr>
      <w:r>
        <w:rPr>
          <w:b/>
          <w:color w:val="000000"/>
          <w:highlight w:val="yellow"/>
        </w:rPr>
        <w:t xml:space="preserve">[Guidance Note: </w:t>
      </w:r>
      <w:r>
        <w:rPr>
          <w:color w:val="000000"/>
        </w:rPr>
        <w:t xml:space="preserve">Consider requesting a breakdown of the cost and profit elements for each line item (or similar groups of line items) in the Charges as part of the </w:t>
      </w:r>
      <w:r w:rsidR="00190CE8">
        <w:rPr>
          <w:color w:val="000000"/>
        </w:rPr>
        <w:t>Competitive Selection Process</w:t>
      </w:r>
      <w:r>
        <w:rPr>
          <w:color w:val="000000"/>
        </w:rPr>
        <w:t>. This provides a benchmark against which future price reviews can be checked]</w:t>
      </w:r>
    </w:p>
    <w:p w14:paraId="08B252E8" w14:textId="77777777" w:rsidR="002B1FD8" w:rsidRPr="004B1E6F" w:rsidRDefault="002B1FD8" w:rsidP="00632033">
      <w:pPr>
        <w:numPr>
          <w:ilvl w:val="3"/>
          <w:numId w:val="18"/>
        </w:numPr>
        <w:tabs>
          <w:tab w:val="left" w:pos="1985"/>
          <w:tab w:val="left" w:pos="1985"/>
        </w:tabs>
        <w:suppressAutoHyphens/>
        <w:overflowPunct/>
        <w:autoSpaceDE/>
        <w:autoSpaceDN/>
        <w:adjustRightInd/>
        <w:spacing w:after="120" w:line="240" w:lineRule="auto"/>
        <w:ind w:left="2552" w:hanging="992"/>
        <w:jc w:val="left"/>
        <w:textAlignment w:val="auto"/>
        <w:rPr>
          <w:color w:val="000000"/>
          <w:highlight w:val="yellow"/>
        </w:rPr>
      </w:pPr>
      <w:r w:rsidRPr="004B1E6F">
        <w:rPr>
          <w:color w:val="000000"/>
          <w:highlight w:val="yellow"/>
        </w:rPr>
        <w:lastRenderedPageBreak/>
        <w:t>[details of the movement in the different identified cost components of the relevant Charge;]</w:t>
      </w:r>
    </w:p>
    <w:p w14:paraId="3C234521" w14:textId="77777777" w:rsidR="002B1FD8" w:rsidRPr="004B1E6F" w:rsidRDefault="002B1FD8" w:rsidP="00632033">
      <w:pPr>
        <w:numPr>
          <w:ilvl w:val="3"/>
          <w:numId w:val="18"/>
        </w:numPr>
        <w:tabs>
          <w:tab w:val="left" w:pos="1985"/>
          <w:tab w:val="left" w:pos="1985"/>
        </w:tabs>
        <w:suppressAutoHyphens/>
        <w:overflowPunct/>
        <w:autoSpaceDE/>
        <w:autoSpaceDN/>
        <w:adjustRightInd/>
        <w:spacing w:after="120" w:line="240" w:lineRule="auto"/>
        <w:ind w:left="2552" w:hanging="992"/>
        <w:jc w:val="left"/>
        <w:textAlignment w:val="auto"/>
        <w:rPr>
          <w:color w:val="000000"/>
          <w:highlight w:val="yellow"/>
        </w:rPr>
      </w:pPr>
      <w:r w:rsidRPr="004B1E6F">
        <w:rPr>
          <w:color w:val="000000"/>
          <w:highlight w:val="yellow"/>
        </w:rPr>
        <w:t>[reasons for the movement in the different identified cost components of the relevant Charge;]</w:t>
      </w:r>
    </w:p>
    <w:p w14:paraId="301FDB54" w14:textId="77777777" w:rsidR="002B1FD8" w:rsidRPr="004B1E6F" w:rsidRDefault="002B1FD8" w:rsidP="00632033">
      <w:pPr>
        <w:numPr>
          <w:ilvl w:val="3"/>
          <w:numId w:val="18"/>
        </w:numPr>
        <w:tabs>
          <w:tab w:val="left" w:pos="1985"/>
          <w:tab w:val="left" w:pos="1985"/>
        </w:tabs>
        <w:suppressAutoHyphens/>
        <w:overflowPunct/>
        <w:autoSpaceDE/>
        <w:autoSpaceDN/>
        <w:adjustRightInd/>
        <w:spacing w:after="120" w:line="240" w:lineRule="auto"/>
        <w:ind w:left="2552" w:hanging="992"/>
        <w:jc w:val="left"/>
        <w:textAlignment w:val="auto"/>
        <w:rPr>
          <w:color w:val="000000"/>
          <w:highlight w:val="yellow"/>
        </w:rPr>
      </w:pPr>
      <w:r w:rsidRPr="004B1E6F">
        <w:rPr>
          <w:color w:val="000000"/>
          <w:highlight w:val="yellow"/>
        </w:rPr>
        <w:t>[evidence that the Supplier has attempted to mitigate against the increase in the relevant cost components; and]</w:t>
      </w:r>
    </w:p>
    <w:p w14:paraId="512E0546" w14:textId="4C5F1595" w:rsidR="002B1FD8" w:rsidRPr="004B1E6F" w:rsidRDefault="002B1FD8" w:rsidP="00632033">
      <w:pPr>
        <w:numPr>
          <w:ilvl w:val="3"/>
          <w:numId w:val="18"/>
        </w:numPr>
        <w:tabs>
          <w:tab w:val="left" w:pos="1985"/>
          <w:tab w:val="left" w:pos="1985"/>
        </w:tabs>
        <w:suppressAutoHyphens/>
        <w:overflowPunct/>
        <w:autoSpaceDE/>
        <w:autoSpaceDN/>
        <w:adjustRightInd/>
        <w:spacing w:after="120" w:line="240" w:lineRule="auto"/>
        <w:ind w:left="2552" w:hanging="992"/>
        <w:jc w:val="left"/>
        <w:textAlignment w:val="auto"/>
        <w:rPr>
          <w:color w:val="000000"/>
          <w:highlight w:val="yellow"/>
        </w:rPr>
      </w:pPr>
      <w:r w:rsidRPr="004B1E6F">
        <w:rPr>
          <w:color w:val="000000"/>
          <w:highlight w:val="yellow"/>
        </w:rPr>
        <w:t xml:space="preserve">[evidence that the Supplier’s profit component of the relevant Charge is no greater than that applying to Charges using the same pricing mechanism as at the </w:t>
      </w:r>
      <w:r w:rsidR="00190CE8" w:rsidRPr="004B1E6F">
        <w:rPr>
          <w:color w:val="000000"/>
          <w:highlight w:val="yellow"/>
        </w:rPr>
        <w:t xml:space="preserve">Call-Off </w:t>
      </w:r>
      <w:r w:rsidRPr="004B1E6F">
        <w:rPr>
          <w:color w:val="000000"/>
          <w:highlight w:val="yellow"/>
        </w:rPr>
        <w:t>Contract Start Date.]</w:t>
      </w:r>
    </w:p>
    <w:p w14:paraId="6D8D2D83" w14:textId="77777777" w:rsidR="002B1FD8" w:rsidRDefault="002B1FD8" w:rsidP="00632033">
      <w:pPr>
        <w:pBdr>
          <w:top w:val="nil"/>
          <w:left w:val="nil"/>
          <w:bottom w:val="nil"/>
          <w:right w:val="nil"/>
          <w:between w:val="nil"/>
        </w:pBdr>
        <w:tabs>
          <w:tab w:val="left" w:pos="1985"/>
          <w:tab w:val="left" w:pos="2127"/>
        </w:tabs>
        <w:spacing w:before="120"/>
        <w:rPr>
          <w:color w:val="000000"/>
        </w:rPr>
      </w:pPr>
      <w:r>
        <w:rPr>
          <w:b/>
          <w:color w:val="000000"/>
          <w:highlight w:val="yellow"/>
        </w:rPr>
        <w:t xml:space="preserve">[Guidance Note: </w:t>
      </w:r>
      <w:r>
        <w:rPr>
          <w:color w:val="000000"/>
        </w:rPr>
        <w:t xml:space="preserve">Add anything else you expect to see from Suppliers. This assumes the Supplier will not be entitled to an increase in the profit element.  It may be argued by suppliers that general inflationary pressure devalues the profit </w:t>
      </w:r>
      <w:proofErr w:type="gramStart"/>
      <w:r>
        <w:rPr>
          <w:color w:val="000000"/>
        </w:rPr>
        <w:t>element</w:t>
      </w:r>
      <w:proofErr w:type="gramEnd"/>
      <w:r>
        <w:rPr>
          <w:color w:val="000000"/>
        </w:rPr>
        <w:t xml:space="preserve"> and it too should be increased by a measure such as the Services Producer Price Index (SPPI) HQVC.]</w:t>
      </w:r>
    </w:p>
    <w:p w14:paraId="5C17E7AF" w14:textId="77777777" w:rsidR="002B1FD8" w:rsidRPr="00B97403" w:rsidRDefault="002B1FD8" w:rsidP="002B1FD8">
      <w:pPr>
        <w:numPr>
          <w:ilvl w:val="1"/>
          <w:numId w:val="18"/>
        </w:numPr>
        <w:pBdr>
          <w:top w:val="nil"/>
          <w:left w:val="nil"/>
          <w:bottom w:val="nil"/>
          <w:right w:val="nil"/>
          <w:between w:val="nil"/>
        </w:pBdr>
        <w:tabs>
          <w:tab w:val="left" w:pos="709"/>
        </w:tabs>
        <w:overflowPunct/>
        <w:autoSpaceDE/>
        <w:autoSpaceDN/>
        <w:adjustRightInd/>
        <w:spacing w:before="120" w:after="120" w:line="240" w:lineRule="auto"/>
        <w:jc w:val="left"/>
        <w:textAlignment w:val="auto"/>
        <w:rPr>
          <w:color w:val="000000"/>
        </w:rPr>
      </w:pPr>
      <w:r w:rsidRPr="00B97403">
        <w:rPr>
          <w:color w:val="000000"/>
        </w:rPr>
        <w:t xml:space="preserve">The Buyer shall consider each request for a </w:t>
      </w:r>
      <w:r>
        <w:rPr>
          <w:color w:val="000000"/>
        </w:rPr>
        <w:t xml:space="preserve">Charge </w:t>
      </w:r>
      <w:r w:rsidRPr="00B97403">
        <w:rPr>
          <w:color w:val="000000"/>
        </w:rPr>
        <w:t>increase.  The Buyer may grant Approval to an increase at its sole discretion.</w:t>
      </w:r>
    </w:p>
    <w:p w14:paraId="1C201066" w14:textId="77777777" w:rsidR="002B1FD8" w:rsidRPr="00D56C84" w:rsidRDefault="002B1FD8" w:rsidP="002B1FD8">
      <w:pPr>
        <w:numPr>
          <w:ilvl w:val="1"/>
          <w:numId w:val="18"/>
        </w:numPr>
        <w:pBdr>
          <w:top w:val="nil"/>
          <w:left w:val="nil"/>
          <w:bottom w:val="nil"/>
          <w:right w:val="nil"/>
          <w:between w:val="nil"/>
        </w:pBdr>
        <w:tabs>
          <w:tab w:val="left" w:pos="709"/>
        </w:tabs>
        <w:overflowPunct/>
        <w:autoSpaceDE/>
        <w:autoSpaceDN/>
        <w:adjustRightInd/>
        <w:spacing w:before="120" w:after="120" w:line="240" w:lineRule="auto"/>
        <w:jc w:val="left"/>
        <w:textAlignment w:val="auto"/>
        <w:rPr>
          <w:color w:val="000000"/>
        </w:rPr>
      </w:pPr>
      <w:r w:rsidRPr="00B97403">
        <w:rPr>
          <w:color w:val="000000"/>
        </w:rPr>
        <w:t>Where the Buyer approves an increase then it will be implemented from the first (1st) Working Day following the relevant Review Date or such later date as the Buyer may determine at its sole discretion and the Order Form shall be updated accordingly.</w:t>
      </w:r>
    </w:p>
    <w:p w14:paraId="1521DB25" w14:textId="77777777" w:rsidR="002B1FD8" w:rsidRDefault="002B1FD8" w:rsidP="002B1FD8">
      <w:pPr>
        <w:numPr>
          <w:ilvl w:val="0"/>
          <w:numId w:val="18"/>
        </w:numPr>
        <w:pBdr>
          <w:top w:val="nil"/>
          <w:left w:val="nil"/>
          <w:bottom w:val="nil"/>
          <w:right w:val="nil"/>
          <w:between w:val="nil"/>
        </w:pBdr>
        <w:tabs>
          <w:tab w:val="left" w:pos="142"/>
        </w:tabs>
        <w:overflowPunct/>
        <w:autoSpaceDE/>
        <w:autoSpaceDN/>
        <w:adjustRightInd/>
        <w:spacing w:before="120" w:line="240" w:lineRule="auto"/>
        <w:textAlignment w:val="auto"/>
      </w:pPr>
      <w:r>
        <w:rPr>
          <w:b/>
          <w:color w:val="000000"/>
        </w:rPr>
        <w:t xml:space="preserve"> Other events that allow the Supplier to change the Charges</w:t>
      </w:r>
    </w:p>
    <w:p w14:paraId="4EE0D5DC" w14:textId="77777777" w:rsidR="002B1FD8" w:rsidRDefault="002B1FD8" w:rsidP="002B1FD8">
      <w:pPr>
        <w:numPr>
          <w:ilvl w:val="1"/>
          <w:numId w:val="18"/>
        </w:numPr>
        <w:pBdr>
          <w:top w:val="nil"/>
          <w:left w:val="nil"/>
          <w:bottom w:val="nil"/>
          <w:right w:val="nil"/>
          <w:between w:val="nil"/>
        </w:pBdr>
        <w:tabs>
          <w:tab w:val="left" w:pos="709"/>
        </w:tabs>
        <w:overflowPunct/>
        <w:autoSpaceDE/>
        <w:autoSpaceDN/>
        <w:adjustRightInd/>
        <w:spacing w:before="120" w:after="120" w:line="240" w:lineRule="auto"/>
        <w:jc w:val="left"/>
        <w:textAlignment w:val="auto"/>
        <w:rPr>
          <w:color w:val="000000"/>
        </w:rPr>
      </w:pPr>
      <w:r>
        <w:rPr>
          <w:color w:val="000000"/>
        </w:rPr>
        <w:t>The Charges can also be varied (and the Order Form will be updated accordingly) due to:</w:t>
      </w:r>
    </w:p>
    <w:p w14:paraId="22793456" w14:textId="3B30F4DC" w:rsidR="002B1FD8" w:rsidRDefault="002B1FD8" w:rsidP="00632033">
      <w:pPr>
        <w:numPr>
          <w:ilvl w:val="2"/>
          <w:numId w:val="18"/>
        </w:numPr>
        <w:tabs>
          <w:tab w:val="left" w:pos="1985"/>
          <w:tab w:val="left" w:pos="2127"/>
        </w:tabs>
        <w:overflowPunct/>
        <w:autoSpaceDE/>
        <w:autoSpaceDN/>
        <w:adjustRightInd/>
        <w:spacing w:before="120" w:after="120" w:line="240" w:lineRule="auto"/>
        <w:ind w:left="1560" w:hanging="851"/>
        <w:jc w:val="left"/>
        <w:textAlignment w:val="auto"/>
        <w:rPr>
          <w:color w:val="000000"/>
        </w:rPr>
      </w:pPr>
      <w:r>
        <w:rPr>
          <w:color w:val="000000"/>
        </w:rPr>
        <w:t>a Specific Change in Law in accordance with Clause 2</w:t>
      </w:r>
      <w:r w:rsidR="007313EC">
        <w:rPr>
          <w:color w:val="000000"/>
        </w:rPr>
        <w:t>7</w:t>
      </w:r>
      <w:r>
        <w:rPr>
          <w:color w:val="000000"/>
        </w:rPr>
        <w:t xml:space="preserve"> </w:t>
      </w:r>
      <w:r w:rsidR="007313EC" w:rsidRPr="00632033">
        <w:rPr>
          <w:color w:val="000000"/>
        </w:rPr>
        <w:t xml:space="preserve">(Changing the Contract) of the General </w:t>
      </w:r>
      <w:proofErr w:type="gramStart"/>
      <w:r w:rsidR="007313EC" w:rsidRPr="00632033">
        <w:rPr>
          <w:color w:val="000000"/>
        </w:rPr>
        <w:t>Terms</w:t>
      </w:r>
      <w:r>
        <w:rPr>
          <w:color w:val="000000"/>
        </w:rPr>
        <w:t>;</w:t>
      </w:r>
      <w:proofErr w:type="gramEnd"/>
    </w:p>
    <w:p w14:paraId="1ED991CC" w14:textId="69A37BE2" w:rsidR="002B1FD8" w:rsidRDefault="002B1FD8" w:rsidP="00632033">
      <w:pPr>
        <w:numPr>
          <w:ilvl w:val="2"/>
          <w:numId w:val="18"/>
        </w:numPr>
        <w:tabs>
          <w:tab w:val="left" w:pos="1985"/>
          <w:tab w:val="left" w:pos="2127"/>
        </w:tabs>
        <w:overflowPunct/>
        <w:autoSpaceDE/>
        <w:autoSpaceDN/>
        <w:adjustRightInd/>
        <w:spacing w:before="120" w:after="120" w:line="240" w:lineRule="auto"/>
        <w:ind w:left="1560" w:hanging="851"/>
        <w:jc w:val="left"/>
        <w:textAlignment w:val="auto"/>
        <w:rPr>
          <w:color w:val="000000"/>
        </w:rPr>
      </w:pPr>
      <w:r>
        <w:rPr>
          <w:color w:val="000000"/>
        </w:rPr>
        <w:t>a benchmarking review in accordance with Call</w:t>
      </w:r>
      <w:r w:rsidR="007313EC">
        <w:rPr>
          <w:color w:val="000000"/>
        </w:rPr>
        <w:t>-</w:t>
      </w:r>
      <w:r>
        <w:rPr>
          <w:color w:val="000000"/>
        </w:rPr>
        <w:t xml:space="preserve">Off Schedule 16 </w:t>
      </w:r>
      <w:r w:rsidRPr="004B1E6F">
        <w:rPr>
          <w:color w:val="000000"/>
        </w:rPr>
        <w:t>(Benchmarking</w:t>
      </w:r>
      <w:proofErr w:type="gramStart"/>
      <w:r w:rsidRPr="004B1E6F">
        <w:rPr>
          <w:color w:val="000000"/>
        </w:rPr>
        <w:t>)</w:t>
      </w:r>
      <w:r w:rsidR="007313EC" w:rsidRPr="00632033">
        <w:rPr>
          <w:color w:val="000000"/>
        </w:rPr>
        <w:t>;</w:t>
      </w:r>
      <w:proofErr w:type="gramEnd"/>
    </w:p>
    <w:p w14:paraId="1BBB0EB0" w14:textId="77777777" w:rsidR="002B1FD8" w:rsidRDefault="002B1FD8" w:rsidP="00632033">
      <w:pPr>
        <w:numPr>
          <w:ilvl w:val="2"/>
          <w:numId w:val="18"/>
        </w:numPr>
        <w:tabs>
          <w:tab w:val="left" w:pos="1985"/>
          <w:tab w:val="left" w:pos="2127"/>
        </w:tabs>
        <w:overflowPunct/>
        <w:autoSpaceDE/>
        <w:autoSpaceDN/>
        <w:adjustRightInd/>
        <w:spacing w:before="120" w:after="120" w:line="240" w:lineRule="auto"/>
        <w:ind w:left="1560" w:hanging="851"/>
        <w:jc w:val="left"/>
        <w:textAlignment w:val="auto"/>
        <w:rPr>
          <w:color w:val="000000"/>
        </w:rPr>
      </w:pPr>
      <w:r>
        <w:rPr>
          <w:color w:val="000000"/>
        </w:rPr>
        <w:t>a request from the Supplier, which it can make at any time, to decrease the Charges; and</w:t>
      </w:r>
    </w:p>
    <w:p w14:paraId="722F25AA" w14:textId="77777777" w:rsidR="002B1FD8" w:rsidRPr="00271D68" w:rsidRDefault="002B1FD8" w:rsidP="00632033">
      <w:pPr>
        <w:numPr>
          <w:ilvl w:val="2"/>
          <w:numId w:val="18"/>
        </w:numPr>
        <w:tabs>
          <w:tab w:val="left" w:pos="1985"/>
          <w:tab w:val="left" w:pos="2127"/>
        </w:tabs>
        <w:overflowPunct/>
        <w:autoSpaceDE/>
        <w:autoSpaceDN/>
        <w:adjustRightInd/>
        <w:spacing w:before="120" w:after="120" w:line="240" w:lineRule="auto"/>
        <w:ind w:left="1560" w:hanging="851"/>
        <w:jc w:val="left"/>
        <w:textAlignment w:val="auto"/>
        <w:rPr>
          <w:color w:val="000000"/>
        </w:rPr>
      </w:pPr>
      <w:r w:rsidRPr="00D85C7C">
        <w:rPr>
          <w:color w:val="000000"/>
        </w:rPr>
        <w:t xml:space="preserve">indexation, where the Order Form states that a particular Charge or any component is “subject to Indexation” in which event Paragraph </w:t>
      </w:r>
      <w:r>
        <w:rPr>
          <w:color w:val="000000"/>
        </w:rPr>
        <w:t>4</w:t>
      </w:r>
      <w:r w:rsidRPr="00271D68">
        <w:rPr>
          <w:color w:val="000000"/>
        </w:rPr>
        <w:t xml:space="preserve"> below shall apply.</w:t>
      </w:r>
    </w:p>
    <w:p w14:paraId="15C4DFA6" w14:textId="77777777" w:rsidR="002B1FD8" w:rsidRPr="00B97403" w:rsidRDefault="002B1FD8" w:rsidP="002B1FD8">
      <w:pPr>
        <w:numPr>
          <w:ilvl w:val="0"/>
          <w:numId w:val="18"/>
        </w:numPr>
        <w:pBdr>
          <w:top w:val="nil"/>
          <w:left w:val="nil"/>
          <w:bottom w:val="nil"/>
          <w:right w:val="nil"/>
          <w:between w:val="nil"/>
        </w:pBdr>
        <w:tabs>
          <w:tab w:val="left" w:pos="142"/>
        </w:tabs>
        <w:overflowPunct/>
        <w:autoSpaceDE/>
        <w:autoSpaceDN/>
        <w:adjustRightInd/>
        <w:spacing w:before="120" w:line="240" w:lineRule="auto"/>
        <w:textAlignment w:val="auto"/>
        <w:rPr>
          <w:b/>
          <w:color w:val="000000"/>
        </w:rPr>
      </w:pPr>
      <w:r>
        <w:rPr>
          <w:b/>
          <w:color w:val="000000"/>
        </w:rPr>
        <w:t xml:space="preserve"> </w:t>
      </w:r>
      <w:r w:rsidRPr="00B97403">
        <w:rPr>
          <w:b/>
          <w:color w:val="000000"/>
        </w:rPr>
        <w:t>When the Charges are linked to inflation</w:t>
      </w:r>
    </w:p>
    <w:p w14:paraId="3CC4A491" w14:textId="77777777" w:rsidR="002B1FD8" w:rsidRDefault="002B1FD8" w:rsidP="002B1FD8">
      <w:pPr>
        <w:numPr>
          <w:ilvl w:val="1"/>
          <w:numId w:val="18"/>
        </w:numPr>
        <w:tabs>
          <w:tab w:val="left" w:pos="709"/>
        </w:tabs>
        <w:overflowPunct/>
        <w:autoSpaceDE/>
        <w:autoSpaceDN/>
        <w:adjustRightInd/>
        <w:spacing w:before="120" w:after="120" w:line="240" w:lineRule="auto"/>
        <w:jc w:val="left"/>
        <w:textAlignment w:val="auto"/>
        <w:rPr>
          <w:color w:val="000000"/>
        </w:rPr>
      </w:pPr>
      <w:r>
        <w:rPr>
          <w:color w:val="000000"/>
        </w:rPr>
        <w:t xml:space="preserve">Where the Charges are stated to be "subject to Indexation" they shall be adjusted in line with changes in the </w:t>
      </w:r>
      <w:hyperlink r:id="rId8" w:history="1">
        <w:r>
          <w:rPr>
            <w:rStyle w:val="Hyperlink"/>
          </w:rPr>
          <w:t>Services Producer Price Index (‘SPPI’)</w:t>
        </w:r>
      </w:hyperlink>
      <w:r>
        <w:rPr>
          <w:color w:val="000000"/>
        </w:rPr>
        <w:t xml:space="preserve"> Information and Communication Services HQVC or other index as specified by the Buyer in the Order Form.  All other costs, expenses, fees and Charges shall not be adjusted to take account of any inflation, change to exchange rate, </w:t>
      </w:r>
      <w:r>
        <w:rPr>
          <w:color w:val="000000"/>
        </w:rPr>
        <w:lastRenderedPageBreak/>
        <w:t>change to interest rate or any other factor or element which might otherwise increase the cost to the Supplier.</w:t>
      </w:r>
    </w:p>
    <w:p w14:paraId="5EEA3088" w14:textId="77777777" w:rsidR="002B1FD8" w:rsidRDefault="002B1FD8" w:rsidP="002B1FD8">
      <w:pPr>
        <w:numPr>
          <w:ilvl w:val="1"/>
          <w:numId w:val="18"/>
        </w:numPr>
        <w:tabs>
          <w:tab w:val="left" w:pos="709"/>
        </w:tabs>
        <w:overflowPunct/>
        <w:autoSpaceDE/>
        <w:autoSpaceDN/>
        <w:adjustRightInd/>
        <w:spacing w:before="120" w:after="120" w:line="240" w:lineRule="auto"/>
        <w:jc w:val="left"/>
        <w:textAlignment w:val="auto"/>
        <w:rPr>
          <w:color w:val="000000"/>
        </w:rPr>
      </w:pPr>
      <w:r>
        <w:rPr>
          <w:color w:val="000000"/>
        </w:rPr>
        <w:t xml:space="preserve">Charges shall not be indexed during the first </w:t>
      </w:r>
      <w:r w:rsidRPr="00B97403">
        <w:rPr>
          <w:b/>
          <w:color w:val="000000"/>
          <w:highlight w:val="yellow"/>
        </w:rPr>
        <w:t xml:space="preserve">[Insert: </w:t>
      </w:r>
      <w:r w:rsidRPr="00B97403">
        <w:rPr>
          <w:color w:val="000000"/>
          <w:highlight w:val="yellow"/>
        </w:rPr>
        <w:t>number]</w:t>
      </w:r>
      <w:r>
        <w:rPr>
          <w:color w:val="000000"/>
        </w:rPr>
        <w:t xml:space="preserve"> years following the Call-Off Start Date.  </w:t>
      </w:r>
    </w:p>
    <w:p w14:paraId="5954B3C9" w14:textId="77777777" w:rsidR="002B1FD8" w:rsidRDefault="002B1FD8" w:rsidP="002B1FD8">
      <w:pPr>
        <w:numPr>
          <w:ilvl w:val="1"/>
          <w:numId w:val="18"/>
        </w:numPr>
        <w:tabs>
          <w:tab w:val="left" w:pos="709"/>
        </w:tabs>
        <w:overflowPunct/>
        <w:autoSpaceDE/>
        <w:autoSpaceDN/>
        <w:adjustRightInd/>
        <w:spacing w:before="120" w:after="120" w:line="240" w:lineRule="auto"/>
        <w:jc w:val="left"/>
        <w:textAlignment w:val="auto"/>
        <w:rPr>
          <w:color w:val="000000"/>
        </w:rPr>
      </w:pPr>
      <w:r>
        <w:rPr>
          <w:color w:val="000000"/>
        </w:rPr>
        <w:t xml:space="preserve">Where the Order Form states a Charge is subject to Indexation then it will be indexed on the date which is </w:t>
      </w:r>
      <w:r>
        <w:rPr>
          <w:b/>
          <w:color w:val="000000"/>
          <w:highlight w:val="yellow"/>
        </w:rPr>
        <w:t>[Insert:</w:t>
      </w:r>
      <w:r>
        <w:rPr>
          <w:color w:val="000000"/>
          <w:highlight w:val="yellow"/>
        </w:rPr>
        <w:t xml:space="preserve"> number]</w:t>
      </w:r>
      <w:r>
        <w:rPr>
          <w:color w:val="000000"/>
        </w:rPr>
        <w:t xml:space="preserve"> years after the Call-Off Start Date to reflect the percentage change in the SPPI Information and Communication Services HQVC index or other index as specified by the Buyer in the Order Form since the Call-Off Start Date.  They shall be indexed on each following yearly anniversary to reflect the percentage change in the SPPI Information and Communication Services HQVC index or other index as specified by the Buyer in the Order Form since the previous change.</w:t>
      </w:r>
    </w:p>
    <w:p w14:paraId="218212D1" w14:textId="77777777" w:rsidR="002B1FD8" w:rsidRDefault="002B1FD8" w:rsidP="002B1FD8">
      <w:pPr>
        <w:numPr>
          <w:ilvl w:val="1"/>
          <w:numId w:val="18"/>
        </w:numPr>
        <w:tabs>
          <w:tab w:val="left" w:pos="709"/>
        </w:tabs>
        <w:overflowPunct/>
        <w:autoSpaceDE/>
        <w:autoSpaceDN/>
        <w:adjustRightInd/>
        <w:spacing w:before="120" w:after="120" w:line="240" w:lineRule="auto"/>
        <w:jc w:val="left"/>
        <w:textAlignment w:val="auto"/>
        <w:rPr>
          <w:color w:val="000000"/>
        </w:rPr>
      </w:pPr>
      <w:r>
        <w:rPr>
          <w:color w:val="000000"/>
        </w:rPr>
        <w:t>Where the SPPI Information and Communication Services HQVC Index or other index as specified by the Buyer in the Order Form:</w:t>
      </w:r>
    </w:p>
    <w:p w14:paraId="1618ABE1" w14:textId="77777777" w:rsidR="002B1FD8" w:rsidRDefault="002B1FD8" w:rsidP="00632033">
      <w:pPr>
        <w:numPr>
          <w:ilvl w:val="2"/>
          <w:numId w:val="18"/>
        </w:numPr>
        <w:tabs>
          <w:tab w:val="left" w:pos="1985"/>
          <w:tab w:val="left" w:pos="2127"/>
        </w:tabs>
        <w:overflowPunct/>
        <w:autoSpaceDE/>
        <w:autoSpaceDN/>
        <w:adjustRightInd/>
        <w:spacing w:before="120" w:after="120" w:line="240" w:lineRule="auto"/>
        <w:ind w:left="1560" w:hanging="851"/>
        <w:jc w:val="left"/>
        <w:textAlignment w:val="auto"/>
        <w:rPr>
          <w:color w:val="000000"/>
        </w:rPr>
      </w:pPr>
      <w:r>
        <w:rPr>
          <w:color w:val="000000"/>
        </w:rPr>
        <w:t>used to carry out an indexation calculation is updated (for example due to it being provisional) then the indexation calculation shall also be updated unless the Buyer and the Supplier agree otherwise; or</w:t>
      </w:r>
    </w:p>
    <w:p w14:paraId="4B8682F2" w14:textId="77777777" w:rsidR="002B1FD8" w:rsidRDefault="002B1FD8" w:rsidP="00632033">
      <w:pPr>
        <w:numPr>
          <w:ilvl w:val="2"/>
          <w:numId w:val="18"/>
        </w:numPr>
        <w:tabs>
          <w:tab w:val="left" w:pos="1985"/>
          <w:tab w:val="left" w:pos="2127"/>
        </w:tabs>
        <w:overflowPunct/>
        <w:autoSpaceDE/>
        <w:autoSpaceDN/>
        <w:adjustRightInd/>
        <w:spacing w:before="120" w:after="120" w:line="240" w:lineRule="auto"/>
        <w:ind w:left="1560" w:hanging="851"/>
        <w:jc w:val="left"/>
        <w:textAlignment w:val="auto"/>
        <w:rPr>
          <w:color w:val="000000"/>
        </w:rPr>
      </w:pPr>
      <w:r>
        <w:rPr>
          <w:color w:val="000000"/>
        </w:rPr>
        <w:t>is no longer published, the Buyer and the Supplier shall agree a fair and reasonable replacement that will have substantially the same effect.</w:t>
      </w:r>
    </w:p>
    <w:p w14:paraId="025A5E33" w14:textId="77777777" w:rsidR="002B1FD8" w:rsidRPr="00B97403" w:rsidRDefault="002B1FD8" w:rsidP="002B1FD8">
      <w:pPr>
        <w:numPr>
          <w:ilvl w:val="0"/>
          <w:numId w:val="18"/>
        </w:numPr>
        <w:tabs>
          <w:tab w:val="left" w:pos="142"/>
        </w:tabs>
        <w:overflowPunct/>
        <w:autoSpaceDE/>
        <w:autoSpaceDN/>
        <w:adjustRightInd/>
        <w:spacing w:before="120" w:line="240" w:lineRule="auto"/>
        <w:textAlignment w:val="auto"/>
        <w:rPr>
          <w:b/>
          <w:color w:val="000000"/>
        </w:rPr>
      </w:pPr>
      <w:r>
        <w:rPr>
          <w:b/>
          <w:color w:val="000000"/>
        </w:rPr>
        <w:t xml:space="preserve"> </w:t>
      </w:r>
      <w:r w:rsidRPr="00604DBB">
        <w:rPr>
          <w:b/>
          <w:color w:val="000000"/>
        </w:rPr>
        <w:t>When you will be reimbursed for travel and subsistence</w:t>
      </w:r>
    </w:p>
    <w:p w14:paraId="5FDC8DA9" w14:textId="77777777" w:rsidR="002B1FD8" w:rsidRPr="00604DBB" w:rsidRDefault="002B1FD8" w:rsidP="002B1FD8">
      <w:pPr>
        <w:numPr>
          <w:ilvl w:val="1"/>
          <w:numId w:val="18"/>
        </w:numPr>
        <w:tabs>
          <w:tab w:val="left" w:pos="709"/>
        </w:tabs>
        <w:overflowPunct/>
        <w:autoSpaceDE/>
        <w:autoSpaceDN/>
        <w:adjustRightInd/>
        <w:spacing w:before="120" w:after="120" w:line="240" w:lineRule="auto"/>
        <w:jc w:val="left"/>
        <w:textAlignment w:val="auto"/>
        <w:rPr>
          <w:color w:val="000000"/>
        </w:rPr>
      </w:pPr>
      <w:r w:rsidRPr="00604DBB">
        <w:rPr>
          <w:color w:val="000000"/>
        </w:rPr>
        <w:t>Expenses shall only be recoverable where:</w:t>
      </w:r>
    </w:p>
    <w:p w14:paraId="2B338303" w14:textId="77777777" w:rsidR="002B1FD8" w:rsidRPr="00604DBB" w:rsidRDefault="002B1FD8" w:rsidP="00632033">
      <w:pPr>
        <w:numPr>
          <w:ilvl w:val="2"/>
          <w:numId w:val="18"/>
        </w:numPr>
        <w:tabs>
          <w:tab w:val="left" w:pos="1980"/>
          <w:tab w:val="left" w:pos="2127"/>
        </w:tabs>
        <w:overflowPunct/>
        <w:autoSpaceDE/>
        <w:autoSpaceDN/>
        <w:adjustRightInd/>
        <w:spacing w:before="120" w:after="120" w:line="240" w:lineRule="auto"/>
        <w:ind w:left="1560" w:hanging="851"/>
        <w:jc w:val="left"/>
        <w:textAlignment w:val="auto"/>
        <w:rPr>
          <w:color w:val="000000"/>
        </w:rPr>
      </w:pPr>
      <w:r w:rsidRPr="00604DBB">
        <w:rPr>
          <w:color w:val="000000"/>
        </w:rPr>
        <w:t>the Order Form states that recovery is permitted; and</w:t>
      </w:r>
    </w:p>
    <w:p w14:paraId="7235C2CF" w14:textId="77777777" w:rsidR="002B1FD8" w:rsidRPr="00135275" w:rsidRDefault="002B1FD8" w:rsidP="00632033">
      <w:pPr>
        <w:numPr>
          <w:ilvl w:val="2"/>
          <w:numId w:val="18"/>
        </w:numPr>
        <w:tabs>
          <w:tab w:val="left" w:pos="1980"/>
          <w:tab w:val="left" w:pos="2127"/>
        </w:tabs>
        <w:overflowPunct/>
        <w:autoSpaceDE/>
        <w:autoSpaceDN/>
        <w:adjustRightInd/>
        <w:spacing w:before="120" w:after="120" w:line="240" w:lineRule="auto"/>
        <w:ind w:left="1560" w:hanging="851"/>
        <w:jc w:val="left"/>
        <w:textAlignment w:val="auto"/>
        <w:rPr>
          <w:color w:val="000000"/>
        </w:rPr>
      </w:pPr>
      <w:r w:rsidRPr="00135275">
        <w:rPr>
          <w:color w:val="000000"/>
        </w:rPr>
        <w:t>they are Reimbursable Expenses and are supported by Supporting Documentation.</w:t>
      </w:r>
    </w:p>
    <w:p w14:paraId="137F6C4C" w14:textId="06B668B3" w:rsidR="002B1FD8" w:rsidRPr="00B97403" w:rsidRDefault="002B1FD8" w:rsidP="002B1FD8">
      <w:pPr>
        <w:numPr>
          <w:ilvl w:val="1"/>
          <w:numId w:val="18"/>
        </w:numPr>
        <w:tabs>
          <w:tab w:val="left" w:pos="709"/>
        </w:tabs>
        <w:overflowPunct/>
        <w:autoSpaceDE/>
        <w:autoSpaceDN/>
        <w:adjustRightInd/>
        <w:spacing w:before="120" w:after="120" w:line="240" w:lineRule="auto"/>
        <w:jc w:val="left"/>
        <w:textAlignment w:val="auto"/>
        <w:rPr>
          <w:color w:val="000000"/>
        </w:rPr>
      </w:pPr>
      <w:bookmarkStart w:id="1" w:name="_heading=h.tyjcwt"/>
      <w:bookmarkStart w:id="2" w:name="_heading=h.3dy6vkm"/>
      <w:bookmarkEnd w:id="1"/>
      <w:bookmarkEnd w:id="2"/>
      <w:r w:rsidRPr="00135275">
        <w:rPr>
          <w:color w:val="000000"/>
        </w:rPr>
        <w:t xml:space="preserve">The Buyer shall provide a copy of </w:t>
      </w:r>
      <w:r>
        <w:rPr>
          <w:color w:val="000000"/>
        </w:rPr>
        <w:t>its</w:t>
      </w:r>
      <w:r w:rsidRPr="00135275">
        <w:rPr>
          <w:color w:val="000000"/>
        </w:rPr>
        <w:t xml:space="preserve"> current expenses policy to the Supplier upon request</w:t>
      </w:r>
      <w:r w:rsidRPr="00B97403">
        <w:rPr>
          <w:color w:val="000000"/>
        </w:rPr>
        <w:t>.</w:t>
      </w:r>
    </w:p>
    <w:p w14:paraId="1A6A6512" w14:textId="7B4DEAC5" w:rsidR="00DC539C" w:rsidRDefault="00DC539C">
      <w:pPr>
        <w:overflowPunct/>
        <w:autoSpaceDE/>
        <w:autoSpaceDN/>
        <w:adjustRightInd/>
        <w:textAlignment w:val="auto"/>
        <w:rPr>
          <w:color w:val="000000"/>
        </w:rPr>
      </w:pPr>
      <w:r>
        <w:rPr>
          <w:color w:val="000000"/>
        </w:rPr>
        <w:br w:type="page"/>
      </w:r>
    </w:p>
    <w:p w14:paraId="773493C1" w14:textId="77777777" w:rsidR="002B1FD8" w:rsidRDefault="002B1FD8" w:rsidP="002B1FD8">
      <w:pPr>
        <w:tabs>
          <w:tab w:val="left" w:pos="1985"/>
          <w:tab w:val="left" w:pos="2127"/>
        </w:tabs>
        <w:spacing w:before="120"/>
        <w:ind w:left="720"/>
        <w:rPr>
          <w:color w:val="000000"/>
        </w:rPr>
      </w:pPr>
    </w:p>
    <w:p w14:paraId="7EB4259F" w14:textId="77777777" w:rsidR="002B1FD8" w:rsidRPr="00632033" w:rsidRDefault="002B1FD8" w:rsidP="00632033">
      <w:pPr>
        <w:pStyle w:val="Heading3"/>
        <w:numPr>
          <w:ilvl w:val="0"/>
          <w:numId w:val="0"/>
        </w:numPr>
        <w:jc w:val="center"/>
        <w:rPr>
          <w:b/>
          <w:bCs/>
        </w:rPr>
      </w:pPr>
      <w:r w:rsidRPr="00632033">
        <w:rPr>
          <w:b/>
          <w:bCs/>
        </w:rPr>
        <w:t>Annex 1 (Expenses Policy)</w:t>
      </w:r>
    </w:p>
    <w:p w14:paraId="60144CE8" w14:textId="77777777" w:rsidR="002B1FD8" w:rsidRDefault="002B1FD8" w:rsidP="002B1FD8">
      <w:r>
        <w:t>[</w:t>
      </w:r>
      <w:r>
        <w:rPr>
          <w:b/>
        </w:rPr>
        <w:t>Insert</w:t>
      </w:r>
      <w:r>
        <w:t xml:space="preserve"> Buyer’s Expenses Policy]</w:t>
      </w:r>
    </w:p>
    <w:p w14:paraId="05D73BC6" w14:textId="77777777" w:rsidR="002B1FD8" w:rsidRPr="00B97403" w:rsidRDefault="002B1FD8" w:rsidP="002B1FD8">
      <w:pPr>
        <w:tabs>
          <w:tab w:val="left" w:pos="1985"/>
          <w:tab w:val="left" w:pos="2127"/>
        </w:tabs>
        <w:spacing w:before="120"/>
        <w:ind w:left="720"/>
        <w:rPr>
          <w:color w:val="000000"/>
        </w:rPr>
      </w:pPr>
    </w:p>
    <w:p w14:paraId="6C3D2834" w14:textId="77777777" w:rsidR="002B1FD8" w:rsidRDefault="002B1FD8" w:rsidP="00AE1F87">
      <w:pPr>
        <w:spacing w:before="120" w:after="120" w:line="240" w:lineRule="auto"/>
        <w:jc w:val="left"/>
        <w:rPr>
          <w:rFonts w:eastAsia="Arial"/>
        </w:rPr>
      </w:pPr>
    </w:p>
    <w:p w14:paraId="0F806E84" w14:textId="77777777" w:rsidR="008612D5" w:rsidRDefault="008612D5" w:rsidP="00AE1F87">
      <w:pPr>
        <w:spacing w:before="120" w:after="120" w:line="240" w:lineRule="auto"/>
        <w:jc w:val="left"/>
        <w:rPr>
          <w:rFonts w:eastAsia="Arial"/>
        </w:rPr>
      </w:pPr>
    </w:p>
    <w:sectPr w:rsidR="008612D5">
      <w:headerReference w:type="default" r:id="rId9"/>
      <w:footerReference w:type="default" r:id="rId10"/>
      <w:headerReference w:type="first" r:id="rId11"/>
      <w:footerReference w:type="first" r:id="rId12"/>
      <w:pgSz w:w="11909" w:h="16834"/>
      <w:pgMar w:top="1440" w:right="1440" w:bottom="144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7CCDC" w14:textId="77777777" w:rsidR="006F45DA" w:rsidRDefault="006F45DA">
      <w:pPr>
        <w:spacing w:after="0" w:line="240" w:lineRule="auto"/>
      </w:pPr>
      <w:r>
        <w:separator/>
      </w:r>
    </w:p>
  </w:endnote>
  <w:endnote w:type="continuationSeparator" w:id="0">
    <w:p w14:paraId="15EAFF72" w14:textId="77777777" w:rsidR="006F45DA" w:rsidRDefault="006F4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B12B0" w14:textId="396FE7D9" w:rsidR="006F45DA" w:rsidRPr="00E35C36" w:rsidRDefault="006F45DA" w:rsidP="00E35C36">
    <w:pPr>
      <w:pBdr>
        <w:top w:val="nil"/>
        <w:left w:val="nil"/>
        <w:bottom w:val="nil"/>
        <w:right w:val="nil"/>
        <w:between w:val="nil"/>
      </w:pBdr>
      <w:tabs>
        <w:tab w:val="center" w:pos="4153"/>
        <w:tab w:val="right" w:pos="8306"/>
      </w:tabs>
      <w:spacing w:after="0" w:line="240" w:lineRule="auto"/>
      <w:rPr>
        <w:rFonts w:eastAsia="Arial"/>
        <w:color w:val="000000"/>
        <w:sz w:val="20"/>
        <w:szCs w:val="20"/>
      </w:rPr>
    </w:pPr>
    <w:r w:rsidRPr="00E35C36">
      <w:rPr>
        <w:rFonts w:eastAsia="Arial"/>
        <w:color w:val="000000"/>
        <w:sz w:val="20"/>
        <w:szCs w:val="20"/>
      </w:rPr>
      <w:t>Framework Ref: RM</w:t>
    </w:r>
    <w:r w:rsidR="00966F02">
      <w:rPr>
        <w:rFonts w:eastAsia="Arial"/>
        <w:color w:val="000000"/>
        <w:sz w:val="20"/>
        <w:szCs w:val="20"/>
      </w:rPr>
      <w:t>1043.9</w:t>
    </w:r>
  </w:p>
  <w:p w14:paraId="3C98BA90" w14:textId="77777777" w:rsidR="006F45DA" w:rsidRPr="00E35C36" w:rsidRDefault="006F45DA" w:rsidP="00E35C36">
    <w:pPr>
      <w:pBdr>
        <w:top w:val="nil"/>
        <w:left w:val="nil"/>
        <w:bottom w:val="nil"/>
        <w:right w:val="nil"/>
        <w:between w:val="nil"/>
      </w:pBdr>
      <w:tabs>
        <w:tab w:val="center" w:pos="4153"/>
        <w:tab w:val="right" w:pos="8306"/>
      </w:tabs>
      <w:spacing w:after="0" w:line="240" w:lineRule="auto"/>
      <w:rPr>
        <w:rFonts w:eastAsia="Arial"/>
        <w:color w:val="000000"/>
        <w:sz w:val="20"/>
        <w:szCs w:val="20"/>
      </w:rPr>
    </w:pPr>
    <w:r w:rsidRPr="00E35C36">
      <w:rPr>
        <w:rFonts w:eastAsia="Arial"/>
        <w:color w:val="000000"/>
        <w:sz w:val="20"/>
        <w:szCs w:val="20"/>
      </w:rPr>
      <w:t>Project Version: v1.0</w:t>
    </w:r>
    <w:r w:rsidRPr="00E35C36">
      <w:rPr>
        <w:rFonts w:eastAsia="Arial"/>
        <w:color w:val="000000"/>
        <w:sz w:val="20"/>
        <w:szCs w:val="20"/>
      </w:rPr>
      <w:tab/>
    </w:r>
    <w:r w:rsidRPr="00E35C36">
      <w:rPr>
        <w:rFonts w:eastAsia="Arial"/>
        <w:color w:val="000000"/>
        <w:sz w:val="20"/>
        <w:szCs w:val="20"/>
      </w:rPr>
      <w:tab/>
    </w:r>
    <w:r w:rsidRPr="00E35C36">
      <w:rPr>
        <w:rFonts w:eastAsia="Arial"/>
        <w:color w:val="000000"/>
        <w:sz w:val="20"/>
        <w:szCs w:val="20"/>
      </w:rPr>
      <w:tab/>
      <w:t xml:space="preserve"> 1</w:t>
    </w:r>
  </w:p>
  <w:p w14:paraId="4A39EADF" w14:textId="77777777" w:rsidR="006F45DA" w:rsidRPr="00E35C36" w:rsidRDefault="006F45DA" w:rsidP="00E35C36">
    <w:pPr>
      <w:pBdr>
        <w:top w:val="nil"/>
        <w:left w:val="nil"/>
        <w:bottom w:val="nil"/>
        <w:right w:val="nil"/>
        <w:between w:val="nil"/>
      </w:pBdr>
      <w:tabs>
        <w:tab w:val="center" w:pos="4153"/>
        <w:tab w:val="right" w:pos="8306"/>
      </w:tabs>
      <w:spacing w:after="0" w:line="240" w:lineRule="auto"/>
      <w:rPr>
        <w:color w:val="A6A6A6"/>
        <w:sz w:val="20"/>
        <w:szCs w:val="20"/>
      </w:rPr>
    </w:pPr>
    <w:r>
      <w:rPr>
        <w:rFonts w:eastAsia="Arial"/>
        <w:color w:val="000000"/>
        <w:sz w:val="20"/>
        <w:szCs w:val="20"/>
      </w:rPr>
      <w:t>Model Version: v1.0 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0232F" w14:textId="77777777" w:rsidR="006F45DA" w:rsidRDefault="006F45DA">
    <w:pPr>
      <w:pBdr>
        <w:top w:val="nil"/>
        <w:left w:val="nil"/>
        <w:bottom w:val="nil"/>
        <w:right w:val="nil"/>
        <w:between w:val="nil"/>
      </w:pBdr>
      <w:tabs>
        <w:tab w:val="center" w:pos="4153"/>
        <w:tab w:val="right" w:pos="8306"/>
      </w:tabs>
      <w:spacing w:after="0" w:line="240" w:lineRule="auto"/>
      <w:rPr>
        <w:rFonts w:eastAsia="Arial"/>
        <w:color w:val="000000"/>
        <w:sz w:val="20"/>
        <w:szCs w:val="20"/>
      </w:rPr>
    </w:pPr>
  </w:p>
  <w:p w14:paraId="28B2AA27" w14:textId="3AA37E0E" w:rsidR="006F45DA" w:rsidRDefault="006F45DA">
    <w:pPr>
      <w:pBdr>
        <w:top w:val="nil"/>
        <w:left w:val="nil"/>
        <w:bottom w:val="nil"/>
        <w:right w:val="nil"/>
        <w:between w:val="nil"/>
      </w:pBdr>
      <w:tabs>
        <w:tab w:val="center" w:pos="4153"/>
        <w:tab w:val="right" w:pos="8306"/>
      </w:tabs>
      <w:spacing w:after="0" w:line="240" w:lineRule="auto"/>
      <w:rPr>
        <w:rFonts w:eastAsia="Arial"/>
        <w:color w:val="000000"/>
        <w:sz w:val="20"/>
        <w:szCs w:val="20"/>
      </w:rPr>
    </w:pPr>
    <w:r>
      <w:rPr>
        <w:rFonts w:eastAsia="Arial"/>
        <w:color w:val="000000"/>
        <w:sz w:val="20"/>
        <w:szCs w:val="20"/>
      </w:rPr>
      <w:t>Framework Ref: RM</w:t>
    </w:r>
    <w:r w:rsidR="00D82445">
      <w:rPr>
        <w:rFonts w:eastAsia="Arial"/>
        <w:color w:val="000000"/>
        <w:sz w:val="20"/>
        <w:szCs w:val="20"/>
      </w:rPr>
      <w:t>1043.9</w:t>
    </w:r>
  </w:p>
  <w:p w14:paraId="6936591B" w14:textId="77777777" w:rsidR="006F45DA" w:rsidRDefault="006F45DA">
    <w:pPr>
      <w:pBdr>
        <w:top w:val="nil"/>
        <w:left w:val="nil"/>
        <w:bottom w:val="nil"/>
        <w:right w:val="nil"/>
        <w:between w:val="nil"/>
      </w:pBdr>
      <w:tabs>
        <w:tab w:val="center" w:pos="4153"/>
        <w:tab w:val="right" w:pos="8306"/>
      </w:tabs>
      <w:spacing w:after="0" w:line="240" w:lineRule="auto"/>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r>
    <w:r>
      <w:rPr>
        <w:rFonts w:eastAsia="Arial"/>
        <w:color w:val="000000"/>
        <w:sz w:val="20"/>
        <w:szCs w:val="20"/>
      </w:rPr>
      <w:tab/>
      <w:t xml:space="preserve"> 1</w:t>
    </w:r>
  </w:p>
  <w:p w14:paraId="650550D3" w14:textId="77777777" w:rsidR="006F45DA" w:rsidRDefault="006F45DA">
    <w:pPr>
      <w:pBdr>
        <w:top w:val="nil"/>
        <w:left w:val="nil"/>
        <w:bottom w:val="nil"/>
        <w:right w:val="nil"/>
        <w:between w:val="nil"/>
      </w:pBdr>
      <w:tabs>
        <w:tab w:val="center" w:pos="4153"/>
        <w:tab w:val="right" w:pos="8306"/>
      </w:tabs>
      <w:spacing w:after="0" w:line="240" w:lineRule="auto"/>
      <w:rPr>
        <w:color w:val="A6A6A6"/>
      </w:rPr>
    </w:pPr>
    <w:r>
      <w:rPr>
        <w:rFonts w:eastAsia="Arial"/>
        <w:color w:val="000000"/>
        <w:sz w:val="20"/>
        <w:szCs w:val="20"/>
      </w:rPr>
      <w:t>Model Version: v1.0 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A9DB3" w14:textId="77777777" w:rsidR="006F45DA" w:rsidRDefault="006F45DA">
      <w:pPr>
        <w:spacing w:after="0" w:line="240" w:lineRule="auto"/>
      </w:pPr>
      <w:r>
        <w:separator/>
      </w:r>
    </w:p>
  </w:footnote>
  <w:footnote w:type="continuationSeparator" w:id="0">
    <w:p w14:paraId="048096DA" w14:textId="77777777" w:rsidR="006F45DA" w:rsidRDefault="006F4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1AD53" w14:textId="77777777" w:rsidR="006F45DA" w:rsidRDefault="006F45DA" w:rsidP="00E35C36">
    <w:pPr>
      <w:tabs>
        <w:tab w:val="center" w:pos="4513"/>
        <w:tab w:val="right" w:pos="9026"/>
      </w:tabs>
      <w:spacing w:after="0" w:line="240" w:lineRule="auto"/>
      <w:rPr>
        <w:rFonts w:eastAsia="Arial"/>
        <w:sz w:val="20"/>
        <w:szCs w:val="20"/>
      </w:rPr>
    </w:pPr>
    <w:r>
      <w:rPr>
        <w:rFonts w:eastAsia="Arial"/>
        <w:b/>
        <w:sz w:val="20"/>
        <w:szCs w:val="20"/>
      </w:rPr>
      <w:t>Call-Off Schedule 5 (Pricing Details)</w:t>
    </w:r>
  </w:p>
  <w:p w14:paraId="46E341DD" w14:textId="77777777" w:rsidR="006F45DA" w:rsidRDefault="006F45DA" w:rsidP="00E35C36">
    <w:pPr>
      <w:tabs>
        <w:tab w:val="center" w:pos="4513"/>
        <w:tab w:val="right" w:pos="9026"/>
      </w:tabs>
      <w:spacing w:after="0" w:line="240" w:lineRule="auto"/>
      <w:rPr>
        <w:rFonts w:eastAsia="Arial"/>
        <w:sz w:val="20"/>
        <w:szCs w:val="20"/>
      </w:rPr>
    </w:pPr>
    <w:r>
      <w:rPr>
        <w:rFonts w:eastAsia="Arial"/>
        <w:sz w:val="20"/>
        <w:szCs w:val="20"/>
      </w:rPr>
      <w:t>Call-Off Ref:</w:t>
    </w:r>
  </w:p>
  <w:p w14:paraId="176286AA" w14:textId="77777777" w:rsidR="006F45DA" w:rsidRDefault="006F45DA" w:rsidP="00E35C36">
    <w:pPr>
      <w:tabs>
        <w:tab w:val="center" w:pos="4513"/>
        <w:tab w:val="right" w:pos="9026"/>
      </w:tabs>
      <w:spacing w:after="0" w:line="240" w:lineRule="auto"/>
      <w:rPr>
        <w:rFonts w:eastAsia="Arial"/>
        <w:sz w:val="20"/>
        <w:szCs w:val="20"/>
      </w:rPr>
    </w:pPr>
    <w:r>
      <w:rPr>
        <w:rFonts w:eastAsia="Arial"/>
        <w:sz w:val="20"/>
        <w:szCs w:val="20"/>
      </w:rPr>
      <w:t>Crown Copyright 2025</w:t>
    </w:r>
  </w:p>
  <w:p w14:paraId="39D4F742" w14:textId="77777777" w:rsidR="006F45DA" w:rsidRPr="00E35C36" w:rsidRDefault="006F45DA" w:rsidP="00E35C36">
    <w:pPr>
      <w:tabs>
        <w:tab w:val="center" w:pos="4513"/>
        <w:tab w:val="right" w:pos="9026"/>
      </w:tabs>
      <w:spacing w:after="0" w:line="240" w:lineRule="auto"/>
      <w:rPr>
        <w:rFonts w:eastAsia="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6FD8B" w14:textId="26A38111" w:rsidR="006F45DA" w:rsidRPr="00BA13A0" w:rsidRDefault="006F45DA">
    <w:pPr>
      <w:tabs>
        <w:tab w:val="center" w:pos="4513"/>
        <w:tab w:val="right" w:pos="9026"/>
      </w:tabs>
      <w:spacing w:after="0" w:line="240" w:lineRule="auto"/>
      <w:rPr>
        <w:rFonts w:eastAsia="Arial"/>
        <w:sz w:val="22"/>
        <w:szCs w:val="22"/>
      </w:rPr>
    </w:pPr>
    <w:r w:rsidRPr="00BA13A0">
      <w:rPr>
        <w:rFonts w:eastAsia="Arial"/>
        <w:b/>
        <w:sz w:val="22"/>
        <w:szCs w:val="22"/>
      </w:rPr>
      <w:t>Call-Off Schedule 5 (Pricing Details</w:t>
    </w:r>
    <w:r w:rsidR="009319D7">
      <w:rPr>
        <w:rFonts w:eastAsia="Arial"/>
        <w:b/>
        <w:sz w:val="22"/>
        <w:szCs w:val="22"/>
      </w:rPr>
      <w:t xml:space="preserve"> and Expenses Policy</w:t>
    </w:r>
    <w:r w:rsidRPr="00BA13A0">
      <w:rPr>
        <w:rFonts w:eastAsia="Arial"/>
        <w:b/>
        <w:sz w:val="22"/>
        <w:szCs w:val="22"/>
      </w:rPr>
      <w:t>)</w:t>
    </w:r>
  </w:p>
  <w:p w14:paraId="64E9BAC6" w14:textId="77777777" w:rsidR="006F45DA" w:rsidRPr="00BA13A0" w:rsidRDefault="006F45DA">
    <w:pPr>
      <w:tabs>
        <w:tab w:val="center" w:pos="4513"/>
        <w:tab w:val="right" w:pos="9026"/>
      </w:tabs>
      <w:spacing w:after="0" w:line="240" w:lineRule="auto"/>
      <w:rPr>
        <w:rFonts w:eastAsia="Arial"/>
        <w:sz w:val="22"/>
        <w:szCs w:val="22"/>
      </w:rPr>
    </w:pPr>
    <w:r w:rsidRPr="00BA13A0">
      <w:rPr>
        <w:rFonts w:eastAsia="Arial"/>
        <w:sz w:val="22"/>
        <w:szCs w:val="22"/>
      </w:rPr>
      <w:t>Call-Off Ref:</w:t>
    </w:r>
  </w:p>
  <w:p w14:paraId="5D3A83AE" w14:textId="39E3492D" w:rsidR="006F45DA" w:rsidRPr="00BA13A0" w:rsidRDefault="006F45DA" w:rsidP="00555938">
    <w:pPr>
      <w:tabs>
        <w:tab w:val="center" w:pos="4513"/>
        <w:tab w:val="right" w:pos="9026"/>
      </w:tabs>
      <w:spacing w:after="0" w:line="240" w:lineRule="auto"/>
      <w:rPr>
        <w:rFonts w:eastAsia="Arial"/>
        <w:sz w:val="22"/>
        <w:szCs w:val="22"/>
      </w:rPr>
    </w:pPr>
    <w:r w:rsidRPr="00BA13A0">
      <w:rPr>
        <w:rFonts w:eastAsia="Arial"/>
        <w:sz w:val="22"/>
        <w:szCs w:val="22"/>
      </w:rPr>
      <w:t>Crown Copyright 2025</w:t>
    </w:r>
  </w:p>
  <w:p w14:paraId="5F7B0369" w14:textId="77777777" w:rsidR="006F45DA" w:rsidRPr="00555938" w:rsidRDefault="006F45DA" w:rsidP="00555938">
    <w:pPr>
      <w:tabs>
        <w:tab w:val="center" w:pos="4513"/>
        <w:tab w:val="right" w:pos="9026"/>
      </w:tabs>
      <w:spacing w:after="0" w:line="240" w:lineRule="auto"/>
      <w:rPr>
        <w:rFonts w:eastAsia="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93272"/>
    <w:multiLevelType w:val="multilevel"/>
    <w:tmpl w:val="14A6854C"/>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C62CBB"/>
    <w:multiLevelType w:val="multilevel"/>
    <w:tmpl w:val="9B848A6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7350041B"/>
    <w:multiLevelType w:val="multilevel"/>
    <w:tmpl w:val="A35ED34E"/>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i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195844224">
    <w:abstractNumId w:val="2"/>
  </w:num>
  <w:num w:numId="2" w16cid:durableId="8746597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17721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6744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12311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60253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2489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2079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8086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60282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9501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36616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65549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65376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99058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7328216">
    <w:abstractNumId w:val="1"/>
  </w:num>
  <w:num w:numId="17" w16cid:durableId="416827360">
    <w:abstractNumId w:val="0"/>
  </w:num>
  <w:num w:numId="18" w16cid:durableId="1781103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2D5"/>
    <w:rsid w:val="00054B14"/>
    <w:rsid w:val="0010115F"/>
    <w:rsid w:val="00154312"/>
    <w:rsid w:val="001675B9"/>
    <w:rsid w:val="00190CE8"/>
    <w:rsid w:val="001F1290"/>
    <w:rsid w:val="00263749"/>
    <w:rsid w:val="002927E8"/>
    <w:rsid w:val="002B1FD8"/>
    <w:rsid w:val="00461D95"/>
    <w:rsid w:val="004B1E6F"/>
    <w:rsid w:val="00555938"/>
    <w:rsid w:val="005C5502"/>
    <w:rsid w:val="00632033"/>
    <w:rsid w:val="00682A32"/>
    <w:rsid w:val="006C7279"/>
    <w:rsid w:val="006F45DA"/>
    <w:rsid w:val="007313EC"/>
    <w:rsid w:val="007F2822"/>
    <w:rsid w:val="00824005"/>
    <w:rsid w:val="008612D5"/>
    <w:rsid w:val="009319D7"/>
    <w:rsid w:val="00964B0F"/>
    <w:rsid w:val="00966F02"/>
    <w:rsid w:val="00AE1F87"/>
    <w:rsid w:val="00BA13A0"/>
    <w:rsid w:val="00BD181B"/>
    <w:rsid w:val="00C73683"/>
    <w:rsid w:val="00D82445"/>
    <w:rsid w:val="00DC539C"/>
    <w:rsid w:val="00DF11D1"/>
    <w:rsid w:val="00E35C36"/>
    <w:rsid w:val="00E5574F"/>
    <w:rsid w:val="00EA05D2"/>
    <w:rsid w:val="00F236C8"/>
    <w:rsid w:val="00F33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732F0"/>
  <w15:docId w15:val="{73687284-4CC4-49EF-8703-E57F719FA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HouseStyleBase"/>
    <w:link w:val="Heading1Char"/>
    <w:uiPriority w:val="9"/>
    <w:qFormat/>
    <w:pPr>
      <w:numPr>
        <w:numId w:val="1"/>
      </w:numPr>
      <w:outlineLvl w:val="0"/>
    </w:pPr>
  </w:style>
  <w:style w:type="paragraph" w:styleId="Heading2">
    <w:name w:val="heading 2"/>
    <w:basedOn w:val="HouseStyleBase"/>
    <w:link w:val="Heading2Char"/>
    <w:uiPriority w:val="9"/>
    <w:qFormat/>
    <w:pPr>
      <w:numPr>
        <w:ilvl w:val="1"/>
        <w:numId w:val="1"/>
      </w:numPr>
      <w:outlineLvl w:val="1"/>
    </w:pPr>
    <w:rPr>
      <w:rFonts w:ascii="Calibri" w:hAnsi="Calibri"/>
    </w:rPr>
  </w:style>
  <w:style w:type="paragraph" w:styleId="Heading3">
    <w:name w:val="heading 3"/>
    <w:basedOn w:val="HouseStyleBase"/>
    <w:link w:val="Heading3Char"/>
    <w:uiPriority w:val="9"/>
    <w:qFormat/>
    <w:pPr>
      <w:numPr>
        <w:ilvl w:val="2"/>
        <w:numId w:val="1"/>
      </w:numPr>
      <w:outlineLvl w:val="2"/>
    </w:pPr>
  </w:style>
  <w:style w:type="paragraph" w:styleId="Heading4">
    <w:name w:val="heading 4"/>
    <w:basedOn w:val="HouseStyleBase"/>
    <w:link w:val="Heading4Char"/>
    <w:uiPriority w:val="9"/>
    <w:qFormat/>
    <w:pPr>
      <w:numPr>
        <w:ilvl w:val="3"/>
        <w:numId w:val="1"/>
      </w:numPr>
      <w:outlineLvl w:val="3"/>
    </w:pPr>
  </w:style>
  <w:style w:type="paragraph" w:styleId="Heading5">
    <w:name w:val="heading 5"/>
    <w:basedOn w:val="HouseStyleBase"/>
    <w:link w:val="Heading5Char"/>
    <w:uiPriority w:val="9"/>
    <w:qFormat/>
    <w:pPr>
      <w:numPr>
        <w:ilvl w:val="4"/>
        <w:numId w:val="1"/>
      </w:numPr>
      <w:outlineLvl w:val="4"/>
    </w:pPr>
  </w:style>
  <w:style w:type="paragraph" w:styleId="Heading6">
    <w:name w:val="heading 6"/>
    <w:basedOn w:val="HouseStyleBase"/>
    <w:qFormat/>
    <w:pPr>
      <w:numPr>
        <w:ilvl w:val="5"/>
        <w:numId w:val="1"/>
      </w:numPr>
      <w:outlineLvl w:val="5"/>
    </w:pPr>
  </w:style>
  <w:style w:type="paragraph" w:styleId="Heading7">
    <w:name w:val="heading 7"/>
    <w:basedOn w:val="HouseStyleBase"/>
    <w:qFormat/>
    <w:pPr>
      <w:numPr>
        <w:ilvl w:val="6"/>
        <w:numId w:val="1"/>
      </w:numPr>
      <w:outlineLvl w:val="6"/>
    </w:pPr>
  </w:style>
  <w:style w:type="paragraph" w:styleId="Heading8">
    <w:name w:val="heading 8"/>
    <w:basedOn w:val="HouseStyleBase"/>
    <w:qFormat/>
    <w:pPr>
      <w:numPr>
        <w:ilvl w:val="7"/>
        <w:numId w:val="1"/>
      </w:numPr>
      <w:outlineLvl w:val="7"/>
    </w:pPr>
  </w:style>
  <w:style w:type="paragraph" w:styleId="Heading9">
    <w:name w:val="heading 9"/>
    <w:basedOn w:val="HouseStyleBase"/>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pPr>
    <w:rPr>
      <w:b/>
      <w:kern w:val="28"/>
      <w:sz w:val="32"/>
    </w:rPr>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pPr>
      <w:tabs>
        <w:tab w:val="num" w:pos="720"/>
      </w:tabs>
      <w:ind w:left="720" w:hanging="720"/>
    </w:pPr>
    <w:rPr>
      <w:rFonts w:ascii="Calibri" w:hAnsi="Calibri"/>
    </w:rPr>
  </w:style>
  <w:style w:type="paragraph" w:styleId="BodyTextIndent2">
    <w:name w:val="Body Text Indent 2"/>
    <w:basedOn w:val="HouseStyleBase"/>
    <w:link w:val="BodyTextIndent2Char"/>
    <w:pPr>
      <w:tabs>
        <w:tab w:val="num" w:pos="1440"/>
      </w:tabs>
      <w:ind w:left="1440" w:hanging="720"/>
    </w:pPr>
  </w:style>
  <w:style w:type="paragraph" w:styleId="BodyTextIndent3">
    <w:name w:val="Body Text Indent 3"/>
    <w:basedOn w:val="HouseStyleBase"/>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Pr>
      <w:rFonts w:ascii="Calibri" w:hAnsi="Calibri"/>
    </w:rPr>
  </w:style>
  <w:style w:type="paragraph" w:styleId="BodyText">
    <w:name w:val="Body Text"/>
    <w:basedOn w:val="Normal"/>
    <w:link w:val="BodyTextChar"/>
    <w:uiPriority w:val="99"/>
    <w:pPr>
      <w:spacing w:after="120"/>
    </w:pPr>
  </w:style>
  <w:style w:type="character" w:styleId="PageNumber">
    <w:name w:val="page number"/>
    <w:rPr>
      <w:sz w:val="22"/>
    </w:rPr>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Centred"/>
    <w:next w:val="SchPart"/>
    <w:pPr>
      <w:keepNext/>
      <w:tabs>
        <w:tab w:val="num" w:pos="720"/>
      </w:tabs>
      <w:ind w:left="720" w:hanging="720"/>
      <w:jc w:val="center"/>
      <w:outlineLvl w:val="0"/>
    </w:pPr>
    <w:rPr>
      <w:b/>
      <w:caps/>
    </w:rPr>
  </w:style>
  <w:style w:type="paragraph" w:customStyle="1" w:styleId="ScheduleL1">
    <w:name w:val="Schedule L1"/>
    <w:basedOn w:val="HouseStyleBase"/>
    <w:pPr>
      <w:keepNext/>
      <w:tabs>
        <w:tab w:val="num" w:pos="720"/>
      </w:tabs>
      <w:ind w:left="720" w:hanging="720"/>
      <w:outlineLvl w:val="0"/>
    </w:pPr>
    <w:rPr>
      <w:rFonts w:ascii="Calibri" w:hAnsi="Calibri"/>
      <w:b/>
      <w:bCs/>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ListBullet2">
    <w:name w:val="List Bullet 2"/>
    <w:basedOn w:val="HouseStyleBase"/>
    <w:pPr>
      <w:tabs>
        <w:tab w:val="num" w:pos="1440"/>
      </w:tabs>
      <w:ind w:left="1440" w:hanging="720"/>
    </w:pPr>
  </w:style>
  <w:style w:type="paragraph" w:customStyle="1" w:styleId="HouseStyleBase">
    <w:name w:val="House Style Base"/>
    <w:link w:val="HouseStyleBaseChar"/>
    <w:pPr>
      <w:adjustRightInd w:val="0"/>
    </w:pPr>
    <w:rPr>
      <w:rFonts w:eastAsia="STZhongsong"/>
      <w:lang w:eastAsia="zh-CN"/>
    </w:rPr>
  </w:style>
  <w:style w:type="numbering" w:styleId="111111">
    <w:name w:val="Outline List 2"/>
    <w:basedOn w:val="NoList"/>
  </w:style>
  <w:style w:type="paragraph" w:styleId="TOC1">
    <w:name w:val="toc 1"/>
    <w:semiHidden/>
    <w:pPr>
      <w:tabs>
        <w:tab w:val="left" w:pos="720"/>
        <w:tab w:val="right" w:leader="dot" w:pos="9029"/>
      </w:tabs>
      <w:adjustRightInd w:val="0"/>
      <w:spacing w:after="120"/>
      <w:ind w:left="720" w:hanging="720"/>
    </w:pPr>
    <w:rPr>
      <w:rFonts w:eastAsia="STZhongsong"/>
      <w:caps/>
      <w:lang w:eastAsia="zh-CN"/>
    </w:rPr>
  </w:style>
  <w:style w:type="paragraph" w:styleId="TOC2">
    <w:name w:val="toc 2"/>
    <w:semiHidden/>
    <w:pPr>
      <w:tabs>
        <w:tab w:val="left" w:pos="1440"/>
        <w:tab w:val="right" w:leader="dot" w:pos="9029"/>
      </w:tabs>
      <w:adjustRightInd w:val="0"/>
      <w:spacing w:after="120"/>
      <w:ind w:left="1440" w:hanging="720"/>
    </w:pPr>
    <w:rPr>
      <w:rFonts w:eastAsia="STZhongsong"/>
      <w:lang w:eastAsia="zh-CN"/>
    </w:rPr>
  </w:style>
  <w:style w:type="paragraph" w:styleId="TOC3">
    <w:name w:val="toc 3"/>
    <w:semiHidden/>
    <w:pPr>
      <w:tabs>
        <w:tab w:val="left" w:pos="2160"/>
        <w:tab w:val="right" w:leader="dot" w:pos="9029"/>
      </w:tabs>
      <w:adjustRightInd w:val="0"/>
      <w:spacing w:after="120"/>
      <w:ind w:left="2160" w:hanging="720"/>
    </w:pPr>
    <w:rPr>
      <w:rFonts w:eastAsia="STZhongsong"/>
      <w:lang w:eastAsia="zh-CN"/>
    </w:rPr>
  </w:style>
  <w:style w:type="paragraph" w:styleId="TOC4">
    <w:name w:val="toc 4"/>
    <w:semiHidden/>
    <w:pPr>
      <w:tabs>
        <w:tab w:val="left" w:pos="2880"/>
        <w:tab w:val="right" w:leader="dot" w:pos="9029"/>
      </w:tabs>
      <w:adjustRightInd w:val="0"/>
      <w:spacing w:after="120"/>
      <w:ind w:left="2880" w:hanging="720"/>
    </w:pPr>
    <w:rPr>
      <w:rFonts w:eastAsia="STZhongsong"/>
      <w:lang w:eastAsia="zh-CN"/>
    </w:rPr>
  </w:style>
  <w:style w:type="paragraph" w:styleId="TOC5">
    <w:name w:val="toc 5"/>
    <w:semiHidden/>
    <w:pPr>
      <w:tabs>
        <w:tab w:val="left" w:pos="3600"/>
        <w:tab w:val="right" w:leader="dot" w:pos="9029"/>
      </w:tabs>
      <w:adjustRightInd w:val="0"/>
      <w:spacing w:after="120"/>
      <w:ind w:left="3600" w:hanging="720"/>
    </w:pPr>
    <w:rPr>
      <w:rFonts w:eastAsia="STZhongsong"/>
      <w:lang w:eastAsia="zh-CN"/>
    </w:rPr>
  </w:style>
  <w:style w:type="paragraph" w:styleId="TOC6">
    <w:name w:val="toc 6"/>
    <w:semiHidden/>
    <w:pPr>
      <w:tabs>
        <w:tab w:val="left" w:pos="4320"/>
        <w:tab w:val="right" w:leader="dot" w:pos="9029"/>
      </w:tabs>
      <w:adjustRightInd w:val="0"/>
      <w:spacing w:after="120"/>
      <w:ind w:left="4320" w:hanging="720"/>
    </w:pPr>
    <w:rPr>
      <w:rFonts w:eastAsia="STZhongsong"/>
      <w:lang w:eastAsia="zh-CN"/>
    </w:rPr>
  </w:style>
  <w:style w:type="paragraph" w:styleId="TOC7">
    <w:name w:val="toc 7"/>
    <w:semiHidden/>
    <w:pPr>
      <w:tabs>
        <w:tab w:val="left" w:pos="5040"/>
        <w:tab w:val="right" w:leader="dot" w:pos="9029"/>
      </w:tabs>
      <w:adjustRightInd w:val="0"/>
      <w:spacing w:after="120"/>
      <w:ind w:left="5040" w:hanging="720"/>
    </w:pPr>
    <w:rPr>
      <w:rFonts w:eastAsia="STZhongsong"/>
      <w:lang w:eastAsia="zh-CN"/>
    </w:rPr>
  </w:style>
  <w:style w:type="paragraph" w:styleId="TOC8">
    <w:name w:val="toc 8"/>
    <w:semiHidden/>
    <w:pPr>
      <w:tabs>
        <w:tab w:val="right" w:leader="dot" w:pos="9029"/>
      </w:tabs>
      <w:adjustRightInd w:val="0"/>
      <w:spacing w:after="120"/>
    </w:pPr>
    <w:rPr>
      <w:rFonts w:eastAsia="STZhongsong"/>
      <w:caps/>
      <w:lang w:eastAsia="zh-CN"/>
    </w:rPr>
  </w:style>
  <w:style w:type="paragraph" w:styleId="TOC9">
    <w:name w:val="toc 9"/>
    <w:semiHidden/>
    <w:pPr>
      <w:tabs>
        <w:tab w:val="right" w:leader="dot" w:pos="9029"/>
      </w:tabs>
      <w:adjustRightInd w:val="0"/>
      <w:spacing w:after="120"/>
      <w:ind w:left="720"/>
    </w:pPr>
    <w:rPr>
      <w:rFonts w:eastAsia="STZhongsong"/>
      <w:lang w:eastAsia="zh-CN"/>
    </w:rPr>
  </w:style>
  <w:style w:type="paragraph" w:customStyle="1" w:styleId="HouseStyleBaseCentred">
    <w:name w:val="House Style Base Centred"/>
    <w:pPr>
      <w:adjustRightInd w:val="0"/>
    </w:pPr>
    <w:rPr>
      <w:rFonts w:eastAsia="STZhongsong"/>
      <w:lang w:eastAsia="zh-CN"/>
    </w:rPr>
  </w:style>
  <w:style w:type="paragraph" w:styleId="FootnoteText">
    <w:name w:val="footnote text"/>
    <w:basedOn w:val="HouseStyleBase"/>
    <w:semiHidden/>
    <w:pPr>
      <w:spacing w:after="60"/>
      <w:ind w:left="720" w:hanging="720"/>
    </w:pPr>
    <w:rPr>
      <w:sz w:val="16"/>
    </w:rPr>
  </w:style>
  <w:style w:type="character" w:styleId="FootnoteReference">
    <w:name w:val="footnote reference"/>
    <w:uiPriority w:val="99"/>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tabs>
        <w:tab w:val="num" w:pos="720"/>
      </w:tabs>
      <w:ind w:left="720" w:hanging="720"/>
      <w:jc w:val="center"/>
      <w:outlineLvl w:val="0"/>
    </w:pPr>
    <w:rPr>
      <w:b/>
      <w:caps/>
    </w:rPr>
  </w:style>
  <w:style w:type="paragraph" w:customStyle="1" w:styleId="RecitalNumbering">
    <w:name w:val="Recital Numbering"/>
    <w:basedOn w:val="HouseStyleBase"/>
    <w:pPr>
      <w:tabs>
        <w:tab w:val="num" w:pos="720"/>
      </w:tabs>
      <w:ind w:left="720" w:hanging="720"/>
      <w:outlineLvl w:val="0"/>
    </w:pPr>
  </w:style>
  <w:style w:type="paragraph" w:customStyle="1" w:styleId="DefinitionNumbering1">
    <w:name w:val="Definition Numbering 1"/>
    <w:basedOn w:val="HouseStyleBase"/>
    <w:pPr>
      <w:tabs>
        <w:tab w:val="num" w:pos="2160"/>
      </w:tabs>
      <w:spacing w:after="120"/>
      <w:ind w:left="2160" w:hanging="720"/>
      <w:outlineLvl w:val="0"/>
    </w:pPr>
    <w:rPr>
      <w:rFonts w:ascii="Calibri" w:hAnsi="Calibri"/>
    </w:rPr>
  </w:style>
  <w:style w:type="paragraph" w:customStyle="1" w:styleId="DefinitionNumbering2">
    <w:name w:val="Definition Numbering 2"/>
    <w:basedOn w:val="HouseStyleBase"/>
    <w:pPr>
      <w:tabs>
        <w:tab w:val="num" w:pos="2880"/>
      </w:tabs>
      <w:ind w:left="2880" w:hanging="720"/>
      <w:outlineLvl w:val="1"/>
    </w:pPr>
  </w:style>
  <w:style w:type="paragraph" w:customStyle="1" w:styleId="DefinitionNumbering3">
    <w:name w:val="Definition Numbering 3"/>
    <w:basedOn w:val="HouseStyleBase"/>
    <w:pPr>
      <w:tabs>
        <w:tab w:val="num" w:pos="3600"/>
      </w:tabs>
      <w:ind w:left="3600" w:hanging="720"/>
      <w:outlineLvl w:val="2"/>
    </w:pPr>
  </w:style>
  <w:style w:type="paragraph" w:customStyle="1" w:styleId="DefinitionNumbering4">
    <w:name w:val="Definition Numbering 4"/>
    <w:basedOn w:val="HouseStyleBase"/>
    <w:pPr>
      <w:tabs>
        <w:tab w:val="num" w:pos="4320"/>
      </w:tabs>
      <w:ind w:left="4320" w:hanging="720"/>
      <w:outlineLvl w:val="3"/>
    </w:pPr>
  </w:style>
  <w:style w:type="paragraph" w:customStyle="1" w:styleId="DefinitionNumbering5">
    <w:name w:val="Definition Numbering 5"/>
    <w:basedOn w:val="HouseStyleBase"/>
    <w:pPr>
      <w:tabs>
        <w:tab w:val="num" w:pos="5040"/>
      </w:tabs>
      <w:ind w:left="5040" w:hanging="720"/>
      <w:outlineLvl w:val="4"/>
    </w:pPr>
  </w:style>
  <w:style w:type="paragraph" w:customStyle="1" w:styleId="DefinitionNumbering6">
    <w:name w:val="Definition Numbering 6"/>
    <w:basedOn w:val="HouseStyleBase"/>
    <w:pPr>
      <w:tabs>
        <w:tab w:val="num" w:pos="5760"/>
      </w:tabs>
      <w:ind w:left="5760" w:hanging="720"/>
      <w:outlineLvl w:val="5"/>
    </w:pPr>
  </w:style>
  <w:style w:type="paragraph" w:customStyle="1" w:styleId="DefinitionNumbering7">
    <w:name w:val="Definition Numbering 7"/>
    <w:basedOn w:val="HouseStyleBase"/>
    <w:pPr>
      <w:tabs>
        <w:tab w:val="num" w:pos="6480"/>
      </w:tabs>
      <w:ind w:left="6480" w:hanging="720"/>
      <w:outlineLvl w:val="6"/>
    </w:pPr>
  </w:style>
  <w:style w:type="paragraph" w:customStyle="1" w:styleId="DefinitionNumbering8">
    <w:name w:val="Definition Numbering 8"/>
    <w:basedOn w:val="HouseStyleBase"/>
    <w:pPr>
      <w:tabs>
        <w:tab w:val="num" w:pos="5760"/>
      </w:tabs>
      <w:ind w:left="5760" w:hanging="720"/>
      <w:outlineLvl w:val="7"/>
    </w:pPr>
  </w:style>
  <w:style w:type="paragraph" w:customStyle="1" w:styleId="DefinitionNumbering9">
    <w:name w:val="Definition Numbering 9"/>
    <w:basedOn w:val="HouseStyleBase"/>
    <w:pPr>
      <w:tabs>
        <w:tab w:val="num" w:pos="6480"/>
      </w:tabs>
      <w:ind w:left="6480" w:hanging="720"/>
      <w:outlineLvl w:val="8"/>
    </w:pPr>
  </w:style>
  <w:style w:type="paragraph" w:customStyle="1" w:styleId="ListBullet1">
    <w:name w:val="List Bullet 1"/>
    <w:basedOn w:val="HouseStyleBase"/>
    <w:pPr>
      <w:tabs>
        <w:tab w:val="num" w:pos="720"/>
      </w:tabs>
      <w:ind w:left="720" w:hanging="720"/>
    </w:pPr>
  </w:style>
  <w:style w:type="paragraph" w:styleId="ListBullet3">
    <w:name w:val="List Bullet 3"/>
    <w:basedOn w:val="HouseStyleBase"/>
    <w:pPr>
      <w:tabs>
        <w:tab w:val="num" w:pos="2160"/>
      </w:tabs>
      <w:ind w:left="2160" w:hanging="720"/>
    </w:pPr>
  </w:style>
  <w:style w:type="paragraph" w:styleId="ListBullet4">
    <w:name w:val="List Bullet 4"/>
    <w:basedOn w:val="HouseStyleBase"/>
    <w:pPr>
      <w:tabs>
        <w:tab w:val="num" w:pos="2880"/>
      </w:tabs>
      <w:ind w:left="2880" w:hanging="720"/>
    </w:pPr>
  </w:style>
  <w:style w:type="paragraph" w:styleId="ListBullet5">
    <w:name w:val="List Bullet 5"/>
    <w:basedOn w:val="HouseStyleBase"/>
    <w:pPr>
      <w:tabs>
        <w:tab w:val="num" w:pos="3600"/>
      </w:tabs>
      <w:ind w:left="3600" w:hanging="720"/>
    </w:pPr>
  </w:style>
  <w:style w:type="paragraph" w:customStyle="1" w:styleId="ListBullet6">
    <w:name w:val="List Bullet 6"/>
    <w:basedOn w:val="HouseStyleBase"/>
    <w:pPr>
      <w:tabs>
        <w:tab w:val="num" w:pos="4320"/>
      </w:tabs>
      <w:ind w:left="4320" w:hanging="720"/>
    </w:pPr>
  </w:style>
  <w:style w:type="paragraph" w:customStyle="1" w:styleId="ListBullet7">
    <w:name w:val="List Bullet 7"/>
    <w:basedOn w:val="HouseStyleBase"/>
    <w:pPr>
      <w:tabs>
        <w:tab w:val="num" w:pos="5040"/>
      </w:tabs>
      <w:ind w:left="5040" w:hanging="720"/>
    </w:pPr>
  </w:style>
  <w:style w:type="paragraph" w:customStyle="1" w:styleId="ListBullet8">
    <w:name w:val="List Bullet 8"/>
    <w:basedOn w:val="HouseStyleBase"/>
    <w:pPr>
      <w:tabs>
        <w:tab w:val="num" w:pos="5760"/>
      </w:tabs>
      <w:ind w:left="5760" w:hanging="720"/>
    </w:pPr>
  </w:style>
  <w:style w:type="paragraph" w:customStyle="1" w:styleId="ListBullet9">
    <w:name w:val="List Bullet 9"/>
    <w:basedOn w:val="HouseStyleBase"/>
    <w:pPr>
      <w:tabs>
        <w:tab w:val="num" w:pos="6480"/>
      </w:tabs>
      <w:ind w:left="6480" w:hanging="720"/>
    </w:pPr>
  </w:style>
  <w:style w:type="paragraph" w:customStyle="1" w:styleId="SchPart">
    <w:name w:val="SchPart"/>
    <w:basedOn w:val="HouseStyleBaseCentred"/>
    <w:next w:val="MarginText"/>
    <w:pPr>
      <w:keepNext/>
      <w:tabs>
        <w:tab w:val="num" w:pos="1440"/>
      </w:tabs>
      <w:ind w:left="1440" w:hanging="720"/>
      <w:jc w:val="center"/>
      <w:outlineLvl w:val="1"/>
    </w:pPr>
    <w:rPr>
      <w:b/>
    </w:rPr>
  </w:style>
  <w:style w:type="paragraph" w:customStyle="1" w:styleId="ScheduleL2">
    <w:name w:val="Schedule L2"/>
    <w:basedOn w:val="HouseStyleBase"/>
    <w:pPr>
      <w:tabs>
        <w:tab w:val="num" w:pos="1440"/>
      </w:tabs>
      <w:ind w:left="1440" w:hanging="720"/>
      <w:outlineLvl w:val="1"/>
    </w:pPr>
    <w:rPr>
      <w:rFonts w:ascii="Calibri" w:hAnsi="Calibri"/>
    </w:rPr>
  </w:style>
  <w:style w:type="paragraph" w:customStyle="1" w:styleId="ScheduleL3">
    <w:name w:val="Schedule L3"/>
    <w:basedOn w:val="HouseStyleBase"/>
    <w:pPr>
      <w:tabs>
        <w:tab w:val="num" w:pos="2160"/>
      </w:tabs>
      <w:ind w:left="2160" w:hanging="720"/>
      <w:outlineLvl w:val="2"/>
    </w:pPr>
    <w:rPr>
      <w:rFonts w:ascii="Calibri" w:hAnsi="Calibri"/>
    </w:rPr>
  </w:style>
  <w:style w:type="paragraph" w:customStyle="1" w:styleId="ScheduleL4">
    <w:name w:val="Schedule L4"/>
    <w:basedOn w:val="HouseStyleBase"/>
    <w:pPr>
      <w:tabs>
        <w:tab w:val="num" w:pos="2880"/>
      </w:tabs>
      <w:ind w:left="2880" w:hanging="720"/>
      <w:outlineLvl w:val="3"/>
    </w:pPr>
  </w:style>
  <w:style w:type="paragraph" w:customStyle="1" w:styleId="ScheduleL5">
    <w:name w:val="Schedule L5"/>
    <w:basedOn w:val="HouseStyleBase"/>
    <w:pPr>
      <w:tabs>
        <w:tab w:val="num" w:pos="3600"/>
      </w:tabs>
      <w:ind w:left="3600" w:hanging="720"/>
      <w:outlineLvl w:val="4"/>
    </w:pPr>
  </w:style>
  <w:style w:type="paragraph" w:customStyle="1" w:styleId="ScheduleL6">
    <w:name w:val="Schedule L6"/>
    <w:basedOn w:val="HouseStyleBase"/>
    <w:pPr>
      <w:tabs>
        <w:tab w:val="num" w:pos="4320"/>
      </w:tabs>
      <w:ind w:left="4320" w:hanging="720"/>
      <w:outlineLvl w:val="5"/>
    </w:pPr>
  </w:style>
  <w:style w:type="paragraph" w:customStyle="1" w:styleId="ScheduleL7">
    <w:name w:val="Schedule L7"/>
    <w:basedOn w:val="HouseStyleBase"/>
    <w:pPr>
      <w:tabs>
        <w:tab w:val="num" w:pos="5040"/>
      </w:tabs>
      <w:ind w:left="5040" w:hanging="720"/>
      <w:outlineLvl w:val="6"/>
    </w:pPr>
  </w:style>
  <w:style w:type="paragraph" w:customStyle="1" w:styleId="ScheduleL8">
    <w:name w:val="Schedule L8"/>
    <w:basedOn w:val="HouseStyleBase"/>
    <w:pPr>
      <w:tabs>
        <w:tab w:val="num" w:pos="5760"/>
      </w:tabs>
      <w:ind w:left="5760" w:hanging="720"/>
      <w:outlineLvl w:val="7"/>
    </w:pPr>
  </w:style>
  <w:style w:type="paragraph" w:customStyle="1" w:styleId="ScheduleL9">
    <w:name w:val="Schedule L9"/>
    <w:basedOn w:val="HouseStyleBase"/>
    <w:pPr>
      <w:tabs>
        <w:tab w:val="num" w:pos="6480"/>
      </w:tabs>
      <w:ind w:left="6480" w:hanging="720"/>
      <w:outlineLvl w:val="8"/>
    </w:pPr>
  </w:style>
  <w:style w:type="paragraph" w:customStyle="1" w:styleId="SchSection">
    <w:name w:val="SchSection"/>
    <w:basedOn w:val="HouseStyleBaseCentred"/>
    <w:next w:val="MarginText"/>
    <w:pPr>
      <w:keepNext/>
      <w:tabs>
        <w:tab w:val="num" w:pos="2160"/>
      </w:tabs>
      <w:ind w:left="2160" w:hanging="720"/>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tabs>
        <w:tab w:val="num" w:pos="1440"/>
      </w:tabs>
      <w:ind w:left="1440" w:hanging="720"/>
      <w:jc w:val="center"/>
      <w:outlineLvl w:val="1"/>
    </w:pPr>
    <w:rPr>
      <w:b/>
    </w:rPr>
  </w:style>
  <w:style w:type="paragraph" w:customStyle="1" w:styleId="RecitalNumbering2">
    <w:name w:val="Recital Numbering 2"/>
    <w:basedOn w:val="HouseStyleBase"/>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pPr>
      <w:tabs>
        <w:tab w:val="num" w:pos="2160"/>
      </w:tabs>
      <w:overflowPunct w:val="0"/>
      <w:autoSpaceDE w:val="0"/>
      <w:autoSpaceDN w:val="0"/>
      <w:ind w:left="2160" w:hanging="720"/>
      <w:textAlignment w:val="baseline"/>
    </w:p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uiPriority w:val="99"/>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tabs>
        <w:tab w:val="clear" w:pos="720"/>
      </w:tabs>
      <w:overflowPunct w:val="0"/>
      <w:autoSpaceDE w:val="0"/>
      <w:autoSpaceDN w:val="0"/>
      <w:spacing w:after="120"/>
      <w:ind w:left="283" w:firstLine="210"/>
      <w:textAlignment w:val="baseline"/>
    </w:pPr>
    <w:rPr>
      <w:rFonts w:eastAsia="Times New Roman"/>
      <w:lang w:eastAsia="en-US"/>
    </w:rPr>
  </w:style>
  <w:style w:type="character" w:customStyle="1" w:styleId="HouseStyleBaseChar">
    <w:name w:val="House Style Base Char"/>
    <w:link w:val="HouseStyleBase"/>
    <w:rPr>
      <w:rFonts w:eastAsia="STZhongsong"/>
      <w:sz w:val="22"/>
      <w:lang w:eastAsia="zh-CN"/>
    </w:rPr>
  </w:style>
  <w:style w:type="character" w:customStyle="1" w:styleId="BodyTextIndentChar">
    <w:name w:val="Body Text Indent Char"/>
    <w:link w:val="BodyTextIndent"/>
    <w:rPr>
      <w:rFonts w:ascii="Calibri" w:eastAsia="STZhongsong" w:hAnsi="Calibri"/>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qFormat/>
    <w:rPr>
      <w:b/>
      <w:bCs/>
      <w:smallCaps/>
      <w:spacing w:val="5"/>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styleId="ColourfulGrid">
    <w:name w:val="Colorful Grid"/>
    <w:basedOn w:val="TableNormal"/>
    <w:uiPriority w:val="7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urfulGridAccent1">
    <w:name w:val="Colorful Grid Accent 1"/>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urfulGridAccent2">
    <w:name w:val="Colorful Grid Accent 2"/>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urfulGridAccent3">
    <w:name w:val="Colorful Grid Accent 3"/>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urfulGridAccent4">
    <w:name w:val="Colorful Grid Accent 4"/>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urfulGridAccent5">
    <w:name w:val="Colorful Grid Accent 5"/>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u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u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u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u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u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u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urfulShading">
    <w:name w:val="Colorful Shading"/>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urfulShadingAccent1">
    <w:name w:val="Colorful Shading Accent 1"/>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urfulShadingAccent2">
    <w:name w:val="Colorful Shading Accent 2"/>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urfulShadingAccent3">
    <w:name w:val="Colorful Shading Accent 3"/>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urfulShadingAccent4">
    <w:name w:val="Colorful Shading Accent 4"/>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urfulShadingAccent5">
    <w:name w:val="Colorful Shading Accent 5"/>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urfulShadingAccent6">
    <w:name w:val="Colorful Shading Accent 6"/>
    <w:basedOn w:val="TableNormal"/>
    <w:uiPriority w:val="7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eastAsia="en-US"/>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tabs>
        <w:tab w:val="num" w:pos="720"/>
      </w:tabs>
      <w:ind w:left="720" w:hanging="720"/>
      <w:contextualSpacing/>
    </w:pPr>
  </w:style>
  <w:style w:type="paragraph" w:styleId="ListNumber2">
    <w:name w:val="List Number 2"/>
    <w:basedOn w:val="Normal"/>
    <w:pPr>
      <w:tabs>
        <w:tab w:val="num" w:pos="720"/>
      </w:tabs>
      <w:ind w:left="720" w:hanging="720"/>
      <w:contextualSpacing/>
    </w:pPr>
  </w:style>
  <w:style w:type="paragraph" w:styleId="ListNumber3">
    <w:name w:val="List Number 3"/>
    <w:basedOn w:val="Normal"/>
    <w:pPr>
      <w:tabs>
        <w:tab w:val="num" w:pos="720"/>
      </w:tabs>
      <w:ind w:left="720" w:hanging="720"/>
      <w:contextualSpacing/>
    </w:pPr>
  </w:style>
  <w:style w:type="paragraph" w:styleId="ListNumber4">
    <w:name w:val="List Number 4"/>
    <w:basedOn w:val="Normal"/>
    <w:pPr>
      <w:tabs>
        <w:tab w:val="num" w:pos="720"/>
      </w:tabs>
      <w:ind w:left="720" w:hanging="720"/>
      <w:contextualSpacing/>
    </w:pPr>
  </w:style>
  <w:style w:type="paragraph" w:styleId="ListNumber5">
    <w:name w:val="List Number 5"/>
    <w:basedOn w:val="Normal"/>
    <w:pPr>
      <w:tabs>
        <w:tab w:val="num" w:pos="720"/>
      </w:tabs>
      <w:ind w:left="720" w:hanging="720"/>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MediumGrid1">
    <w:name w:val="Medium Grid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pPr>
      <w:spacing w:after="60"/>
      <w:jc w:val="center"/>
    </w:pPr>
    <w:rPr>
      <w:rFonts w:ascii="Cambria" w:eastAsia="Cambria" w:hAnsi="Cambria" w:cs="Cambria"/>
    </w:rPr>
  </w:style>
  <w:style w:type="character" w:customStyle="1" w:styleId="SubtitleChar">
    <w:name w:val="Subtitle Char"/>
    <w:link w:val="Subtitle"/>
    <w:rPr>
      <w:rFonts w:ascii="Cambria" w:eastAsia="Times New Roman" w:hAnsi="Cambria" w:cs="Times New Roman"/>
      <w:sz w:val="24"/>
      <w:szCs w:val="24"/>
      <w:lang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keepNext/>
      <w:numPr>
        <w:numId w:val="0"/>
      </w:numPr>
      <w:overflowPunct w:val="0"/>
      <w:autoSpaceDE w:val="0"/>
      <w:autoSpaceDN w:val="0"/>
      <w:spacing w:before="240" w:after="60"/>
      <w:textAlignment w:val="baseline"/>
      <w:outlineLvl w:val="9"/>
    </w:pPr>
    <w:rPr>
      <w:rFonts w:ascii="Cambria" w:eastAsia="Times New Roman" w:hAnsi="Cambria"/>
      <w:b/>
      <w:bCs/>
      <w:kern w:val="32"/>
      <w:sz w:val="32"/>
      <w:szCs w:val="32"/>
      <w:lang w:eastAsia="en-US"/>
    </w:rPr>
  </w:style>
  <w:style w:type="character" w:customStyle="1" w:styleId="Heading1Char">
    <w:name w:val="Heading 1 Char"/>
    <w:link w:val="Heading1"/>
    <w:uiPriority w:val="9"/>
    <w:rPr>
      <w:rFonts w:eastAsia="STZhongsong"/>
      <w:sz w:val="22"/>
      <w:lang w:eastAsia="zh-CN"/>
    </w:rPr>
  </w:style>
  <w:style w:type="character" w:customStyle="1" w:styleId="Heading2Char">
    <w:name w:val="Heading 2 Char"/>
    <w:link w:val="Heading2"/>
    <w:uiPriority w:val="9"/>
    <w:rPr>
      <w:rFonts w:ascii="Calibri" w:eastAsia="STZhongsong" w:hAnsi="Calibri"/>
      <w:sz w:val="22"/>
      <w:lang w:eastAsia="zh-CN"/>
    </w:rPr>
  </w:style>
  <w:style w:type="character" w:customStyle="1" w:styleId="Heading3Char">
    <w:name w:val="Heading 3 Char"/>
    <w:link w:val="Heading3"/>
    <w:uiPriority w:val="9"/>
    <w:rPr>
      <w:rFonts w:eastAsia="STZhongsong"/>
      <w:sz w:val="22"/>
      <w:lang w:eastAsia="zh-CN"/>
    </w:rPr>
  </w:style>
  <w:style w:type="character" w:customStyle="1" w:styleId="Heading4Char">
    <w:name w:val="Heading 4 Char"/>
    <w:link w:val="Heading4"/>
    <w:uiPriority w:val="9"/>
    <w:rPr>
      <w:rFonts w:eastAsia="STZhongsong"/>
      <w:sz w:val="22"/>
      <w:lang w:eastAsia="zh-CN"/>
    </w:rPr>
  </w:style>
  <w:style w:type="character" w:customStyle="1" w:styleId="Heading5Char">
    <w:name w:val="Heading 5 Char"/>
    <w:link w:val="Heading5"/>
    <w:uiPriority w:val="9"/>
    <w:locked/>
    <w:rPr>
      <w:rFonts w:eastAsia="STZhongsong"/>
      <w:sz w:val="22"/>
      <w:lang w:eastAsia="zh-CN"/>
    </w:rPr>
  </w:style>
  <w:style w:type="character" w:customStyle="1" w:styleId="MarginTextChar">
    <w:name w:val="Margin Text Char"/>
    <w:link w:val="MarginText"/>
    <w:rPr>
      <w:rFonts w:ascii="Calibri" w:eastAsia="STZhongsong" w:hAnsi="Calibri"/>
      <w:sz w:val="22"/>
      <w:lang w:eastAsia="zh-CN"/>
    </w:rPr>
  </w:style>
  <w:style w:type="character" w:customStyle="1" w:styleId="BodyTextIndent2Char">
    <w:name w:val="Body Text Indent 2 Char"/>
    <w:link w:val="BodyTextIndent2"/>
    <w:rPr>
      <w:rFonts w:eastAsia="STZhongsong"/>
      <w:lang w:eastAsia="zh-CN"/>
    </w:rPr>
  </w:style>
  <w:style w:type="paragraph" w:customStyle="1" w:styleId="PartDes">
    <w:name w:val="PartDes"/>
    <w:basedOn w:val="Normal"/>
    <w:qFormat/>
    <w:pPr>
      <w:overflowPunct/>
      <w:autoSpaceDE/>
      <w:autoSpaceDN/>
      <w:adjustRightInd/>
      <w:spacing w:before="120" w:after="120" w:line="240" w:lineRule="auto"/>
      <w:jc w:val="center"/>
      <w:textAlignment w:val="auto"/>
    </w:pPr>
    <w:rPr>
      <w:rFonts w:ascii="Trebuchet MS" w:eastAsia="Trebuchet MS" w:hAnsi="Trebuchet MS"/>
      <w:b/>
      <w:bCs/>
    </w:rPr>
  </w:style>
  <w:style w:type="paragraph" w:customStyle="1" w:styleId="TableNormal1">
    <w:name w:val="Table Normal1"/>
    <w:basedOn w:val="Normal"/>
    <w:pPr>
      <w:overflowPunct/>
      <w:autoSpaceDE/>
      <w:autoSpaceDN/>
      <w:adjustRightInd/>
      <w:spacing w:before="120" w:after="120" w:line="240" w:lineRule="auto"/>
      <w:ind w:left="34"/>
      <w:jc w:val="left"/>
      <w:textAlignment w:val="auto"/>
    </w:pPr>
    <w:rPr>
      <w:rFonts w:ascii="Trebuchet MS" w:eastAsia="Trebuchet MS" w:hAnsi="Trebuchet MS"/>
    </w:rPr>
  </w:style>
  <w:style w:type="paragraph" w:customStyle="1" w:styleId="Heading2-NotBoldNotUnderlined">
    <w:name w:val="Heading 2 - Not Bold Not Underlined"/>
    <w:basedOn w:val="Heading2"/>
    <w:uiPriority w:val="3"/>
    <w:qFormat/>
    <w:pPr>
      <w:numPr>
        <w:numId w:val="0"/>
      </w:numPr>
      <w:adjustRightInd/>
      <w:spacing w:after="200"/>
      <w:ind w:left="1582" w:hanging="720"/>
    </w:pPr>
    <w:rPr>
      <w:rFonts w:ascii="Arial" w:eastAsia="Calibri" w:hAnsi="Arial"/>
      <w:sz w:val="20"/>
      <w:lang w:eastAsia="en-US"/>
    </w:rPr>
  </w:style>
  <w:style w:type="paragraph" w:customStyle="1" w:styleId="Body2">
    <w:name w:val="Body2"/>
    <w:basedOn w:val="Normal"/>
    <w:pPr>
      <w:overflowPunct/>
      <w:autoSpaceDE/>
      <w:autoSpaceDN/>
      <w:adjustRightInd/>
      <w:ind w:left="709"/>
      <w:textAlignment w:val="auto"/>
    </w:pPr>
  </w:style>
  <w:style w:type="paragraph" w:customStyle="1" w:styleId="GPSL1CLAUSEHEADING">
    <w:name w:val="GPS L1 CLAUSE HEADING"/>
    <w:basedOn w:val="Normal"/>
    <w:next w:val="Normal"/>
    <w:qFormat/>
    <w:pPr>
      <w:tabs>
        <w:tab w:val="left" w:pos="142"/>
      </w:tabs>
      <w:overflowPunct/>
      <w:autoSpaceDE/>
      <w:autoSpaceDN/>
      <w:spacing w:before="120" w:line="240" w:lineRule="auto"/>
      <w:textAlignment w:val="auto"/>
      <w:outlineLvl w:val="1"/>
    </w:pPr>
    <w:rPr>
      <w:rFonts w:ascii="Calibri" w:eastAsia="STZhongsong" w:hAnsi="Calibri"/>
      <w:b/>
      <w:caps/>
      <w:lang w:eastAsia="zh-CN"/>
    </w:rPr>
  </w:style>
  <w:style w:type="paragraph" w:customStyle="1" w:styleId="GPSL3numberedclause">
    <w:name w:val="GPS L3 numbered clause"/>
    <w:basedOn w:val="Normal"/>
    <w:link w:val="GPSL3numberedclauseChar"/>
    <w:qFormat/>
    <w:pPr>
      <w:tabs>
        <w:tab w:val="left" w:pos="1985"/>
      </w:tabs>
      <w:overflowPunct/>
      <w:autoSpaceDE/>
      <w:autoSpaceDN/>
      <w:spacing w:before="120" w:after="120" w:line="240" w:lineRule="auto"/>
      <w:textAlignment w:val="auto"/>
    </w:pPr>
    <w:rPr>
      <w:rFonts w:ascii="Calibri" w:hAnsi="Calibri"/>
      <w:lang w:eastAsia="zh-CN"/>
    </w:rPr>
  </w:style>
  <w:style w:type="paragraph" w:customStyle="1" w:styleId="GPSL4numberedclause">
    <w:name w:val="GPS L4 numbered clause"/>
    <w:basedOn w:val="GPSL3numberedclause"/>
    <w:qFormat/>
    <w:pPr>
      <w:tabs>
        <w:tab w:val="left" w:pos="2552"/>
      </w:tabs>
    </w:pPr>
  </w:style>
  <w:style w:type="paragraph" w:customStyle="1" w:styleId="GPSL5numberedclause">
    <w:name w:val="GPS L5 numbered clause"/>
    <w:basedOn w:val="GPSL4numberedclause"/>
    <w:qFormat/>
    <w:pPr>
      <w:tabs>
        <w:tab w:val="left" w:pos="3119"/>
      </w:tabs>
    </w:pPr>
  </w:style>
  <w:style w:type="paragraph" w:customStyle="1" w:styleId="GPSL2NumberedBoldHeading">
    <w:name w:val="GPS L2 Numbered Bold Heading"/>
    <w:basedOn w:val="Normal"/>
    <w:qFormat/>
    <w:pPr>
      <w:tabs>
        <w:tab w:val="left" w:pos="1134"/>
      </w:tabs>
      <w:overflowPunct/>
      <w:autoSpaceDE/>
      <w:autoSpaceDN/>
      <w:spacing w:before="120" w:after="120" w:line="240" w:lineRule="auto"/>
      <w:textAlignment w:val="auto"/>
    </w:pPr>
    <w:rPr>
      <w:rFonts w:ascii="Calibri" w:hAnsi="Calibri"/>
      <w:b/>
      <w:lang w:eastAsia="zh-CN"/>
    </w:rPr>
  </w:style>
  <w:style w:type="paragraph" w:customStyle="1" w:styleId="GPSL6numbered">
    <w:name w:val="GPS L6 numbered"/>
    <w:basedOn w:val="GPSL5numberedclause"/>
    <w:qFormat/>
    <w:pPr>
      <w:tabs>
        <w:tab w:val="left" w:pos="3686"/>
      </w:tabs>
    </w:p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keepNext/>
      <w:tabs>
        <w:tab w:val="clear" w:pos="142"/>
      </w:tabs>
      <w:outlineLvl w:val="9"/>
    </w:pPr>
  </w:style>
  <w:style w:type="paragraph" w:customStyle="1" w:styleId="GPSL2Numbered">
    <w:name w:val="GPS L2 Numbered"/>
    <w:basedOn w:val="GPSL2NumberedBoldHeading"/>
    <w:link w:val="GPSL2NumberedChar"/>
    <w:qFormat/>
    <w:pPr>
      <w:tabs>
        <w:tab w:val="clear" w:pos="1134"/>
      </w:tabs>
    </w:pPr>
    <w:rPr>
      <w:b w:val="0"/>
    </w:rPr>
  </w:style>
  <w:style w:type="character" w:customStyle="1" w:styleId="GPSL2NumberedChar">
    <w:name w:val="GPS L2 Numbered Char"/>
    <w:link w:val="GPSL2Numbered"/>
    <w:locked/>
    <w:rPr>
      <w:rFonts w:ascii="Calibri" w:hAnsi="Calibri" w:cs="Arial"/>
      <w:sz w:val="22"/>
      <w:szCs w:val="22"/>
      <w:lang w:eastAsia="zh-CN"/>
    </w:r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character" w:customStyle="1" w:styleId="FooterChar">
    <w:name w:val="Footer Char"/>
    <w:link w:val="Footer"/>
    <w:uiPriority w:val="99"/>
    <w:rPr>
      <w:sz w:val="22"/>
      <w:lang w:eastAsia="en-US"/>
    </w:rPr>
  </w:style>
  <w:style w:type="paragraph" w:customStyle="1" w:styleId="GPsDefinition">
    <w:name w:val="GPs Definition"/>
    <w:basedOn w:val="Normal"/>
    <w:uiPriority w:val="99"/>
    <w:qFormat/>
    <w:pPr>
      <w:tabs>
        <w:tab w:val="left" w:pos="-9"/>
        <w:tab w:val="num" w:pos="720"/>
      </w:tabs>
      <w:spacing w:after="120" w:line="240" w:lineRule="auto"/>
      <w:ind w:left="720" w:hanging="720"/>
    </w:pPr>
  </w:style>
  <w:style w:type="paragraph" w:customStyle="1" w:styleId="GPSDefinitionL2">
    <w:name w:val="GPS Definition L2"/>
    <w:basedOn w:val="GPsDefinition"/>
    <w:uiPriority w:val="99"/>
    <w:qFormat/>
    <w:pPr>
      <w:numPr>
        <w:ilvl w:val="1"/>
      </w:numPr>
      <w:tabs>
        <w:tab w:val="clear" w:pos="-9"/>
        <w:tab w:val="left" w:pos="144"/>
        <w:tab w:val="num" w:pos="720"/>
      </w:tabs>
      <w:ind w:left="720" w:hanging="545"/>
    </w:pPr>
  </w:style>
  <w:style w:type="paragraph" w:customStyle="1" w:styleId="GPSDefinitionL3">
    <w:name w:val="GPS Definition L3"/>
    <w:basedOn w:val="GPSDefinitionL2"/>
    <w:uiPriority w:val="99"/>
    <w:qFormat/>
    <w:pPr>
      <w:numPr>
        <w:ilvl w:val="2"/>
      </w:numPr>
      <w:tabs>
        <w:tab w:val="num" w:pos="720"/>
      </w:tabs>
      <w:ind w:left="720" w:hanging="545"/>
    </w:pPr>
  </w:style>
  <w:style w:type="paragraph" w:customStyle="1" w:styleId="GPSDefinitionL4">
    <w:name w:val="GPS Definition L4"/>
    <w:basedOn w:val="GPSDefinitionL3"/>
    <w:uiPriority w:val="99"/>
    <w:qFormat/>
    <w:pPr>
      <w:numPr>
        <w:ilvl w:val="3"/>
      </w:numPr>
      <w:tabs>
        <w:tab w:val="num" w:pos="720"/>
      </w:tabs>
      <w:ind w:left="720" w:hanging="545"/>
    </w:pPr>
  </w:style>
  <w:style w:type="paragraph" w:customStyle="1" w:styleId="GPSDefinitionTerm">
    <w:name w:val="GPS Definition Term"/>
    <w:basedOn w:val="Normal"/>
    <w:qFormat/>
    <w:pPr>
      <w:spacing w:after="120" w:line="240" w:lineRule="auto"/>
      <w:ind w:left="-108"/>
      <w:jc w:val="left"/>
    </w:pPr>
    <w:rPr>
      <w:b/>
    </w:rPr>
  </w:style>
  <w:style w:type="character" w:customStyle="1" w:styleId="HeaderChar">
    <w:name w:val="Header Char"/>
    <w:link w:val="Header"/>
    <w:uiPriority w:val="99"/>
    <w:rPr>
      <w:sz w:val="22"/>
      <w:lang w:eastAsia="en-US"/>
    </w:rPr>
  </w:style>
  <w:style w:type="paragraph" w:styleId="Revision">
    <w:name w:val="Revision"/>
    <w:hidden/>
    <w:uiPriority w:val="99"/>
    <w:semiHidden/>
    <w:rsid w:val="002B1FD8"/>
    <w:pPr>
      <w:spacing w:after="0" w:line="240" w:lineRule="auto"/>
      <w:jc w:val="left"/>
    </w:pPr>
  </w:style>
  <w:style w:type="paragraph" w:customStyle="1" w:styleId="GPSL2numberedclause">
    <w:name w:val="GPS L2 numbered clause"/>
    <w:basedOn w:val="Normal"/>
    <w:qFormat/>
    <w:rsid w:val="001F1290"/>
    <w:pPr>
      <w:tabs>
        <w:tab w:val="left" w:pos="1134"/>
      </w:tabs>
      <w:overflowPunct/>
      <w:autoSpaceDE/>
      <w:autoSpaceDN/>
      <w:spacing w:before="120" w:after="120" w:line="240" w:lineRule="auto"/>
      <w:ind w:left="644" w:hanging="359"/>
      <w:textAlignment w:val="auto"/>
    </w:pPr>
    <w:rPr>
      <w:rFonts w:cstheme="minorBidi"/>
      <w:kern w:val="2"/>
      <w:szCs w:val="22"/>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ons.gov.uk/economy/inflationandpriceindices/datasets/servicesproducerpriceindexspp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JycPhetRIfmvHft3pJaTSVg6CuQ==">AMUW2mWXmObGPjh5e1CjMI50Sczx1lwMSDIQ2b0skN7cROJnXTkdtq7ABLkMH0fEGNsC3ALgUgggkuHMvN3aSPj+znHI4rEMFgxdw1ObPus0IXbQhK61IhSCuwmqncA1SvpudCA1N5QJ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DWF LLP</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Andrew Thomas</cp:lastModifiedBy>
  <cp:revision>32</cp:revision>
  <dcterms:created xsi:type="dcterms:W3CDTF">2018-08-17T10:46:00Z</dcterms:created>
  <dcterms:modified xsi:type="dcterms:W3CDTF">2025-05-09T16:25:00Z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17 November 2017 D1V5</vt:lpwstr>
  </property>
</Properties>
</file>