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AD" w:rsidRPr="002D6D6C" w:rsidRDefault="008770CA" w:rsidP="002E61F2">
      <w:pPr>
        <w:pStyle w:val="GPSL1Guidance"/>
      </w:pPr>
      <w:r w:rsidRPr="008770CA">
        <w:t>D</w:t>
      </w:r>
      <w:bookmarkStart w:id="0" w:name="_Ref176142636"/>
      <w:bookmarkEnd w:id="0"/>
      <w:r w:rsidRPr="008770CA">
        <w:t>ATED</w:t>
      </w:r>
      <w:r w:rsidRPr="008770CA">
        <w:tab/>
      </w:r>
      <w:r w:rsidR="00505AE7">
        <w:t xml:space="preserve"> 4 September 2014</w:t>
      </w:r>
    </w:p>
    <w:p w:rsidR="00E36666" w:rsidRDefault="00E36666" w:rsidP="004416F8">
      <w:pPr>
        <w:jc w:val="center"/>
        <w:rPr>
          <w:b/>
        </w:rPr>
      </w:pPr>
    </w:p>
    <w:p w:rsidR="00E36666" w:rsidRDefault="00E36666" w:rsidP="004416F8">
      <w:pPr>
        <w:jc w:val="center"/>
        <w:rPr>
          <w:b/>
        </w:rPr>
      </w:pPr>
    </w:p>
    <w:p w:rsidR="00E36666" w:rsidRDefault="00E36666" w:rsidP="004416F8">
      <w:pPr>
        <w:jc w:val="center"/>
        <w:rPr>
          <w:b/>
        </w:rPr>
      </w:pPr>
    </w:p>
    <w:p w:rsidR="00E36666" w:rsidRDefault="00E36666" w:rsidP="004416F8">
      <w:pPr>
        <w:jc w:val="center"/>
        <w:rPr>
          <w:b/>
        </w:rPr>
      </w:pPr>
    </w:p>
    <w:p w:rsidR="00E36666" w:rsidRDefault="00E36666" w:rsidP="004416F8">
      <w:pPr>
        <w:jc w:val="center"/>
        <w:rPr>
          <w:b/>
        </w:rPr>
      </w:pPr>
    </w:p>
    <w:p w:rsidR="00E36666" w:rsidRDefault="00E36666" w:rsidP="004416F8">
      <w:pPr>
        <w:jc w:val="center"/>
        <w:rPr>
          <w:b/>
        </w:rPr>
      </w:pPr>
    </w:p>
    <w:p w:rsidR="00340FD6" w:rsidRPr="004416F8" w:rsidRDefault="00E02BDA" w:rsidP="004416F8">
      <w:pPr>
        <w:jc w:val="center"/>
        <w:rPr>
          <w:b/>
        </w:rPr>
      </w:pPr>
      <w:r>
        <w:rPr>
          <w:b/>
        </w:rPr>
        <w:t>CROWN COMMERCIAL</w:t>
      </w:r>
      <w:r w:rsidR="00340FD6" w:rsidRPr="004416F8">
        <w:rPr>
          <w:b/>
        </w:rPr>
        <w:t xml:space="preserve"> SERVICE</w:t>
      </w:r>
    </w:p>
    <w:p w:rsidR="00DE2C8F" w:rsidRPr="004416F8" w:rsidRDefault="00DE2C8F" w:rsidP="004416F8">
      <w:pPr>
        <w:jc w:val="center"/>
        <w:rPr>
          <w:b/>
        </w:rPr>
      </w:pPr>
    </w:p>
    <w:p w:rsidR="00340FD6" w:rsidRPr="004416F8" w:rsidRDefault="00340FD6" w:rsidP="004416F8">
      <w:pPr>
        <w:jc w:val="center"/>
        <w:rPr>
          <w:b/>
        </w:rPr>
      </w:pPr>
      <w:r w:rsidRPr="004416F8">
        <w:rPr>
          <w:b/>
        </w:rPr>
        <w:t>and</w:t>
      </w:r>
    </w:p>
    <w:p w:rsidR="00DE2C8F" w:rsidRPr="004416F8" w:rsidRDefault="00DE2C8F" w:rsidP="004416F8">
      <w:pPr>
        <w:jc w:val="center"/>
        <w:rPr>
          <w:b/>
          <w:highlight w:val="yellow"/>
        </w:rPr>
      </w:pPr>
    </w:p>
    <w:p w:rsidR="00340FD6" w:rsidRPr="004416F8" w:rsidRDefault="00340FD6" w:rsidP="004416F8">
      <w:pPr>
        <w:jc w:val="center"/>
        <w:rPr>
          <w:b/>
        </w:rPr>
      </w:pPr>
    </w:p>
    <w:p w:rsidR="00340FD6" w:rsidRPr="004416F8" w:rsidRDefault="00340FD6" w:rsidP="004416F8">
      <w:pPr>
        <w:jc w:val="center"/>
        <w:rPr>
          <w:b/>
        </w:rPr>
      </w:pPr>
    </w:p>
    <w:p w:rsidR="00DE2C8F" w:rsidRPr="004416F8" w:rsidRDefault="00DE2C8F" w:rsidP="004416F8">
      <w:pPr>
        <w:jc w:val="center"/>
        <w:rPr>
          <w:b/>
          <w:highlight w:val="yellow"/>
        </w:rPr>
      </w:pPr>
    </w:p>
    <w:p w:rsidR="00340FD6" w:rsidRPr="004416F8" w:rsidRDefault="00E74474" w:rsidP="004416F8">
      <w:pPr>
        <w:jc w:val="center"/>
        <w:rPr>
          <w:b/>
        </w:rPr>
      </w:pPr>
      <w:r>
        <w:rPr>
          <w:b/>
        </w:rPr>
        <w:t>MANAGED</w:t>
      </w:r>
      <w:r w:rsidR="00D96F3F">
        <w:rPr>
          <w:b/>
        </w:rPr>
        <w:t xml:space="preserve"> EMAIL</w:t>
      </w:r>
      <w:r w:rsidR="00C75CF5" w:rsidRPr="004416F8">
        <w:rPr>
          <w:b/>
        </w:rPr>
        <w:t xml:space="preserve"> </w:t>
      </w:r>
      <w:r w:rsidR="00340FD6" w:rsidRPr="004416F8">
        <w:rPr>
          <w:b/>
        </w:rPr>
        <w:t>FRAMEWORK AGREEMENT</w:t>
      </w:r>
    </w:p>
    <w:p w:rsidR="00DE2C8F" w:rsidRPr="004416F8" w:rsidRDefault="00DE2C8F" w:rsidP="004416F8">
      <w:pPr>
        <w:jc w:val="center"/>
        <w:rPr>
          <w:b/>
        </w:rPr>
      </w:pPr>
    </w:p>
    <w:p w:rsidR="00340FD6" w:rsidRPr="004416F8" w:rsidRDefault="00340FD6" w:rsidP="004416F8">
      <w:pPr>
        <w:jc w:val="center"/>
        <w:rPr>
          <w:b/>
        </w:rPr>
      </w:pPr>
      <w:r w:rsidRPr="004416F8">
        <w:rPr>
          <w:b/>
        </w:rPr>
        <w:t xml:space="preserve">(Agreement Ref: </w:t>
      </w:r>
      <w:r w:rsidR="00D96F3F">
        <w:rPr>
          <w:b/>
        </w:rPr>
        <w:t>RM1085</w:t>
      </w:r>
      <w:r w:rsidRPr="004416F8">
        <w:rPr>
          <w:b/>
        </w:rPr>
        <w:t>)</w:t>
      </w:r>
    </w:p>
    <w:p w:rsidR="00340FD6" w:rsidRPr="00D40A5F" w:rsidRDefault="00A75174" w:rsidP="00390EFB">
      <w:pPr>
        <w:rPr>
          <w:b/>
          <w:highlight w:val="green"/>
        </w:rPr>
      </w:pPr>
      <w:r w:rsidRPr="00D40A5F">
        <w:br w:type="page"/>
      </w:r>
    </w:p>
    <w:p w:rsidR="009F36FE" w:rsidRPr="00D03934" w:rsidRDefault="006C7CF5" w:rsidP="009F36FE">
      <w:pPr>
        <w:rPr>
          <w:b/>
        </w:rPr>
      </w:pPr>
      <w:bookmarkStart w:id="1" w:name="_Toc348635898"/>
      <w:bookmarkStart w:id="2" w:name="_Toc348964733"/>
      <w:bookmarkStart w:id="3" w:name="_Toc348635907"/>
      <w:bookmarkStart w:id="4" w:name="_Toc348964742"/>
      <w:bookmarkEnd w:id="1"/>
      <w:bookmarkEnd w:id="2"/>
      <w:bookmarkEnd w:id="3"/>
      <w:bookmarkEnd w:id="4"/>
      <w:r w:rsidRPr="006875AD">
        <w:lastRenderedPageBreak/>
        <w:br w:type="page"/>
      </w:r>
      <w:r w:rsidR="009F36FE" w:rsidRPr="00D03934">
        <w:rPr>
          <w:b/>
        </w:rPr>
        <w:lastRenderedPageBreak/>
        <w:t>TABLE OF CONTENT</w:t>
      </w:r>
    </w:p>
    <w:bookmarkStart w:id="5" w:name="TOCAppendicesField"/>
    <w:bookmarkEnd w:id="5"/>
    <w:p w:rsidR="000822F5" w:rsidRDefault="00F71B15">
      <w:pPr>
        <w:pStyle w:val="TOC1"/>
        <w:tabs>
          <w:tab w:val="left" w:pos="709"/>
        </w:tabs>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391545315" w:history="1">
        <w:r w:rsidR="000822F5" w:rsidRPr="00761014">
          <w:rPr>
            <w:rStyle w:val="Hyperlink"/>
          </w:rPr>
          <w:t>A.</w:t>
        </w:r>
        <w:r w:rsidR="000822F5">
          <w:rPr>
            <w:rFonts w:asciiTheme="minorHAnsi" w:eastAsiaTheme="minorEastAsia" w:hAnsiTheme="minorHAnsi" w:cstheme="minorBidi"/>
            <w:b w:val="0"/>
            <w:bCs w:val="0"/>
            <w:caps w:val="0"/>
          </w:rPr>
          <w:tab/>
        </w:r>
        <w:r w:rsidR="000822F5" w:rsidRPr="00761014">
          <w:rPr>
            <w:rStyle w:val="Hyperlink"/>
          </w:rPr>
          <w:t>PRELIMINARIES</w:t>
        </w:r>
        <w:r w:rsidR="000822F5">
          <w:rPr>
            <w:webHidden/>
          </w:rPr>
          <w:tab/>
        </w:r>
        <w:r w:rsidR="000822F5">
          <w:rPr>
            <w:webHidden/>
          </w:rPr>
          <w:fldChar w:fldCharType="begin"/>
        </w:r>
        <w:r w:rsidR="000822F5">
          <w:rPr>
            <w:webHidden/>
          </w:rPr>
          <w:instrText xml:space="preserve"> PAGEREF _Toc391545315 \h </w:instrText>
        </w:r>
        <w:r w:rsidR="000822F5">
          <w:rPr>
            <w:webHidden/>
          </w:rPr>
        </w:r>
        <w:r w:rsidR="000822F5">
          <w:rPr>
            <w:webHidden/>
          </w:rPr>
          <w:fldChar w:fldCharType="separate"/>
        </w:r>
        <w:r w:rsidR="000822F5">
          <w:rPr>
            <w:webHidden/>
          </w:rPr>
          <w:t>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16" w:history="1">
        <w:r w:rsidR="000822F5" w:rsidRPr="00761014">
          <w:rPr>
            <w:rStyle w:val="Hyperlink"/>
          </w:rPr>
          <w:t>1.</w:t>
        </w:r>
        <w:r w:rsidR="000822F5">
          <w:rPr>
            <w:rFonts w:asciiTheme="minorHAnsi" w:eastAsiaTheme="minorEastAsia" w:hAnsiTheme="minorHAnsi" w:cstheme="minorBidi"/>
            <w:b w:val="0"/>
            <w:bCs w:val="0"/>
            <w:lang w:eastAsia="en-GB"/>
          </w:rPr>
          <w:tab/>
        </w:r>
        <w:r w:rsidR="000822F5" w:rsidRPr="00761014">
          <w:rPr>
            <w:rStyle w:val="Hyperlink"/>
          </w:rPr>
          <w:t>DEFINITIONS AND INTERPRETATION</w:t>
        </w:r>
        <w:r w:rsidR="000822F5">
          <w:rPr>
            <w:webHidden/>
          </w:rPr>
          <w:tab/>
        </w:r>
        <w:r w:rsidR="000822F5">
          <w:rPr>
            <w:webHidden/>
          </w:rPr>
          <w:fldChar w:fldCharType="begin"/>
        </w:r>
        <w:r w:rsidR="000822F5">
          <w:rPr>
            <w:webHidden/>
          </w:rPr>
          <w:instrText xml:space="preserve"> PAGEREF _Toc391545316 \h </w:instrText>
        </w:r>
        <w:r w:rsidR="000822F5">
          <w:rPr>
            <w:webHidden/>
          </w:rPr>
        </w:r>
        <w:r w:rsidR="000822F5">
          <w:rPr>
            <w:webHidden/>
          </w:rPr>
          <w:fldChar w:fldCharType="separate"/>
        </w:r>
        <w:r w:rsidR="000822F5">
          <w:rPr>
            <w:webHidden/>
          </w:rPr>
          <w:t>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17" w:history="1">
        <w:r w:rsidR="000822F5" w:rsidRPr="00761014">
          <w:rPr>
            <w:rStyle w:val="Hyperlink"/>
          </w:rPr>
          <w:t>2.</w:t>
        </w:r>
        <w:r w:rsidR="000822F5">
          <w:rPr>
            <w:rFonts w:asciiTheme="minorHAnsi" w:eastAsiaTheme="minorEastAsia" w:hAnsiTheme="minorHAnsi" w:cstheme="minorBidi"/>
            <w:b w:val="0"/>
            <w:bCs w:val="0"/>
            <w:lang w:eastAsia="en-GB"/>
          </w:rPr>
          <w:tab/>
        </w:r>
        <w:r w:rsidR="000822F5" w:rsidRPr="00761014">
          <w:rPr>
            <w:rStyle w:val="Hyperlink"/>
          </w:rPr>
          <w:t>SUPPLIER'S APPOINTMENT</w:t>
        </w:r>
        <w:r w:rsidR="000822F5">
          <w:rPr>
            <w:webHidden/>
          </w:rPr>
          <w:tab/>
        </w:r>
        <w:r w:rsidR="000822F5">
          <w:rPr>
            <w:webHidden/>
          </w:rPr>
          <w:fldChar w:fldCharType="begin"/>
        </w:r>
        <w:r w:rsidR="000822F5">
          <w:rPr>
            <w:webHidden/>
          </w:rPr>
          <w:instrText xml:space="preserve"> PAGEREF _Toc391545317 \h </w:instrText>
        </w:r>
        <w:r w:rsidR="000822F5">
          <w:rPr>
            <w:webHidden/>
          </w:rPr>
        </w:r>
        <w:r w:rsidR="000822F5">
          <w:rPr>
            <w:webHidden/>
          </w:rPr>
          <w:fldChar w:fldCharType="separate"/>
        </w:r>
        <w:r w:rsidR="000822F5">
          <w:rPr>
            <w:webHidden/>
          </w:rPr>
          <w:t>8</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18" w:history="1">
        <w:r w:rsidR="000822F5" w:rsidRPr="00761014">
          <w:rPr>
            <w:rStyle w:val="Hyperlink"/>
          </w:rPr>
          <w:t>3.</w:t>
        </w:r>
        <w:r w:rsidR="000822F5">
          <w:rPr>
            <w:rFonts w:asciiTheme="minorHAnsi" w:eastAsiaTheme="minorEastAsia" w:hAnsiTheme="minorHAnsi" w:cstheme="minorBidi"/>
            <w:b w:val="0"/>
            <w:bCs w:val="0"/>
            <w:lang w:eastAsia="en-GB"/>
          </w:rPr>
          <w:tab/>
        </w:r>
        <w:r w:rsidR="000822F5" w:rsidRPr="00761014">
          <w:rPr>
            <w:rStyle w:val="Hyperlink"/>
          </w:rPr>
          <w:t>SCOPE OF FRAMEWORK AGREEMENT</w:t>
        </w:r>
        <w:r w:rsidR="000822F5">
          <w:rPr>
            <w:webHidden/>
          </w:rPr>
          <w:tab/>
        </w:r>
        <w:r w:rsidR="000822F5">
          <w:rPr>
            <w:webHidden/>
          </w:rPr>
          <w:fldChar w:fldCharType="begin"/>
        </w:r>
        <w:r w:rsidR="000822F5">
          <w:rPr>
            <w:webHidden/>
          </w:rPr>
          <w:instrText xml:space="preserve"> PAGEREF _Toc391545318 \h </w:instrText>
        </w:r>
        <w:r w:rsidR="000822F5">
          <w:rPr>
            <w:webHidden/>
          </w:rPr>
        </w:r>
        <w:r w:rsidR="000822F5">
          <w:rPr>
            <w:webHidden/>
          </w:rPr>
          <w:fldChar w:fldCharType="separate"/>
        </w:r>
        <w:r w:rsidR="000822F5">
          <w:rPr>
            <w:webHidden/>
          </w:rPr>
          <w:t>8</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19" w:history="1">
        <w:r w:rsidR="000822F5" w:rsidRPr="00761014">
          <w:rPr>
            <w:rStyle w:val="Hyperlink"/>
          </w:rPr>
          <w:t>4.</w:t>
        </w:r>
        <w:r w:rsidR="000822F5">
          <w:rPr>
            <w:rFonts w:asciiTheme="minorHAnsi" w:eastAsiaTheme="minorEastAsia" w:hAnsiTheme="minorHAnsi" w:cstheme="minorBidi"/>
            <w:b w:val="0"/>
            <w:bCs w:val="0"/>
            <w:lang w:eastAsia="en-GB"/>
          </w:rPr>
          <w:tab/>
        </w:r>
        <w:r w:rsidR="000822F5" w:rsidRPr="00761014">
          <w:rPr>
            <w:rStyle w:val="Hyperlink"/>
          </w:rPr>
          <w:t>CALL OFF PROCEDURE</w:t>
        </w:r>
        <w:r w:rsidR="000822F5">
          <w:rPr>
            <w:webHidden/>
          </w:rPr>
          <w:tab/>
        </w:r>
        <w:r w:rsidR="000822F5">
          <w:rPr>
            <w:webHidden/>
          </w:rPr>
          <w:fldChar w:fldCharType="begin"/>
        </w:r>
        <w:r w:rsidR="000822F5">
          <w:rPr>
            <w:webHidden/>
          </w:rPr>
          <w:instrText xml:space="preserve"> PAGEREF _Toc391545319 \h </w:instrText>
        </w:r>
        <w:r w:rsidR="000822F5">
          <w:rPr>
            <w:webHidden/>
          </w:rPr>
        </w:r>
        <w:r w:rsidR="000822F5">
          <w:rPr>
            <w:webHidden/>
          </w:rPr>
          <w:fldChar w:fldCharType="separate"/>
        </w:r>
        <w:r w:rsidR="000822F5">
          <w:rPr>
            <w:webHidden/>
          </w:rPr>
          <w:t>9</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0" w:history="1">
        <w:r w:rsidR="000822F5" w:rsidRPr="00761014">
          <w:rPr>
            <w:rStyle w:val="Hyperlink"/>
          </w:rPr>
          <w:t>5.</w:t>
        </w:r>
        <w:r w:rsidR="000822F5">
          <w:rPr>
            <w:rFonts w:asciiTheme="minorHAnsi" w:eastAsiaTheme="minorEastAsia" w:hAnsiTheme="minorHAnsi" w:cstheme="minorBidi"/>
            <w:b w:val="0"/>
            <w:bCs w:val="0"/>
            <w:lang w:eastAsia="en-GB"/>
          </w:rPr>
          <w:tab/>
        </w:r>
        <w:r w:rsidR="000822F5" w:rsidRPr="00761014">
          <w:rPr>
            <w:rStyle w:val="Hyperlink"/>
          </w:rPr>
          <w:t>ASSISTANCE IN RELATED PROCUREMENTS</w:t>
        </w:r>
        <w:r w:rsidR="000822F5">
          <w:rPr>
            <w:webHidden/>
          </w:rPr>
          <w:tab/>
        </w:r>
        <w:r w:rsidR="000822F5">
          <w:rPr>
            <w:webHidden/>
          </w:rPr>
          <w:fldChar w:fldCharType="begin"/>
        </w:r>
        <w:r w:rsidR="000822F5">
          <w:rPr>
            <w:webHidden/>
          </w:rPr>
          <w:instrText xml:space="preserve"> PAGEREF _Toc391545320 \h </w:instrText>
        </w:r>
        <w:r w:rsidR="000822F5">
          <w:rPr>
            <w:webHidden/>
          </w:rPr>
        </w:r>
        <w:r w:rsidR="000822F5">
          <w:rPr>
            <w:webHidden/>
          </w:rPr>
          <w:fldChar w:fldCharType="separate"/>
        </w:r>
        <w:r w:rsidR="000822F5">
          <w:rPr>
            <w:webHidden/>
          </w:rPr>
          <w:t>9</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1" w:history="1">
        <w:r w:rsidR="000822F5" w:rsidRPr="00761014">
          <w:rPr>
            <w:rStyle w:val="Hyperlink"/>
          </w:rPr>
          <w:t>6.</w:t>
        </w:r>
        <w:r w:rsidR="000822F5">
          <w:rPr>
            <w:rFonts w:asciiTheme="minorHAnsi" w:eastAsiaTheme="minorEastAsia" w:hAnsiTheme="minorHAnsi" w:cstheme="minorBidi"/>
            <w:b w:val="0"/>
            <w:bCs w:val="0"/>
            <w:lang w:eastAsia="en-GB"/>
          </w:rPr>
          <w:tab/>
        </w:r>
        <w:r w:rsidR="000822F5" w:rsidRPr="00761014">
          <w:rPr>
            <w:rStyle w:val="Hyperlink"/>
          </w:rPr>
          <w:t>REPRESENTATIONS AND WARRANTIES</w:t>
        </w:r>
        <w:r w:rsidR="000822F5">
          <w:rPr>
            <w:webHidden/>
          </w:rPr>
          <w:tab/>
        </w:r>
        <w:r w:rsidR="000822F5">
          <w:rPr>
            <w:webHidden/>
          </w:rPr>
          <w:fldChar w:fldCharType="begin"/>
        </w:r>
        <w:r w:rsidR="000822F5">
          <w:rPr>
            <w:webHidden/>
          </w:rPr>
          <w:instrText xml:space="preserve"> PAGEREF _Toc391545321 \h </w:instrText>
        </w:r>
        <w:r w:rsidR="000822F5">
          <w:rPr>
            <w:webHidden/>
          </w:rPr>
        </w:r>
        <w:r w:rsidR="000822F5">
          <w:rPr>
            <w:webHidden/>
          </w:rPr>
          <w:fldChar w:fldCharType="separate"/>
        </w:r>
        <w:r w:rsidR="000822F5">
          <w:rPr>
            <w:webHidden/>
          </w:rPr>
          <w:t>10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2" w:history="1">
        <w:r w:rsidR="000822F5" w:rsidRPr="00761014">
          <w:rPr>
            <w:rStyle w:val="Hyperlink"/>
          </w:rPr>
          <w:t>7.</w:t>
        </w:r>
        <w:r w:rsidR="000822F5">
          <w:rPr>
            <w:rFonts w:asciiTheme="minorHAnsi" w:eastAsiaTheme="minorEastAsia" w:hAnsiTheme="minorHAnsi" w:cstheme="minorBidi"/>
            <w:b w:val="0"/>
            <w:bCs w:val="0"/>
            <w:lang w:eastAsia="en-GB"/>
          </w:rPr>
          <w:tab/>
        </w:r>
        <w:r w:rsidR="000822F5" w:rsidRPr="00761014">
          <w:rPr>
            <w:rStyle w:val="Hyperlink"/>
          </w:rPr>
          <w:t>GUARANTEE</w:t>
        </w:r>
        <w:r w:rsidR="000822F5">
          <w:rPr>
            <w:webHidden/>
          </w:rPr>
          <w:tab/>
        </w:r>
        <w:r w:rsidR="000822F5">
          <w:rPr>
            <w:webHidden/>
          </w:rPr>
          <w:fldChar w:fldCharType="begin"/>
        </w:r>
        <w:r w:rsidR="000822F5">
          <w:rPr>
            <w:webHidden/>
          </w:rPr>
          <w:instrText xml:space="preserve"> PAGEREF _Toc391545322 \h </w:instrText>
        </w:r>
        <w:r w:rsidR="000822F5">
          <w:rPr>
            <w:webHidden/>
          </w:rPr>
        </w:r>
        <w:r w:rsidR="000822F5">
          <w:rPr>
            <w:webHidden/>
          </w:rPr>
          <w:fldChar w:fldCharType="separate"/>
        </w:r>
        <w:r w:rsidR="000822F5">
          <w:rPr>
            <w:webHidden/>
          </w:rPr>
          <w:t>12</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23" w:history="1">
        <w:r w:rsidR="000822F5" w:rsidRPr="00761014">
          <w:rPr>
            <w:rStyle w:val="Hyperlink"/>
          </w:rPr>
          <w:t>B.</w:t>
        </w:r>
        <w:r w:rsidR="000822F5">
          <w:rPr>
            <w:rFonts w:asciiTheme="minorHAnsi" w:eastAsiaTheme="minorEastAsia" w:hAnsiTheme="minorHAnsi" w:cstheme="minorBidi"/>
            <w:b w:val="0"/>
            <w:bCs w:val="0"/>
            <w:caps w:val="0"/>
          </w:rPr>
          <w:tab/>
        </w:r>
        <w:r w:rsidR="000822F5" w:rsidRPr="00761014">
          <w:rPr>
            <w:rStyle w:val="Hyperlink"/>
          </w:rPr>
          <w:t>DURATION OF FRAMEWORK AGREEMENT</w:t>
        </w:r>
        <w:r w:rsidR="000822F5">
          <w:rPr>
            <w:webHidden/>
          </w:rPr>
          <w:tab/>
        </w:r>
        <w:r w:rsidR="000822F5">
          <w:rPr>
            <w:webHidden/>
          </w:rPr>
          <w:fldChar w:fldCharType="begin"/>
        </w:r>
        <w:r w:rsidR="000822F5">
          <w:rPr>
            <w:webHidden/>
          </w:rPr>
          <w:instrText xml:space="preserve"> PAGEREF _Toc391545323 \h </w:instrText>
        </w:r>
        <w:r w:rsidR="000822F5">
          <w:rPr>
            <w:webHidden/>
          </w:rPr>
        </w:r>
        <w:r w:rsidR="000822F5">
          <w:rPr>
            <w:webHidden/>
          </w:rPr>
          <w:fldChar w:fldCharType="separate"/>
        </w:r>
        <w:r w:rsidR="000822F5">
          <w:rPr>
            <w:webHidden/>
          </w:rPr>
          <w:t>12</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4" w:history="1">
        <w:r w:rsidR="000822F5" w:rsidRPr="00761014">
          <w:rPr>
            <w:rStyle w:val="Hyperlink"/>
          </w:rPr>
          <w:t>8.</w:t>
        </w:r>
        <w:r w:rsidR="000822F5">
          <w:rPr>
            <w:rFonts w:asciiTheme="minorHAnsi" w:eastAsiaTheme="minorEastAsia" w:hAnsiTheme="minorHAnsi" w:cstheme="minorBidi"/>
            <w:b w:val="0"/>
            <w:bCs w:val="0"/>
            <w:lang w:eastAsia="en-GB"/>
          </w:rPr>
          <w:tab/>
        </w:r>
        <w:r w:rsidR="000822F5" w:rsidRPr="00761014">
          <w:rPr>
            <w:rStyle w:val="Hyperlink"/>
          </w:rPr>
          <w:t>FRAMEWORK PERIOD</w:t>
        </w:r>
        <w:r w:rsidR="000822F5">
          <w:rPr>
            <w:webHidden/>
          </w:rPr>
          <w:tab/>
        </w:r>
        <w:r w:rsidR="000822F5">
          <w:rPr>
            <w:webHidden/>
          </w:rPr>
          <w:fldChar w:fldCharType="begin"/>
        </w:r>
        <w:r w:rsidR="000822F5">
          <w:rPr>
            <w:webHidden/>
          </w:rPr>
          <w:instrText xml:space="preserve"> PAGEREF _Toc391545324 \h </w:instrText>
        </w:r>
        <w:r w:rsidR="000822F5">
          <w:rPr>
            <w:webHidden/>
          </w:rPr>
        </w:r>
        <w:r w:rsidR="000822F5">
          <w:rPr>
            <w:webHidden/>
          </w:rPr>
          <w:fldChar w:fldCharType="separate"/>
        </w:r>
        <w:r w:rsidR="000822F5">
          <w:rPr>
            <w:webHidden/>
          </w:rPr>
          <w:t>12</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25" w:history="1">
        <w:r w:rsidR="000822F5" w:rsidRPr="00761014">
          <w:rPr>
            <w:rStyle w:val="Hyperlink"/>
          </w:rPr>
          <w:t>C.</w:t>
        </w:r>
        <w:r w:rsidR="000822F5">
          <w:rPr>
            <w:rFonts w:asciiTheme="minorHAnsi" w:eastAsiaTheme="minorEastAsia" w:hAnsiTheme="minorHAnsi" w:cstheme="minorBidi"/>
            <w:b w:val="0"/>
            <w:bCs w:val="0"/>
            <w:caps w:val="0"/>
          </w:rPr>
          <w:tab/>
        </w:r>
        <w:r w:rsidR="000822F5" w:rsidRPr="00761014">
          <w:rPr>
            <w:rStyle w:val="Hyperlink"/>
          </w:rPr>
          <w:t>FRAMEWORK AGREEMENT PERFORMANCE</w:t>
        </w:r>
        <w:r w:rsidR="000822F5">
          <w:rPr>
            <w:webHidden/>
          </w:rPr>
          <w:tab/>
        </w:r>
        <w:r w:rsidR="000822F5">
          <w:rPr>
            <w:webHidden/>
          </w:rPr>
          <w:fldChar w:fldCharType="begin"/>
        </w:r>
        <w:r w:rsidR="000822F5">
          <w:rPr>
            <w:webHidden/>
          </w:rPr>
          <w:instrText xml:space="preserve"> PAGEREF _Toc391545325 \h </w:instrText>
        </w:r>
        <w:r w:rsidR="000822F5">
          <w:rPr>
            <w:webHidden/>
          </w:rPr>
        </w:r>
        <w:r w:rsidR="000822F5">
          <w:rPr>
            <w:webHidden/>
          </w:rPr>
          <w:fldChar w:fldCharType="separate"/>
        </w:r>
        <w:r w:rsidR="000822F5">
          <w:rPr>
            <w:webHidden/>
          </w:rPr>
          <w:t>12</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6" w:history="1">
        <w:r w:rsidR="000822F5" w:rsidRPr="00761014">
          <w:rPr>
            <w:rStyle w:val="Hyperlink"/>
          </w:rPr>
          <w:t>9.</w:t>
        </w:r>
        <w:r w:rsidR="000822F5">
          <w:rPr>
            <w:rFonts w:asciiTheme="minorHAnsi" w:eastAsiaTheme="minorEastAsia" w:hAnsiTheme="minorHAnsi" w:cstheme="minorBidi"/>
            <w:b w:val="0"/>
            <w:bCs w:val="0"/>
            <w:lang w:eastAsia="en-GB"/>
          </w:rPr>
          <w:tab/>
        </w:r>
        <w:r w:rsidR="000822F5" w:rsidRPr="00761014">
          <w:rPr>
            <w:rStyle w:val="Hyperlink"/>
          </w:rPr>
          <w:t>FRAMEWORK AGREEMENT PERFORMANCE</w:t>
        </w:r>
        <w:r w:rsidR="000822F5">
          <w:rPr>
            <w:webHidden/>
          </w:rPr>
          <w:tab/>
        </w:r>
        <w:r w:rsidR="000822F5">
          <w:rPr>
            <w:webHidden/>
          </w:rPr>
          <w:fldChar w:fldCharType="begin"/>
        </w:r>
        <w:r w:rsidR="000822F5">
          <w:rPr>
            <w:webHidden/>
          </w:rPr>
          <w:instrText xml:space="preserve"> PAGEREF _Toc391545326 \h </w:instrText>
        </w:r>
        <w:r w:rsidR="000822F5">
          <w:rPr>
            <w:webHidden/>
          </w:rPr>
        </w:r>
        <w:r w:rsidR="000822F5">
          <w:rPr>
            <w:webHidden/>
          </w:rPr>
          <w:fldChar w:fldCharType="separate"/>
        </w:r>
        <w:r w:rsidR="000822F5">
          <w:rPr>
            <w:webHidden/>
          </w:rPr>
          <w:t>13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7" w:history="1">
        <w:r w:rsidR="000822F5" w:rsidRPr="00761014">
          <w:rPr>
            <w:rStyle w:val="Hyperlink"/>
          </w:rPr>
          <w:t>10.</w:t>
        </w:r>
        <w:r w:rsidR="000822F5">
          <w:rPr>
            <w:rFonts w:asciiTheme="minorHAnsi" w:eastAsiaTheme="minorEastAsia" w:hAnsiTheme="minorHAnsi" w:cstheme="minorBidi"/>
            <w:b w:val="0"/>
            <w:bCs w:val="0"/>
            <w:lang w:eastAsia="en-GB"/>
          </w:rPr>
          <w:tab/>
        </w:r>
        <w:r w:rsidR="000822F5" w:rsidRPr="00761014">
          <w:rPr>
            <w:rStyle w:val="Hyperlink"/>
          </w:rPr>
          <w:t>KEY PERFORMANCE INDICATORS</w:t>
        </w:r>
        <w:r w:rsidR="000822F5">
          <w:rPr>
            <w:webHidden/>
          </w:rPr>
          <w:tab/>
        </w:r>
        <w:r w:rsidR="000822F5">
          <w:rPr>
            <w:webHidden/>
          </w:rPr>
          <w:fldChar w:fldCharType="begin"/>
        </w:r>
        <w:r w:rsidR="000822F5">
          <w:rPr>
            <w:webHidden/>
          </w:rPr>
          <w:instrText xml:space="preserve"> PAGEREF _Toc391545327 \h </w:instrText>
        </w:r>
        <w:r w:rsidR="000822F5">
          <w:rPr>
            <w:webHidden/>
          </w:rPr>
        </w:r>
        <w:r w:rsidR="000822F5">
          <w:rPr>
            <w:webHidden/>
          </w:rPr>
          <w:fldChar w:fldCharType="separate"/>
        </w:r>
        <w:r w:rsidR="000822F5">
          <w:rPr>
            <w:webHidden/>
          </w:rPr>
          <w:t>13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8" w:history="1">
        <w:r w:rsidR="000822F5" w:rsidRPr="00761014">
          <w:rPr>
            <w:rStyle w:val="Hyperlink"/>
          </w:rPr>
          <w:t>11.</w:t>
        </w:r>
        <w:r w:rsidR="000822F5">
          <w:rPr>
            <w:rFonts w:asciiTheme="minorHAnsi" w:eastAsiaTheme="minorEastAsia" w:hAnsiTheme="minorHAnsi" w:cstheme="minorBidi"/>
            <w:b w:val="0"/>
            <w:bCs w:val="0"/>
            <w:lang w:eastAsia="en-GB"/>
          </w:rPr>
          <w:tab/>
        </w:r>
        <w:r w:rsidR="000822F5" w:rsidRPr="00761014">
          <w:rPr>
            <w:rStyle w:val="Hyperlink"/>
          </w:rPr>
          <w:t>STANDARDS</w:t>
        </w:r>
        <w:r w:rsidR="000822F5">
          <w:rPr>
            <w:webHidden/>
          </w:rPr>
          <w:tab/>
        </w:r>
        <w:r w:rsidR="000822F5">
          <w:rPr>
            <w:webHidden/>
          </w:rPr>
          <w:fldChar w:fldCharType="begin"/>
        </w:r>
        <w:r w:rsidR="000822F5">
          <w:rPr>
            <w:webHidden/>
          </w:rPr>
          <w:instrText xml:space="preserve"> PAGEREF _Toc391545328 \h </w:instrText>
        </w:r>
        <w:r w:rsidR="000822F5">
          <w:rPr>
            <w:webHidden/>
          </w:rPr>
        </w:r>
        <w:r w:rsidR="000822F5">
          <w:rPr>
            <w:webHidden/>
          </w:rPr>
          <w:fldChar w:fldCharType="separate"/>
        </w:r>
        <w:r w:rsidR="000822F5">
          <w:rPr>
            <w:webHidden/>
          </w:rPr>
          <w:t>13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29" w:history="1">
        <w:r w:rsidR="000822F5" w:rsidRPr="00761014">
          <w:rPr>
            <w:rStyle w:val="Hyperlink"/>
          </w:rPr>
          <w:t>12.</w:t>
        </w:r>
        <w:r w:rsidR="000822F5">
          <w:rPr>
            <w:rFonts w:asciiTheme="minorHAnsi" w:eastAsiaTheme="minorEastAsia" w:hAnsiTheme="minorHAnsi" w:cstheme="minorBidi"/>
            <w:b w:val="0"/>
            <w:bCs w:val="0"/>
            <w:lang w:eastAsia="en-GB"/>
          </w:rPr>
          <w:tab/>
        </w:r>
        <w:r w:rsidR="000822F5" w:rsidRPr="00761014">
          <w:rPr>
            <w:rStyle w:val="Hyperlink"/>
          </w:rPr>
          <w:t>CONTINUOUS IMPROVEMENT</w:t>
        </w:r>
        <w:r w:rsidR="000822F5">
          <w:rPr>
            <w:webHidden/>
          </w:rPr>
          <w:tab/>
        </w:r>
        <w:r w:rsidR="000822F5">
          <w:rPr>
            <w:webHidden/>
          </w:rPr>
          <w:fldChar w:fldCharType="begin"/>
        </w:r>
        <w:r w:rsidR="000822F5">
          <w:rPr>
            <w:webHidden/>
          </w:rPr>
          <w:instrText xml:space="preserve"> PAGEREF _Toc391545329 \h </w:instrText>
        </w:r>
        <w:r w:rsidR="000822F5">
          <w:rPr>
            <w:webHidden/>
          </w:rPr>
        </w:r>
        <w:r w:rsidR="000822F5">
          <w:rPr>
            <w:webHidden/>
          </w:rPr>
          <w:fldChar w:fldCharType="separate"/>
        </w:r>
        <w:r w:rsidR="000822F5">
          <w:rPr>
            <w:webHidden/>
          </w:rPr>
          <w:t>14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0" w:history="1">
        <w:r w:rsidR="000822F5" w:rsidRPr="00761014">
          <w:rPr>
            <w:rStyle w:val="Hyperlink"/>
          </w:rPr>
          <w:t>13.</w:t>
        </w:r>
        <w:r w:rsidR="000822F5">
          <w:rPr>
            <w:rFonts w:asciiTheme="minorHAnsi" w:eastAsiaTheme="minorEastAsia" w:hAnsiTheme="minorHAnsi" w:cstheme="minorBidi"/>
            <w:b w:val="0"/>
            <w:bCs w:val="0"/>
            <w:lang w:eastAsia="en-GB"/>
          </w:rPr>
          <w:tab/>
        </w:r>
        <w:r w:rsidR="000822F5" w:rsidRPr="00761014">
          <w:rPr>
            <w:rStyle w:val="Hyperlink"/>
          </w:rPr>
          <w:t>CALL OFF PERFORMANCE UNDER FRAMEWORK AGREEMENT</w:t>
        </w:r>
        <w:r w:rsidR="000822F5">
          <w:rPr>
            <w:webHidden/>
          </w:rPr>
          <w:tab/>
        </w:r>
        <w:r w:rsidR="000822F5">
          <w:rPr>
            <w:webHidden/>
          </w:rPr>
          <w:fldChar w:fldCharType="begin"/>
        </w:r>
        <w:r w:rsidR="000822F5">
          <w:rPr>
            <w:webHidden/>
          </w:rPr>
          <w:instrText xml:space="preserve"> PAGEREF _Toc391545330 \h </w:instrText>
        </w:r>
        <w:r w:rsidR="000822F5">
          <w:rPr>
            <w:webHidden/>
          </w:rPr>
        </w:r>
        <w:r w:rsidR="000822F5">
          <w:rPr>
            <w:webHidden/>
          </w:rPr>
          <w:fldChar w:fldCharType="separate"/>
        </w:r>
        <w:r w:rsidR="000822F5">
          <w:rPr>
            <w:webHidden/>
          </w:rPr>
          <w:t>14</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31" w:history="1">
        <w:r w:rsidR="000822F5" w:rsidRPr="00761014">
          <w:rPr>
            <w:rStyle w:val="Hyperlink"/>
          </w:rPr>
          <w:t>D.</w:t>
        </w:r>
        <w:r w:rsidR="000822F5">
          <w:rPr>
            <w:rFonts w:asciiTheme="minorHAnsi" w:eastAsiaTheme="minorEastAsia" w:hAnsiTheme="minorHAnsi" w:cstheme="minorBidi"/>
            <w:b w:val="0"/>
            <w:bCs w:val="0"/>
            <w:caps w:val="0"/>
          </w:rPr>
          <w:tab/>
        </w:r>
        <w:r w:rsidR="000822F5" w:rsidRPr="00761014">
          <w:rPr>
            <w:rStyle w:val="Hyperlink"/>
          </w:rPr>
          <w:t>FRAMEWORK AGREEMENT GOVERNANCE</w:t>
        </w:r>
        <w:r w:rsidR="000822F5">
          <w:rPr>
            <w:webHidden/>
          </w:rPr>
          <w:tab/>
        </w:r>
        <w:r w:rsidR="000822F5">
          <w:rPr>
            <w:webHidden/>
          </w:rPr>
          <w:fldChar w:fldCharType="begin"/>
        </w:r>
        <w:r w:rsidR="000822F5">
          <w:rPr>
            <w:webHidden/>
          </w:rPr>
          <w:instrText xml:space="preserve"> PAGEREF _Toc391545331 \h </w:instrText>
        </w:r>
        <w:r w:rsidR="000822F5">
          <w:rPr>
            <w:webHidden/>
          </w:rPr>
        </w:r>
        <w:r w:rsidR="000822F5">
          <w:rPr>
            <w:webHidden/>
          </w:rPr>
          <w:fldChar w:fldCharType="separate"/>
        </w:r>
        <w:r w:rsidR="000822F5">
          <w:rPr>
            <w:webHidden/>
          </w:rPr>
          <w:t>14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2" w:history="1">
        <w:r w:rsidR="000822F5" w:rsidRPr="00761014">
          <w:rPr>
            <w:rStyle w:val="Hyperlink"/>
          </w:rPr>
          <w:t>14.</w:t>
        </w:r>
        <w:r w:rsidR="000822F5">
          <w:rPr>
            <w:rFonts w:asciiTheme="minorHAnsi" w:eastAsiaTheme="minorEastAsia" w:hAnsiTheme="minorHAnsi" w:cstheme="minorBidi"/>
            <w:b w:val="0"/>
            <w:bCs w:val="0"/>
            <w:lang w:eastAsia="en-GB"/>
          </w:rPr>
          <w:tab/>
        </w:r>
        <w:r w:rsidR="000822F5" w:rsidRPr="00761014">
          <w:rPr>
            <w:rStyle w:val="Hyperlink"/>
          </w:rPr>
          <w:t>FRAMEWORK AGREEMENT MANAGEMENT</w:t>
        </w:r>
        <w:r w:rsidR="000822F5">
          <w:rPr>
            <w:webHidden/>
          </w:rPr>
          <w:tab/>
        </w:r>
        <w:r w:rsidR="000822F5">
          <w:rPr>
            <w:webHidden/>
          </w:rPr>
          <w:fldChar w:fldCharType="begin"/>
        </w:r>
        <w:r w:rsidR="000822F5">
          <w:rPr>
            <w:webHidden/>
          </w:rPr>
          <w:instrText xml:space="preserve"> PAGEREF _Toc391545332 \h </w:instrText>
        </w:r>
        <w:r w:rsidR="000822F5">
          <w:rPr>
            <w:webHidden/>
          </w:rPr>
        </w:r>
        <w:r w:rsidR="000822F5">
          <w:rPr>
            <w:webHidden/>
          </w:rPr>
          <w:fldChar w:fldCharType="separate"/>
        </w:r>
        <w:r w:rsidR="000822F5">
          <w:rPr>
            <w:webHidden/>
          </w:rPr>
          <w:t>14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3" w:history="1">
        <w:r w:rsidR="000822F5" w:rsidRPr="00761014">
          <w:rPr>
            <w:rStyle w:val="Hyperlink"/>
          </w:rPr>
          <w:t>15.</w:t>
        </w:r>
        <w:r w:rsidR="000822F5">
          <w:rPr>
            <w:rFonts w:asciiTheme="minorHAnsi" w:eastAsiaTheme="minorEastAsia" w:hAnsiTheme="minorHAnsi" w:cstheme="minorBidi"/>
            <w:b w:val="0"/>
            <w:bCs w:val="0"/>
            <w:lang w:eastAsia="en-GB"/>
          </w:rPr>
          <w:tab/>
        </w:r>
        <w:r w:rsidR="000822F5" w:rsidRPr="00761014">
          <w:rPr>
            <w:rStyle w:val="Hyperlink"/>
          </w:rPr>
          <w:t>RECORDS, AUDIT ACCESS AND OPEN BOOK DATA</w:t>
        </w:r>
        <w:r w:rsidR="000822F5">
          <w:rPr>
            <w:webHidden/>
          </w:rPr>
          <w:tab/>
        </w:r>
        <w:r w:rsidR="000822F5">
          <w:rPr>
            <w:webHidden/>
          </w:rPr>
          <w:fldChar w:fldCharType="begin"/>
        </w:r>
        <w:r w:rsidR="000822F5">
          <w:rPr>
            <w:webHidden/>
          </w:rPr>
          <w:instrText xml:space="preserve"> PAGEREF _Toc391545333 \h </w:instrText>
        </w:r>
        <w:r w:rsidR="000822F5">
          <w:rPr>
            <w:webHidden/>
          </w:rPr>
        </w:r>
        <w:r w:rsidR="000822F5">
          <w:rPr>
            <w:webHidden/>
          </w:rPr>
          <w:fldChar w:fldCharType="separate"/>
        </w:r>
        <w:r w:rsidR="000822F5">
          <w:rPr>
            <w:webHidden/>
          </w:rPr>
          <w:t>14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4" w:history="1">
        <w:r w:rsidR="000822F5" w:rsidRPr="00761014">
          <w:rPr>
            <w:rStyle w:val="Hyperlink"/>
          </w:rPr>
          <w:t>16.</w:t>
        </w:r>
        <w:r w:rsidR="000822F5">
          <w:rPr>
            <w:rFonts w:asciiTheme="minorHAnsi" w:eastAsiaTheme="minorEastAsia" w:hAnsiTheme="minorHAnsi" w:cstheme="minorBidi"/>
            <w:b w:val="0"/>
            <w:bCs w:val="0"/>
            <w:lang w:eastAsia="en-GB"/>
          </w:rPr>
          <w:tab/>
        </w:r>
        <w:r w:rsidR="000822F5" w:rsidRPr="00761014">
          <w:rPr>
            <w:rStyle w:val="Hyperlink"/>
          </w:rPr>
          <w:t>CHANGE</w:t>
        </w:r>
        <w:r w:rsidR="000822F5">
          <w:rPr>
            <w:webHidden/>
          </w:rPr>
          <w:tab/>
        </w:r>
        <w:r w:rsidR="000822F5">
          <w:rPr>
            <w:webHidden/>
          </w:rPr>
          <w:fldChar w:fldCharType="begin"/>
        </w:r>
        <w:r w:rsidR="000822F5">
          <w:rPr>
            <w:webHidden/>
          </w:rPr>
          <w:instrText xml:space="preserve"> PAGEREF _Toc391545334 \h </w:instrText>
        </w:r>
        <w:r w:rsidR="000822F5">
          <w:rPr>
            <w:webHidden/>
          </w:rPr>
        </w:r>
        <w:r w:rsidR="000822F5">
          <w:rPr>
            <w:webHidden/>
          </w:rPr>
          <w:fldChar w:fldCharType="separate"/>
        </w:r>
        <w:r w:rsidR="000822F5">
          <w:rPr>
            <w:webHidden/>
          </w:rPr>
          <w:t>17</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35" w:history="1">
        <w:r w:rsidR="000822F5" w:rsidRPr="00761014">
          <w:rPr>
            <w:rStyle w:val="Hyperlink"/>
          </w:rPr>
          <w:t>E.</w:t>
        </w:r>
        <w:r w:rsidR="000822F5">
          <w:rPr>
            <w:rFonts w:asciiTheme="minorHAnsi" w:eastAsiaTheme="minorEastAsia" w:hAnsiTheme="minorHAnsi" w:cstheme="minorBidi"/>
            <w:b w:val="0"/>
            <w:bCs w:val="0"/>
            <w:caps w:val="0"/>
          </w:rPr>
          <w:tab/>
        </w:r>
        <w:r w:rsidR="000822F5" w:rsidRPr="00761014">
          <w:rPr>
            <w:rStyle w:val="Hyperlink"/>
          </w:rPr>
          <w:t>MANAGEMENT CHARGE, TAXATION AND VALUE FOR MONEY PROVISIONS</w:t>
        </w:r>
        <w:r w:rsidR="000822F5">
          <w:rPr>
            <w:webHidden/>
          </w:rPr>
          <w:tab/>
        </w:r>
        <w:r w:rsidR="000822F5">
          <w:rPr>
            <w:webHidden/>
          </w:rPr>
          <w:fldChar w:fldCharType="begin"/>
        </w:r>
        <w:r w:rsidR="000822F5">
          <w:rPr>
            <w:webHidden/>
          </w:rPr>
          <w:instrText xml:space="preserve"> PAGEREF _Toc391545335 \h </w:instrText>
        </w:r>
        <w:r w:rsidR="000822F5">
          <w:rPr>
            <w:webHidden/>
          </w:rPr>
        </w:r>
        <w:r w:rsidR="000822F5">
          <w:rPr>
            <w:webHidden/>
          </w:rPr>
          <w:fldChar w:fldCharType="separate"/>
        </w:r>
        <w:r w:rsidR="000822F5">
          <w:rPr>
            <w:webHidden/>
          </w:rPr>
          <w:t>19</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6" w:history="1">
        <w:r w:rsidR="000822F5" w:rsidRPr="00761014">
          <w:rPr>
            <w:rStyle w:val="Hyperlink"/>
          </w:rPr>
          <w:t>17.</w:t>
        </w:r>
        <w:r w:rsidR="000822F5">
          <w:rPr>
            <w:rFonts w:asciiTheme="minorHAnsi" w:eastAsiaTheme="minorEastAsia" w:hAnsiTheme="minorHAnsi" w:cstheme="minorBidi"/>
            <w:b w:val="0"/>
            <w:bCs w:val="0"/>
            <w:lang w:eastAsia="en-GB"/>
          </w:rPr>
          <w:tab/>
        </w:r>
        <w:r w:rsidR="000822F5" w:rsidRPr="00761014">
          <w:rPr>
            <w:rStyle w:val="Hyperlink"/>
          </w:rPr>
          <w:t>MANAGEMENT CHARGE</w:t>
        </w:r>
        <w:r w:rsidR="000822F5">
          <w:rPr>
            <w:webHidden/>
          </w:rPr>
          <w:tab/>
        </w:r>
        <w:r w:rsidR="000822F5">
          <w:rPr>
            <w:webHidden/>
          </w:rPr>
          <w:fldChar w:fldCharType="begin"/>
        </w:r>
        <w:r w:rsidR="000822F5">
          <w:rPr>
            <w:webHidden/>
          </w:rPr>
          <w:instrText xml:space="preserve"> PAGEREF _Toc391545336 \h </w:instrText>
        </w:r>
        <w:r w:rsidR="000822F5">
          <w:rPr>
            <w:webHidden/>
          </w:rPr>
        </w:r>
        <w:r w:rsidR="000822F5">
          <w:rPr>
            <w:webHidden/>
          </w:rPr>
          <w:fldChar w:fldCharType="separate"/>
        </w:r>
        <w:r w:rsidR="000822F5">
          <w:rPr>
            <w:webHidden/>
          </w:rPr>
          <w:t>19</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7" w:history="1">
        <w:r w:rsidR="000822F5" w:rsidRPr="00761014">
          <w:rPr>
            <w:rStyle w:val="Hyperlink"/>
          </w:rPr>
          <w:t>18.</w:t>
        </w:r>
        <w:r w:rsidR="000822F5">
          <w:rPr>
            <w:rFonts w:asciiTheme="minorHAnsi" w:eastAsiaTheme="minorEastAsia" w:hAnsiTheme="minorHAnsi" w:cstheme="minorBidi"/>
            <w:b w:val="0"/>
            <w:bCs w:val="0"/>
            <w:lang w:eastAsia="en-GB"/>
          </w:rPr>
          <w:tab/>
        </w:r>
        <w:r w:rsidR="000822F5" w:rsidRPr="00761014">
          <w:rPr>
            <w:rStyle w:val="Hyperlink"/>
          </w:rPr>
          <w:t>PROMOTING TAX COMPLIANCE</w:t>
        </w:r>
        <w:r w:rsidR="000822F5">
          <w:rPr>
            <w:webHidden/>
          </w:rPr>
          <w:tab/>
        </w:r>
        <w:r w:rsidR="000822F5">
          <w:rPr>
            <w:webHidden/>
          </w:rPr>
          <w:fldChar w:fldCharType="begin"/>
        </w:r>
        <w:r w:rsidR="000822F5">
          <w:rPr>
            <w:webHidden/>
          </w:rPr>
          <w:instrText xml:space="preserve"> PAGEREF _Toc391545337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8" w:history="1">
        <w:r w:rsidR="000822F5" w:rsidRPr="00761014">
          <w:rPr>
            <w:rStyle w:val="Hyperlink"/>
          </w:rPr>
          <w:t>19.</w:t>
        </w:r>
        <w:r w:rsidR="000822F5">
          <w:rPr>
            <w:rFonts w:asciiTheme="minorHAnsi" w:eastAsiaTheme="minorEastAsia" w:hAnsiTheme="minorHAnsi" w:cstheme="minorBidi"/>
            <w:b w:val="0"/>
            <w:bCs w:val="0"/>
            <w:lang w:eastAsia="en-GB"/>
          </w:rPr>
          <w:tab/>
        </w:r>
        <w:r w:rsidR="000822F5" w:rsidRPr="00761014">
          <w:rPr>
            <w:rStyle w:val="Hyperlink"/>
          </w:rPr>
          <w:t>BENCHMARKING</w:t>
        </w:r>
        <w:r w:rsidR="000822F5">
          <w:rPr>
            <w:webHidden/>
          </w:rPr>
          <w:tab/>
        </w:r>
        <w:r w:rsidR="000822F5">
          <w:rPr>
            <w:webHidden/>
          </w:rPr>
          <w:fldChar w:fldCharType="begin"/>
        </w:r>
        <w:r w:rsidR="000822F5">
          <w:rPr>
            <w:webHidden/>
          </w:rPr>
          <w:instrText xml:space="preserve"> PAGEREF _Toc391545338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39" w:history="1">
        <w:r w:rsidR="000822F5" w:rsidRPr="00761014">
          <w:rPr>
            <w:rStyle w:val="Hyperlink"/>
          </w:rPr>
          <w:t>20.</w:t>
        </w:r>
        <w:r w:rsidR="000822F5">
          <w:rPr>
            <w:rFonts w:asciiTheme="minorHAnsi" w:eastAsiaTheme="minorEastAsia" w:hAnsiTheme="minorHAnsi" w:cstheme="minorBidi"/>
            <w:b w:val="0"/>
            <w:bCs w:val="0"/>
            <w:lang w:eastAsia="en-GB"/>
          </w:rPr>
          <w:tab/>
        </w:r>
        <w:r w:rsidR="000822F5" w:rsidRPr="00761014">
          <w:rPr>
            <w:rStyle w:val="Hyperlink"/>
          </w:rPr>
          <w:t>NOT USED</w:t>
        </w:r>
        <w:r w:rsidR="000822F5">
          <w:rPr>
            <w:webHidden/>
          </w:rPr>
          <w:tab/>
        </w:r>
        <w:r w:rsidR="000822F5">
          <w:rPr>
            <w:webHidden/>
          </w:rPr>
          <w:fldChar w:fldCharType="begin"/>
        </w:r>
        <w:r w:rsidR="000822F5">
          <w:rPr>
            <w:webHidden/>
          </w:rPr>
          <w:instrText xml:space="preserve"> PAGEREF _Toc391545339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40" w:history="1">
        <w:r w:rsidR="000822F5" w:rsidRPr="00761014">
          <w:rPr>
            <w:rStyle w:val="Hyperlink"/>
          </w:rPr>
          <w:t>F.</w:t>
        </w:r>
        <w:r w:rsidR="000822F5">
          <w:rPr>
            <w:rFonts w:asciiTheme="minorHAnsi" w:eastAsiaTheme="minorEastAsia" w:hAnsiTheme="minorHAnsi" w:cstheme="minorBidi"/>
            <w:b w:val="0"/>
            <w:bCs w:val="0"/>
            <w:caps w:val="0"/>
          </w:rPr>
          <w:tab/>
        </w:r>
        <w:r w:rsidR="000822F5" w:rsidRPr="00761014">
          <w:rPr>
            <w:rStyle w:val="Hyperlink"/>
          </w:rPr>
          <w:t>SUPPLIER PERSONNEL AND SUPPLY CHAIN MATTERS</w:t>
        </w:r>
        <w:r w:rsidR="000822F5">
          <w:rPr>
            <w:webHidden/>
          </w:rPr>
          <w:tab/>
        </w:r>
        <w:r w:rsidR="000822F5">
          <w:rPr>
            <w:webHidden/>
          </w:rPr>
          <w:fldChar w:fldCharType="begin"/>
        </w:r>
        <w:r w:rsidR="000822F5">
          <w:rPr>
            <w:webHidden/>
          </w:rPr>
          <w:instrText xml:space="preserve"> PAGEREF _Toc391545340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1" w:history="1">
        <w:r w:rsidR="000822F5" w:rsidRPr="00761014">
          <w:rPr>
            <w:rStyle w:val="Hyperlink"/>
          </w:rPr>
          <w:t>21.</w:t>
        </w:r>
        <w:r w:rsidR="000822F5">
          <w:rPr>
            <w:rFonts w:asciiTheme="minorHAnsi" w:eastAsiaTheme="minorEastAsia" w:hAnsiTheme="minorHAnsi" w:cstheme="minorBidi"/>
            <w:b w:val="0"/>
            <w:bCs w:val="0"/>
            <w:lang w:eastAsia="en-GB"/>
          </w:rPr>
          <w:tab/>
        </w:r>
        <w:r w:rsidR="000822F5" w:rsidRPr="00761014">
          <w:rPr>
            <w:rStyle w:val="Hyperlink"/>
          </w:rPr>
          <w:t>NOT USED</w:t>
        </w:r>
        <w:r w:rsidR="000822F5">
          <w:rPr>
            <w:webHidden/>
          </w:rPr>
          <w:tab/>
        </w:r>
        <w:r w:rsidR="000822F5">
          <w:rPr>
            <w:webHidden/>
          </w:rPr>
          <w:fldChar w:fldCharType="begin"/>
        </w:r>
        <w:r w:rsidR="000822F5">
          <w:rPr>
            <w:webHidden/>
          </w:rPr>
          <w:instrText xml:space="preserve"> PAGEREF _Toc391545341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2" w:history="1">
        <w:r w:rsidR="000822F5" w:rsidRPr="00761014">
          <w:rPr>
            <w:rStyle w:val="Hyperlink"/>
          </w:rPr>
          <w:t>22.</w:t>
        </w:r>
        <w:r w:rsidR="000822F5">
          <w:rPr>
            <w:rFonts w:asciiTheme="minorHAnsi" w:eastAsiaTheme="minorEastAsia" w:hAnsiTheme="minorHAnsi" w:cstheme="minorBidi"/>
            <w:b w:val="0"/>
            <w:bCs w:val="0"/>
            <w:lang w:eastAsia="en-GB"/>
          </w:rPr>
          <w:tab/>
        </w:r>
        <w:r w:rsidR="000822F5" w:rsidRPr="00761014">
          <w:rPr>
            <w:rStyle w:val="Hyperlink"/>
          </w:rPr>
          <w:t>SUPPLY CHAIN RIGHTS AND PROTECTION</w:t>
        </w:r>
        <w:r w:rsidR="000822F5">
          <w:rPr>
            <w:webHidden/>
          </w:rPr>
          <w:tab/>
        </w:r>
        <w:r w:rsidR="000822F5">
          <w:rPr>
            <w:webHidden/>
          </w:rPr>
          <w:fldChar w:fldCharType="begin"/>
        </w:r>
        <w:r w:rsidR="000822F5">
          <w:rPr>
            <w:webHidden/>
          </w:rPr>
          <w:instrText xml:space="preserve"> PAGEREF _Toc391545342 \h </w:instrText>
        </w:r>
        <w:r w:rsidR="000822F5">
          <w:rPr>
            <w:webHidden/>
          </w:rPr>
        </w:r>
        <w:r w:rsidR="000822F5">
          <w:rPr>
            <w:webHidden/>
          </w:rPr>
          <w:fldChar w:fldCharType="separate"/>
        </w:r>
        <w:r w:rsidR="000822F5">
          <w:rPr>
            <w:webHidden/>
          </w:rPr>
          <w:t>20</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43" w:history="1">
        <w:r w:rsidR="000822F5" w:rsidRPr="00761014">
          <w:rPr>
            <w:rStyle w:val="Hyperlink"/>
          </w:rPr>
          <w:t>G.</w:t>
        </w:r>
        <w:r w:rsidR="000822F5">
          <w:rPr>
            <w:rFonts w:asciiTheme="minorHAnsi" w:eastAsiaTheme="minorEastAsia" w:hAnsiTheme="minorHAnsi" w:cstheme="minorBidi"/>
            <w:b w:val="0"/>
            <w:bCs w:val="0"/>
            <w:caps w:val="0"/>
          </w:rPr>
          <w:tab/>
        </w:r>
        <w:r w:rsidR="000822F5" w:rsidRPr="00761014">
          <w:rPr>
            <w:rStyle w:val="Hyperlink"/>
          </w:rPr>
          <w:t>INTELLECTUAL PROPERTY AND INFORMATION</w:t>
        </w:r>
        <w:r w:rsidR="000822F5">
          <w:rPr>
            <w:webHidden/>
          </w:rPr>
          <w:tab/>
        </w:r>
        <w:r w:rsidR="000822F5">
          <w:rPr>
            <w:webHidden/>
          </w:rPr>
          <w:fldChar w:fldCharType="begin"/>
        </w:r>
        <w:r w:rsidR="000822F5">
          <w:rPr>
            <w:webHidden/>
          </w:rPr>
          <w:instrText xml:space="preserve"> PAGEREF _Toc391545343 \h </w:instrText>
        </w:r>
        <w:r w:rsidR="000822F5">
          <w:rPr>
            <w:webHidden/>
          </w:rPr>
        </w:r>
        <w:r w:rsidR="000822F5">
          <w:rPr>
            <w:webHidden/>
          </w:rPr>
          <w:fldChar w:fldCharType="separate"/>
        </w:r>
        <w:r w:rsidR="000822F5">
          <w:rPr>
            <w:webHidden/>
          </w:rPr>
          <w:t>24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4" w:history="1">
        <w:r w:rsidR="000822F5" w:rsidRPr="00761014">
          <w:rPr>
            <w:rStyle w:val="Hyperlink"/>
          </w:rPr>
          <w:t>23.</w:t>
        </w:r>
        <w:r w:rsidR="000822F5">
          <w:rPr>
            <w:rFonts w:asciiTheme="minorHAnsi" w:eastAsiaTheme="minorEastAsia" w:hAnsiTheme="minorHAnsi" w:cstheme="minorBidi"/>
            <w:b w:val="0"/>
            <w:bCs w:val="0"/>
            <w:lang w:eastAsia="en-GB"/>
          </w:rPr>
          <w:tab/>
        </w:r>
        <w:r w:rsidR="000822F5" w:rsidRPr="00761014">
          <w:rPr>
            <w:rStyle w:val="Hyperlink"/>
          </w:rPr>
          <w:t>INTELLECTUAL PROPERTY RIGHTS</w:t>
        </w:r>
        <w:r w:rsidR="000822F5">
          <w:rPr>
            <w:webHidden/>
          </w:rPr>
          <w:tab/>
        </w:r>
        <w:r w:rsidR="000822F5">
          <w:rPr>
            <w:webHidden/>
          </w:rPr>
          <w:fldChar w:fldCharType="begin"/>
        </w:r>
        <w:r w:rsidR="000822F5">
          <w:rPr>
            <w:webHidden/>
          </w:rPr>
          <w:instrText xml:space="preserve"> PAGEREF _Toc391545344 \h </w:instrText>
        </w:r>
        <w:r w:rsidR="000822F5">
          <w:rPr>
            <w:webHidden/>
          </w:rPr>
        </w:r>
        <w:r w:rsidR="000822F5">
          <w:rPr>
            <w:webHidden/>
          </w:rPr>
          <w:fldChar w:fldCharType="separate"/>
        </w:r>
        <w:r w:rsidR="000822F5">
          <w:rPr>
            <w:webHidden/>
          </w:rPr>
          <w:t>24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5" w:history="1">
        <w:r w:rsidR="000822F5" w:rsidRPr="00761014">
          <w:rPr>
            <w:rStyle w:val="Hyperlink"/>
          </w:rPr>
          <w:t>24.</w:t>
        </w:r>
        <w:r w:rsidR="000822F5">
          <w:rPr>
            <w:rFonts w:asciiTheme="minorHAnsi" w:eastAsiaTheme="minorEastAsia" w:hAnsiTheme="minorHAnsi" w:cstheme="minorBidi"/>
            <w:b w:val="0"/>
            <w:bCs w:val="0"/>
            <w:lang w:eastAsia="en-GB"/>
          </w:rPr>
          <w:tab/>
        </w:r>
        <w:r w:rsidR="000822F5" w:rsidRPr="00761014">
          <w:rPr>
            <w:rStyle w:val="Hyperlink"/>
          </w:rPr>
          <w:t>PROVISION AND PROTECTION OF INFORMATION</w:t>
        </w:r>
        <w:r w:rsidR="000822F5">
          <w:rPr>
            <w:webHidden/>
          </w:rPr>
          <w:tab/>
        </w:r>
        <w:r w:rsidR="000822F5">
          <w:rPr>
            <w:webHidden/>
          </w:rPr>
          <w:fldChar w:fldCharType="begin"/>
        </w:r>
        <w:r w:rsidR="000822F5">
          <w:rPr>
            <w:webHidden/>
          </w:rPr>
          <w:instrText xml:space="preserve"> PAGEREF _Toc391545345 \h </w:instrText>
        </w:r>
        <w:r w:rsidR="000822F5">
          <w:rPr>
            <w:webHidden/>
          </w:rPr>
        </w:r>
        <w:r w:rsidR="000822F5">
          <w:rPr>
            <w:webHidden/>
          </w:rPr>
          <w:fldChar w:fldCharType="separate"/>
        </w:r>
        <w:r w:rsidR="000822F5">
          <w:rPr>
            <w:webHidden/>
          </w:rPr>
          <w:t>26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6" w:history="1">
        <w:r w:rsidR="000822F5" w:rsidRPr="00761014">
          <w:rPr>
            <w:rStyle w:val="Hyperlink"/>
          </w:rPr>
          <w:t>25.</w:t>
        </w:r>
        <w:r w:rsidR="000822F5">
          <w:rPr>
            <w:rFonts w:asciiTheme="minorHAnsi" w:eastAsiaTheme="minorEastAsia" w:hAnsiTheme="minorHAnsi" w:cstheme="minorBidi"/>
            <w:b w:val="0"/>
            <w:bCs w:val="0"/>
            <w:lang w:eastAsia="en-GB"/>
          </w:rPr>
          <w:tab/>
        </w:r>
        <w:r w:rsidR="000822F5" w:rsidRPr="00761014">
          <w:rPr>
            <w:rStyle w:val="Hyperlink"/>
          </w:rPr>
          <w:t>PUBLICITY AND BRANDING</w:t>
        </w:r>
        <w:r w:rsidR="000822F5">
          <w:rPr>
            <w:webHidden/>
          </w:rPr>
          <w:tab/>
        </w:r>
        <w:r w:rsidR="000822F5">
          <w:rPr>
            <w:webHidden/>
          </w:rPr>
          <w:fldChar w:fldCharType="begin"/>
        </w:r>
        <w:r w:rsidR="000822F5">
          <w:rPr>
            <w:webHidden/>
          </w:rPr>
          <w:instrText xml:space="preserve"> PAGEREF _Toc391545346 \h </w:instrText>
        </w:r>
        <w:r w:rsidR="000822F5">
          <w:rPr>
            <w:webHidden/>
          </w:rPr>
        </w:r>
        <w:r w:rsidR="000822F5">
          <w:rPr>
            <w:webHidden/>
          </w:rPr>
          <w:fldChar w:fldCharType="separate"/>
        </w:r>
        <w:r w:rsidR="000822F5">
          <w:rPr>
            <w:webHidden/>
          </w:rPr>
          <w:t>33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7" w:history="1">
        <w:r w:rsidR="000822F5" w:rsidRPr="00761014">
          <w:rPr>
            <w:rStyle w:val="Hyperlink"/>
          </w:rPr>
          <w:t>26.</w:t>
        </w:r>
        <w:r w:rsidR="000822F5">
          <w:rPr>
            <w:rFonts w:asciiTheme="minorHAnsi" w:eastAsiaTheme="minorEastAsia" w:hAnsiTheme="minorHAnsi" w:cstheme="minorBidi"/>
            <w:b w:val="0"/>
            <w:bCs w:val="0"/>
            <w:lang w:eastAsia="en-GB"/>
          </w:rPr>
          <w:tab/>
        </w:r>
        <w:r w:rsidR="000822F5" w:rsidRPr="00761014">
          <w:rPr>
            <w:rStyle w:val="Hyperlink"/>
          </w:rPr>
          <w:t>MARKETING</w:t>
        </w:r>
        <w:r w:rsidR="000822F5">
          <w:rPr>
            <w:webHidden/>
          </w:rPr>
          <w:tab/>
        </w:r>
        <w:r w:rsidR="000822F5">
          <w:rPr>
            <w:webHidden/>
          </w:rPr>
          <w:fldChar w:fldCharType="begin"/>
        </w:r>
        <w:r w:rsidR="000822F5">
          <w:rPr>
            <w:webHidden/>
          </w:rPr>
          <w:instrText xml:space="preserve"> PAGEREF _Toc391545347 \h </w:instrText>
        </w:r>
        <w:r w:rsidR="000822F5">
          <w:rPr>
            <w:webHidden/>
          </w:rPr>
        </w:r>
        <w:r w:rsidR="000822F5">
          <w:rPr>
            <w:webHidden/>
          </w:rPr>
          <w:fldChar w:fldCharType="separate"/>
        </w:r>
        <w:r w:rsidR="000822F5">
          <w:rPr>
            <w:webHidden/>
          </w:rPr>
          <w:t>34</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48" w:history="1">
        <w:r w:rsidR="000822F5" w:rsidRPr="00761014">
          <w:rPr>
            <w:rStyle w:val="Hyperlink"/>
          </w:rPr>
          <w:t>H.</w:t>
        </w:r>
        <w:r w:rsidR="000822F5">
          <w:rPr>
            <w:rFonts w:asciiTheme="minorHAnsi" w:eastAsiaTheme="minorEastAsia" w:hAnsiTheme="minorHAnsi" w:cstheme="minorBidi"/>
            <w:b w:val="0"/>
            <w:bCs w:val="0"/>
            <w:caps w:val="0"/>
          </w:rPr>
          <w:tab/>
        </w:r>
        <w:r w:rsidR="000822F5" w:rsidRPr="00761014">
          <w:rPr>
            <w:rStyle w:val="Hyperlink"/>
          </w:rPr>
          <w:t>LIABILITY AND INSURANCE</w:t>
        </w:r>
        <w:r w:rsidR="000822F5">
          <w:rPr>
            <w:webHidden/>
          </w:rPr>
          <w:tab/>
        </w:r>
        <w:r w:rsidR="000822F5">
          <w:rPr>
            <w:webHidden/>
          </w:rPr>
          <w:fldChar w:fldCharType="begin"/>
        </w:r>
        <w:r w:rsidR="000822F5">
          <w:rPr>
            <w:webHidden/>
          </w:rPr>
          <w:instrText xml:space="preserve"> PAGEREF _Toc391545348 \h </w:instrText>
        </w:r>
        <w:r w:rsidR="000822F5">
          <w:rPr>
            <w:webHidden/>
          </w:rPr>
        </w:r>
        <w:r w:rsidR="000822F5">
          <w:rPr>
            <w:webHidden/>
          </w:rPr>
          <w:fldChar w:fldCharType="separate"/>
        </w:r>
        <w:r w:rsidR="000822F5">
          <w:rPr>
            <w:webHidden/>
          </w:rPr>
          <w:t>34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49" w:history="1">
        <w:r w:rsidR="000822F5" w:rsidRPr="00761014">
          <w:rPr>
            <w:rStyle w:val="Hyperlink"/>
          </w:rPr>
          <w:t>27.</w:t>
        </w:r>
        <w:r w:rsidR="000822F5">
          <w:rPr>
            <w:rFonts w:asciiTheme="minorHAnsi" w:eastAsiaTheme="minorEastAsia" w:hAnsiTheme="minorHAnsi" w:cstheme="minorBidi"/>
            <w:b w:val="0"/>
            <w:bCs w:val="0"/>
            <w:lang w:eastAsia="en-GB"/>
          </w:rPr>
          <w:tab/>
        </w:r>
        <w:r w:rsidR="000822F5" w:rsidRPr="00761014">
          <w:rPr>
            <w:rStyle w:val="Hyperlink"/>
          </w:rPr>
          <w:t>LIABILITY</w:t>
        </w:r>
        <w:r w:rsidR="000822F5">
          <w:rPr>
            <w:webHidden/>
          </w:rPr>
          <w:tab/>
        </w:r>
        <w:r w:rsidR="000822F5">
          <w:rPr>
            <w:webHidden/>
          </w:rPr>
          <w:fldChar w:fldCharType="begin"/>
        </w:r>
        <w:r w:rsidR="000822F5">
          <w:rPr>
            <w:webHidden/>
          </w:rPr>
          <w:instrText xml:space="preserve"> PAGEREF _Toc391545349 \h </w:instrText>
        </w:r>
        <w:r w:rsidR="000822F5">
          <w:rPr>
            <w:webHidden/>
          </w:rPr>
        </w:r>
        <w:r w:rsidR="000822F5">
          <w:rPr>
            <w:webHidden/>
          </w:rPr>
          <w:fldChar w:fldCharType="separate"/>
        </w:r>
        <w:r w:rsidR="000822F5">
          <w:rPr>
            <w:webHidden/>
          </w:rPr>
          <w:t>34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0" w:history="1">
        <w:r w:rsidR="000822F5" w:rsidRPr="00761014">
          <w:rPr>
            <w:rStyle w:val="Hyperlink"/>
          </w:rPr>
          <w:t>28.</w:t>
        </w:r>
        <w:r w:rsidR="000822F5">
          <w:rPr>
            <w:rFonts w:asciiTheme="minorHAnsi" w:eastAsiaTheme="minorEastAsia" w:hAnsiTheme="minorHAnsi" w:cstheme="minorBidi"/>
            <w:b w:val="0"/>
            <w:bCs w:val="0"/>
            <w:lang w:eastAsia="en-GB"/>
          </w:rPr>
          <w:tab/>
        </w:r>
        <w:r w:rsidR="000822F5" w:rsidRPr="00761014">
          <w:rPr>
            <w:rStyle w:val="Hyperlink"/>
          </w:rPr>
          <w:t>INSURANCE</w:t>
        </w:r>
        <w:r w:rsidR="000822F5">
          <w:rPr>
            <w:webHidden/>
          </w:rPr>
          <w:tab/>
        </w:r>
        <w:r w:rsidR="000822F5">
          <w:rPr>
            <w:webHidden/>
          </w:rPr>
          <w:fldChar w:fldCharType="begin"/>
        </w:r>
        <w:r w:rsidR="000822F5">
          <w:rPr>
            <w:webHidden/>
          </w:rPr>
          <w:instrText xml:space="preserve"> PAGEREF _Toc391545350 \h </w:instrText>
        </w:r>
        <w:r w:rsidR="000822F5">
          <w:rPr>
            <w:webHidden/>
          </w:rPr>
        </w:r>
        <w:r w:rsidR="000822F5">
          <w:rPr>
            <w:webHidden/>
          </w:rPr>
          <w:fldChar w:fldCharType="separate"/>
        </w:r>
        <w:r w:rsidR="000822F5">
          <w:rPr>
            <w:webHidden/>
          </w:rPr>
          <w:t>35</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51" w:history="1">
        <w:r w:rsidR="000822F5" w:rsidRPr="00761014">
          <w:rPr>
            <w:rStyle w:val="Hyperlink"/>
          </w:rPr>
          <w:t>I.</w:t>
        </w:r>
        <w:r w:rsidR="000822F5">
          <w:rPr>
            <w:rFonts w:asciiTheme="minorHAnsi" w:eastAsiaTheme="minorEastAsia" w:hAnsiTheme="minorHAnsi" w:cstheme="minorBidi"/>
            <w:b w:val="0"/>
            <w:bCs w:val="0"/>
            <w:caps w:val="0"/>
          </w:rPr>
          <w:tab/>
        </w:r>
        <w:r w:rsidR="000822F5" w:rsidRPr="00761014">
          <w:rPr>
            <w:rStyle w:val="Hyperlink"/>
          </w:rPr>
          <w:t>REMEDIES</w:t>
        </w:r>
        <w:r w:rsidR="000822F5">
          <w:rPr>
            <w:webHidden/>
          </w:rPr>
          <w:tab/>
        </w:r>
        <w:r w:rsidR="000822F5">
          <w:rPr>
            <w:webHidden/>
          </w:rPr>
          <w:fldChar w:fldCharType="begin"/>
        </w:r>
        <w:r w:rsidR="000822F5">
          <w:rPr>
            <w:webHidden/>
          </w:rPr>
          <w:instrText xml:space="preserve"> PAGEREF _Toc391545351 \h </w:instrText>
        </w:r>
        <w:r w:rsidR="000822F5">
          <w:rPr>
            <w:webHidden/>
          </w:rPr>
        </w:r>
        <w:r w:rsidR="000822F5">
          <w:rPr>
            <w:webHidden/>
          </w:rPr>
          <w:fldChar w:fldCharType="separate"/>
        </w:r>
        <w:r w:rsidR="000822F5">
          <w:rPr>
            <w:webHidden/>
          </w:rPr>
          <w:t>35</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2" w:history="1">
        <w:r w:rsidR="000822F5" w:rsidRPr="00761014">
          <w:rPr>
            <w:rStyle w:val="Hyperlink"/>
          </w:rPr>
          <w:t>29.</w:t>
        </w:r>
        <w:r w:rsidR="000822F5">
          <w:rPr>
            <w:rFonts w:asciiTheme="minorHAnsi" w:eastAsiaTheme="minorEastAsia" w:hAnsiTheme="minorHAnsi" w:cstheme="minorBidi"/>
            <w:b w:val="0"/>
            <w:bCs w:val="0"/>
            <w:lang w:eastAsia="en-GB"/>
          </w:rPr>
          <w:tab/>
        </w:r>
        <w:r w:rsidR="000822F5" w:rsidRPr="00761014">
          <w:rPr>
            <w:rStyle w:val="Hyperlink"/>
          </w:rPr>
          <w:t>AUTHORITY REMEDIES</w:t>
        </w:r>
        <w:r w:rsidR="000822F5">
          <w:rPr>
            <w:webHidden/>
          </w:rPr>
          <w:tab/>
        </w:r>
        <w:r w:rsidR="000822F5">
          <w:rPr>
            <w:webHidden/>
          </w:rPr>
          <w:fldChar w:fldCharType="begin"/>
        </w:r>
        <w:r w:rsidR="000822F5">
          <w:rPr>
            <w:webHidden/>
          </w:rPr>
          <w:instrText xml:space="preserve"> PAGEREF _Toc391545352 \h </w:instrText>
        </w:r>
        <w:r w:rsidR="000822F5">
          <w:rPr>
            <w:webHidden/>
          </w:rPr>
        </w:r>
        <w:r w:rsidR="000822F5">
          <w:rPr>
            <w:webHidden/>
          </w:rPr>
          <w:fldChar w:fldCharType="separate"/>
        </w:r>
        <w:r w:rsidR="000822F5">
          <w:rPr>
            <w:webHidden/>
          </w:rPr>
          <w:t>36</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53" w:history="1">
        <w:r w:rsidR="000822F5" w:rsidRPr="00761014">
          <w:rPr>
            <w:rStyle w:val="Hyperlink"/>
          </w:rPr>
          <w:t>J.</w:t>
        </w:r>
        <w:r w:rsidR="000822F5">
          <w:rPr>
            <w:rFonts w:asciiTheme="minorHAnsi" w:eastAsiaTheme="minorEastAsia" w:hAnsiTheme="minorHAnsi" w:cstheme="minorBidi"/>
            <w:b w:val="0"/>
            <w:bCs w:val="0"/>
            <w:caps w:val="0"/>
          </w:rPr>
          <w:tab/>
        </w:r>
        <w:r w:rsidR="000822F5" w:rsidRPr="00761014">
          <w:rPr>
            <w:rStyle w:val="Hyperlink"/>
          </w:rPr>
          <w:t>TERMINATION AND SUSPENSION</w:t>
        </w:r>
        <w:r w:rsidR="000822F5">
          <w:rPr>
            <w:webHidden/>
          </w:rPr>
          <w:tab/>
        </w:r>
        <w:r w:rsidR="000822F5">
          <w:rPr>
            <w:webHidden/>
          </w:rPr>
          <w:fldChar w:fldCharType="begin"/>
        </w:r>
        <w:r w:rsidR="000822F5">
          <w:rPr>
            <w:webHidden/>
          </w:rPr>
          <w:instrText xml:space="preserve"> PAGEREF _Toc391545353 \h </w:instrText>
        </w:r>
        <w:r w:rsidR="000822F5">
          <w:rPr>
            <w:webHidden/>
          </w:rPr>
        </w:r>
        <w:r w:rsidR="000822F5">
          <w:rPr>
            <w:webHidden/>
          </w:rPr>
          <w:fldChar w:fldCharType="separate"/>
        </w:r>
        <w:r w:rsidR="000822F5">
          <w:rPr>
            <w:webHidden/>
          </w:rPr>
          <w:t>36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4" w:history="1">
        <w:r w:rsidR="000822F5" w:rsidRPr="00761014">
          <w:rPr>
            <w:rStyle w:val="Hyperlink"/>
          </w:rPr>
          <w:t>30.</w:t>
        </w:r>
        <w:r w:rsidR="000822F5">
          <w:rPr>
            <w:rFonts w:asciiTheme="minorHAnsi" w:eastAsiaTheme="minorEastAsia" w:hAnsiTheme="minorHAnsi" w:cstheme="minorBidi"/>
            <w:b w:val="0"/>
            <w:bCs w:val="0"/>
            <w:lang w:eastAsia="en-GB"/>
          </w:rPr>
          <w:tab/>
        </w:r>
        <w:r w:rsidR="000822F5" w:rsidRPr="00761014">
          <w:rPr>
            <w:rStyle w:val="Hyperlink"/>
          </w:rPr>
          <w:t>AUTHORITY TERMINATION RIGHTS</w:t>
        </w:r>
        <w:r w:rsidR="000822F5">
          <w:rPr>
            <w:webHidden/>
          </w:rPr>
          <w:tab/>
        </w:r>
        <w:r w:rsidR="000822F5">
          <w:rPr>
            <w:webHidden/>
          </w:rPr>
          <w:fldChar w:fldCharType="begin"/>
        </w:r>
        <w:r w:rsidR="000822F5">
          <w:rPr>
            <w:webHidden/>
          </w:rPr>
          <w:instrText xml:space="preserve"> PAGEREF _Toc391545354 \h </w:instrText>
        </w:r>
        <w:r w:rsidR="000822F5">
          <w:rPr>
            <w:webHidden/>
          </w:rPr>
        </w:r>
        <w:r w:rsidR="000822F5">
          <w:rPr>
            <w:webHidden/>
          </w:rPr>
          <w:fldChar w:fldCharType="separate"/>
        </w:r>
        <w:r w:rsidR="000822F5">
          <w:rPr>
            <w:webHidden/>
          </w:rPr>
          <w:t>36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5" w:history="1">
        <w:r w:rsidR="000822F5" w:rsidRPr="00761014">
          <w:rPr>
            <w:rStyle w:val="Hyperlink"/>
          </w:rPr>
          <w:t>31.</w:t>
        </w:r>
        <w:r w:rsidR="000822F5">
          <w:rPr>
            <w:rFonts w:asciiTheme="minorHAnsi" w:eastAsiaTheme="minorEastAsia" w:hAnsiTheme="minorHAnsi" w:cstheme="minorBidi"/>
            <w:b w:val="0"/>
            <w:bCs w:val="0"/>
            <w:lang w:eastAsia="en-GB"/>
          </w:rPr>
          <w:tab/>
        </w:r>
        <w:r w:rsidR="000822F5" w:rsidRPr="00761014">
          <w:rPr>
            <w:rStyle w:val="Hyperlink"/>
          </w:rPr>
          <w:t>SUSPENSION OF SUPPLIER'S APPOINTMENT</w:t>
        </w:r>
        <w:r w:rsidR="000822F5">
          <w:rPr>
            <w:webHidden/>
          </w:rPr>
          <w:tab/>
        </w:r>
        <w:r w:rsidR="000822F5">
          <w:rPr>
            <w:webHidden/>
          </w:rPr>
          <w:fldChar w:fldCharType="begin"/>
        </w:r>
        <w:r w:rsidR="000822F5">
          <w:rPr>
            <w:webHidden/>
          </w:rPr>
          <w:instrText xml:space="preserve"> PAGEREF _Toc391545355 \h </w:instrText>
        </w:r>
        <w:r w:rsidR="000822F5">
          <w:rPr>
            <w:webHidden/>
          </w:rPr>
        </w:r>
        <w:r w:rsidR="000822F5">
          <w:rPr>
            <w:webHidden/>
          </w:rPr>
          <w:fldChar w:fldCharType="separate"/>
        </w:r>
        <w:r w:rsidR="000822F5">
          <w:rPr>
            <w:webHidden/>
          </w:rPr>
          <w:t>40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6" w:history="1">
        <w:r w:rsidR="000822F5" w:rsidRPr="00761014">
          <w:rPr>
            <w:rStyle w:val="Hyperlink"/>
          </w:rPr>
          <w:t>32.</w:t>
        </w:r>
        <w:r w:rsidR="000822F5">
          <w:rPr>
            <w:rFonts w:asciiTheme="minorHAnsi" w:eastAsiaTheme="minorEastAsia" w:hAnsiTheme="minorHAnsi" w:cstheme="minorBidi"/>
            <w:b w:val="0"/>
            <w:bCs w:val="0"/>
            <w:lang w:eastAsia="en-GB"/>
          </w:rPr>
          <w:tab/>
        </w:r>
        <w:r w:rsidR="000822F5" w:rsidRPr="00761014">
          <w:rPr>
            <w:rStyle w:val="Hyperlink"/>
          </w:rPr>
          <w:t>CONSEQUENCES OF EXPIRY OR TERMINATION</w:t>
        </w:r>
        <w:r w:rsidR="000822F5">
          <w:rPr>
            <w:webHidden/>
          </w:rPr>
          <w:tab/>
        </w:r>
        <w:r w:rsidR="000822F5">
          <w:rPr>
            <w:webHidden/>
          </w:rPr>
          <w:fldChar w:fldCharType="begin"/>
        </w:r>
        <w:r w:rsidR="000822F5">
          <w:rPr>
            <w:webHidden/>
          </w:rPr>
          <w:instrText xml:space="preserve"> PAGEREF _Toc391545356 \h </w:instrText>
        </w:r>
        <w:r w:rsidR="000822F5">
          <w:rPr>
            <w:webHidden/>
          </w:rPr>
        </w:r>
        <w:r w:rsidR="000822F5">
          <w:rPr>
            <w:webHidden/>
          </w:rPr>
          <w:fldChar w:fldCharType="separate"/>
        </w:r>
        <w:r w:rsidR="000822F5">
          <w:rPr>
            <w:webHidden/>
          </w:rPr>
          <w:t>40</w:t>
        </w:r>
        <w:r w:rsidR="000822F5">
          <w:rPr>
            <w:webHidden/>
          </w:rPr>
          <w:fldChar w:fldCharType="end"/>
        </w:r>
      </w:hyperlink>
    </w:p>
    <w:p w:rsidR="000822F5" w:rsidRDefault="00390EFB">
      <w:pPr>
        <w:pStyle w:val="TOC1"/>
        <w:tabs>
          <w:tab w:val="left" w:pos="709"/>
        </w:tabs>
        <w:rPr>
          <w:rFonts w:asciiTheme="minorHAnsi" w:eastAsiaTheme="minorEastAsia" w:hAnsiTheme="minorHAnsi" w:cstheme="minorBidi"/>
          <w:b w:val="0"/>
          <w:bCs w:val="0"/>
          <w:caps w:val="0"/>
        </w:rPr>
      </w:pPr>
      <w:hyperlink w:anchor="_Toc391545357" w:history="1">
        <w:r w:rsidR="000822F5" w:rsidRPr="00761014">
          <w:rPr>
            <w:rStyle w:val="Hyperlink"/>
          </w:rPr>
          <w:t>K.</w:t>
        </w:r>
        <w:r w:rsidR="000822F5">
          <w:rPr>
            <w:rFonts w:asciiTheme="minorHAnsi" w:eastAsiaTheme="minorEastAsia" w:hAnsiTheme="minorHAnsi" w:cstheme="minorBidi"/>
            <w:b w:val="0"/>
            <w:bCs w:val="0"/>
            <w:caps w:val="0"/>
          </w:rPr>
          <w:tab/>
        </w:r>
        <w:r w:rsidR="000822F5" w:rsidRPr="00761014">
          <w:rPr>
            <w:rStyle w:val="Hyperlink"/>
          </w:rPr>
          <w:t>MISCELLANEOUS AND GOVERNING LAW</w:t>
        </w:r>
        <w:r w:rsidR="000822F5">
          <w:rPr>
            <w:webHidden/>
          </w:rPr>
          <w:tab/>
        </w:r>
        <w:r w:rsidR="000822F5">
          <w:rPr>
            <w:webHidden/>
          </w:rPr>
          <w:fldChar w:fldCharType="begin"/>
        </w:r>
        <w:r w:rsidR="000822F5">
          <w:rPr>
            <w:webHidden/>
          </w:rPr>
          <w:instrText xml:space="preserve"> PAGEREF _Toc391545357 \h </w:instrText>
        </w:r>
        <w:r w:rsidR="000822F5">
          <w:rPr>
            <w:webHidden/>
          </w:rPr>
        </w:r>
        <w:r w:rsidR="000822F5">
          <w:rPr>
            <w:webHidden/>
          </w:rPr>
          <w:fldChar w:fldCharType="separate"/>
        </w:r>
        <w:r w:rsidR="000822F5">
          <w:rPr>
            <w:webHidden/>
          </w:rPr>
          <w:t>41</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8" w:history="1">
        <w:r w:rsidR="000822F5" w:rsidRPr="00761014">
          <w:rPr>
            <w:rStyle w:val="Hyperlink"/>
          </w:rPr>
          <w:t>33.</w:t>
        </w:r>
        <w:r w:rsidR="000822F5">
          <w:rPr>
            <w:rFonts w:asciiTheme="minorHAnsi" w:eastAsiaTheme="minorEastAsia" w:hAnsiTheme="minorHAnsi" w:cstheme="minorBidi"/>
            <w:b w:val="0"/>
            <w:bCs w:val="0"/>
            <w:lang w:eastAsia="en-GB"/>
          </w:rPr>
          <w:tab/>
        </w:r>
        <w:r w:rsidR="000822F5" w:rsidRPr="00761014">
          <w:rPr>
            <w:rStyle w:val="Hyperlink"/>
          </w:rPr>
          <w:t>COMPLIANCE</w:t>
        </w:r>
        <w:r w:rsidR="000822F5">
          <w:rPr>
            <w:webHidden/>
          </w:rPr>
          <w:tab/>
        </w:r>
        <w:r w:rsidR="000822F5">
          <w:rPr>
            <w:webHidden/>
          </w:rPr>
          <w:fldChar w:fldCharType="begin"/>
        </w:r>
        <w:r w:rsidR="000822F5">
          <w:rPr>
            <w:webHidden/>
          </w:rPr>
          <w:instrText xml:space="preserve"> PAGEREF _Toc391545358 \h </w:instrText>
        </w:r>
        <w:r w:rsidR="000822F5">
          <w:rPr>
            <w:webHidden/>
          </w:rPr>
        </w:r>
        <w:r w:rsidR="000822F5">
          <w:rPr>
            <w:webHidden/>
          </w:rPr>
          <w:fldChar w:fldCharType="separate"/>
        </w:r>
        <w:r w:rsidR="000822F5">
          <w:rPr>
            <w:webHidden/>
          </w:rPr>
          <w:t>41</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59" w:history="1">
        <w:r w:rsidR="000822F5" w:rsidRPr="00761014">
          <w:rPr>
            <w:rStyle w:val="Hyperlink"/>
          </w:rPr>
          <w:t>34.</w:t>
        </w:r>
        <w:r w:rsidR="000822F5">
          <w:rPr>
            <w:rFonts w:asciiTheme="minorHAnsi" w:eastAsiaTheme="minorEastAsia" w:hAnsiTheme="minorHAnsi" w:cstheme="minorBidi"/>
            <w:b w:val="0"/>
            <w:bCs w:val="0"/>
            <w:lang w:eastAsia="en-GB"/>
          </w:rPr>
          <w:tab/>
        </w:r>
        <w:r w:rsidR="000822F5" w:rsidRPr="00761014">
          <w:rPr>
            <w:rStyle w:val="Hyperlink"/>
          </w:rPr>
          <w:t>ASSIGNMENT AND NOVATION</w:t>
        </w:r>
        <w:r w:rsidR="000822F5">
          <w:rPr>
            <w:webHidden/>
          </w:rPr>
          <w:tab/>
        </w:r>
        <w:r w:rsidR="000822F5">
          <w:rPr>
            <w:webHidden/>
          </w:rPr>
          <w:fldChar w:fldCharType="begin"/>
        </w:r>
        <w:r w:rsidR="000822F5">
          <w:rPr>
            <w:webHidden/>
          </w:rPr>
          <w:instrText xml:space="preserve"> PAGEREF _Toc391545359 \h </w:instrText>
        </w:r>
        <w:r w:rsidR="000822F5">
          <w:rPr>
            <w:webHidden/>
          </w:rPr>
        </w:r>
        <w:r w:rsidR="000822F5">
          <w:rPr>
            <w:webHidden/>
          </w:rPr>
          <w:fldChar w:fldCharType="separate"/>
        </w:r>
        <w:r w:rsidR="000822F5">
          <w:rPr>
            <w:webHidden/>
          </w:rPr>
          <w:t>42</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0" w:history="1">
        <w:r w:rsidR="000822F5" w:rsidRPr="00761014">
          <w:rPr>
            <w:rStyle w:val="Hyperlink"/>
          </w:rPr>
          <w:t>35.</w:t>
        </w:r>
        <w:r w:rsidR="000822F5">
          <w:rPr>
            <w:rFonts w:asciiTheme="minorHAnsi" w:eastAsiaTheme="minorEastAsia" w:hAnsiTheme="minorHAnsi" w:cstheme="minorBidi"/>
            <w:b w:val="0"/>
            <w:bCs w:val="0"/>
            <w:lang w:eastAsia="en-GB"/>
          </w:rPr>
          <w:tab/>
        </w:r>
        <w:r w:rsidR="000822F5" w:rsidRPr="00761014">
          <w:rPr>
            <w:rStyle w:val="Hyperlink"/>
          </w:rPr>
          <w:t>WAIVER AND CUMULATIVE REMEDIES</w:t>
        </w:r>
        <w:r w:rsidR="000822F5">
          <w:rPr>
            <w:webHidden/>
          </w:rPr>
          <w:tab/>
        </w:r>
        <w:r w:rsidR="000822F5">
          <w:rPr>
            <w:webHidden/>
          </w:rPr>
          <w:fldChar w:fldCharType="begin"/>
        </w:r>
        <w:r w:rsidR="000822F5">
          <w:rPr>
            <w:webHidden/>
          </w:rPr>
          <w:instrText xml:space="preserve"> PAGEREF _Toc391545360 \h </w:instrText>
        </w:r>
        <w:r w:rsidR="000822F5">
          <w:rPr>
            <w:webHidden/>
          </w:rPr>
        </w:r>
        <w:r w:rsidR="000822F5">
          <w:rPr>
            <w:webHidden/>
          </w:rPr>
          <w:fldChar w:fldCharType="separate"/>
        </w:r>
        <w:r w:rsidR="000822F5">
          <w:rPr>
            <w:webHidden/>
          </w:rPr>
          <w:t>42</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1" w:history="1">
        <w:r w:rsidR="000822F5" w:rsidRPr="00761014">
          <w:rPr>
            <w:rStyle w:val="Hyperlink"/>
          </w:rPr>
          <w:t>36.</w:t>
        </w:r>
        <w:r w:rsidR="000822F5">
          <w:rPr>
            <w:rFonts w:asciiTheme="minorHAnsi" w:eastAsiaTheme="minorEastAsia" w:hAnsiTheme="minorHAnsi" w:cstheme="minorBidi"/>
            <w:b w:val="0"/>
            <w:bCs w:val="0"/>
            <w:lang w:eastAsia="en-GB"/>
          </w:rPr>
          <w:tab/>
        </w:r>
        <w:r w:rsidR="000822F5" w:rsidRPr="00761014">
          <w:rPr>
            <w:rStyle w:val="Hyperlink"/>
          </w:rPr>
          <w:t>RELATIONSHIP OF THE PARTIES</w:t>
        </w:r>
        <w:r w:rsidR="000822F5">
          <w:rPr>
            <w:webHidden/>
          </w:rPr>
          <w:tab/>
        </w:r>
        <w:r w:rsidR="000822F5">
          <w:rPr>
            <w:webHidden/>
          </w:rPr>
          <w:fldChar w:fldCharType="begin"/>
        </w:r>
        <w:r w:rsidR="000822F5">
          <w:rPr>
            <w:webHidden/>
          </w:rPr>
          <w:instrText xml:space="preserve"> PAGEREF _Toc391545361 \h </w:instrText>
        </w:r>
        <w:r w:rsidR="000822F5">
          <w:rPr>
            <w:webHidden/>
          </w:rPr>
        </w:r>
        <w:r w:rsidR="000822F5">
          <w:rPr>
            <w:webHidden/>
          </w:rPr>
          <w:fldChar w:fldCharType="separate"/>
        </w:r>
        <w:r w:rsidR="000822F5">
          <w:rPr>
            <w:webHidden/>
          </w:rPr>
          <w:t>43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2" w:history="1">
        <w:r w:rsidR="000822F5" w:rsidRPr="00761014">
          <w:rPr>
            <w:rStyle w:val="Hyperlink"/>
          </w:rPr>
          <w:t>37.</w:t>
        </w:r>
        <w:r w:rsidR="000822F5">
          <w:rPr>
            <w:rFonts w:asciiTheme="minorHAnsi" w:eastAsiaTheme="minorEastAsia" w:hAnsiTheme="minorHAnsi" w:cstheme="minorBidi"/>
            <w:b w:val="0"/>
            <w:bCs w:val="0"/>
            <w:lang w:eastAsia="en-GB"/>
          </w:rPr>
          <w:tab/>
        </w:r>
        <w:r w:rsidR="000822F5" w:rsidRPr="00761014">
          <w:rPr>
            <w:rStyle w:val="Hyperlink"/>
          </w:rPr>
          <w:t>PREVENTION OF FRAUD AND BRIBERY</w:t>
        </w:r>
        <w:r w:rsidR="000822F5">
          <w:rPr>
            <w:webHidden/>
          </w:rPr>
          <w:tab/>
        </w:r>
        <w:r w:rsidR="000822F5">
          <w:rPr>
            <w:webHidden/>
          </w:rPr>
          <w:fldChar w:fldCharType="begin"/>
        </w:r>
        <w:r w:rsidR="000822F5">
          <w:rPr>
            <w:webHidden/>
          </w:rPr>
          <w:instrText xml:space="preserve"> PAGEREF _Toc391545362 \h </w:instrText>
        </w:r>
        <w:r w:rsidR="000822F5">
          <w:rPr>
            <w:webHidden/>
          </w:rPr>
        </w:r>
        <w:r w:rsidR="000822F5">
          <w:rPr>
            <w:webHidden/>
          </w:rPr>
          <w:fldChar w:fldCharType="separate"/>
        </w:r>
        <w:r w:rsidR="000822F5">
          <w:rPr>
            <w:webHidden/>
          </w:rPr>
          <w:t>43</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3" w:history="1">
        <w:r w:rsidR="000822F5" w:rsidRPr="00761014">
          <w:rPr>
            <w:rStyle w:val="Hyperlink"/>
          </w:rPr>
          <w:t>38.</w:t>
        </w:r>
        <w:r w:rsidR="000822F5">
          <w:rPr>
            <w:rFonts w:asciiTheme="minorHAnsi" w:eastAsiaTheme="minorEastAsia" w:hAnsiTheme="minorHAnsi" w:cstheme="minorBidi"/>
            <w:b w:val="0"/>
            <w:bCs w:val="0"/>
            <w:lang w:eastAsia="en-GB"/>
          </w:rPr>
          <w:tab/>
        </w:r>
        <w:r w:rsidR="000822F5" w:rsidRPr="00761014">
          <w:rPr>
            <w:rStyle w:val="Hyperlink"/>
          </w:rPr>
          <w:t>CONFLICTS OF INTEREST</w:t>
        </w:r>
        <w:r w:rsidR="000822F5">
          <w:rPr>
            <w:webHidden/>
          </w:rPr>
          <w:tab/>
        </w:r>
        <w:r w:rsidR="000822F5">
          <w:rPr>
            <w:webHidden/>
          </w:rPr>
          <w:fldChar w:fldCharType="begin"/>
        </w:r>
        <w:r w:rsidR="000822F5">
          <w:rPr>
            <w:webHidden/>
          </w:rPr>
          <w:instrText xml:space="preserve"> PAGEREF _Toc391545363 \h </w:instrText>
        </w:r>
        <w:r w:rsidR="000822F5">
          <w:rPr>
            <w:webHidden/>
          </w:rPr>
        </w:r>
        <w:r w:rsidR="000822F5">
          <w:rPr>
            <w:webHidden/>
          </w:rPr>
          <w:fldChar w:fldCharType="separate"/>
        </w:r>
        <w:r w:rsidR="000822F5">
          <w:rPr>
            <w:webHidden/>
          </w:rPr>
          <w:t>44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4" w:history="1">
        <w:r w:rsidR="000822F5" w:rsidRPr="00761014">
          <w:rPr>
            <w:rStyle w:val="Hyperlink"/>
          </w:rPr>
          <w:t>39.</w:t>
        </w:r>
        <w:r w:rsidR="000822F5">
          <w:rPr>
            <w:rFonts w:asciiTheme="minorHAnsi" w:eastAsiaTheme="minorEastAsia" w:hAnsiTheme="minorHAnsi" w:cstheme="minorBidi"/>
            <w:b w:val="0"/>
            <w:bCs w:val="0"/>
            <w:lang w:eastAsia="en-GB"/>
          </w:rPr>
          <w:tab/>
        </w:r>
        <w:r w:rsidR="000822F5" w:rsidRPr="00761014">
          <w:rPr>
            <w:rStyle w:val="Hyperlink"/>
          </w:rPr>
          <w:t>SEVERANCE</w:t>
        </w:r>
        <w:r w:rsidR="000822F5">
          <w:rPr>
            <w:webHidden/>
          </w:rPr>
          <w:tab/>
        </w:r>
        <w:r w:rsidR="000822F5">
          <w:rPr>
            <w:webHidden/>
          </w:rPr>
          <w:fldChar w:fldCharType="begin"/>
        </w:r>
        <w:r w:rsidR="000822F5">
          <w:rPr>
            <w:webHidden/>
          </w:rPr>
          <w:instrText xml:space="preserve"> PAGEREF _Toc391545364 \h </w:instrText>
        </w:r>
        <w:r w:rsidR="000822F5">
          <w:rPr>
            <w:webHidden/>
          </w:rPr>
        </w:r>
        <w:r w:rsidR="000822F5">
          <w:rPr>
            <w:webHidden/>
          </w:rPr>
          <w:fldChar w:fldCharType="separate"/>
        </w:r>
        <w:r w:rsidR="000822F5">
          <w:rPr>
            <w:webHidden/>
          </w:rPr>
          <w:t>45</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5" w:history="1">
        <w:r w:rsidR="000822F5" w:rsidRPr="00761014">
          <w:rPr>
            <w:rStyle w:val="Hyperlink"/>
          </w:rPr>
          <w:t>40.</w:t>
        </w:r>
        <w:r w:rsidR="000822F5">
          <w:rPr>
            <w:rFonts w:asciiTheme="minorHAnsi" w:eastAsiaTheme="minorEastAsia" w:hAnsiTheme="minorHAnsi" w:cstheme="minorBidi"/>
            <w:b w:val="0"/>
            <w:bCs w:val="0"/>
            <w:lang w:eastAsia="en-GB"/>
          </w:rPr>
          <w:tab/>
        </w:r>
        <w:r w:rsidR="000822F5" w:rsidRPr="00761014">
          <w:rPr>
            <w:rStyle w:val="Hyperlink"/>
          </w:rPr>
          <w:t>FURTHER ASSURANCES</w:t>
        </w:r>
        <w:r w:rsidR="000822F5">
          <w:rPr>
            <w:webHidden/>
          </w:rPr>
          <w:tab/>
        </w:r>
        <w:r w:rsidR="000822F5">
          <w:rPr>
            <w:webHidden/>
          </w:rPr>
          <w:fldChar w:fldCharType="begin"/>
        </w:r>
        <w:r w:rsidR="000822F5">
          <w:rPr>
            <w:webHidden/>
          </w:rPr>
          <w:instrText xml:space="preserve"> PAGEREF _Toc391545365 \h </w:instrText>
        </w:r>
        <w:r w:rsidR="000822F5">
          <w:rPr>
            <w:webHidden/>
          </w:rPr>
        </w:r>
        <w:r w:rsidR="000822F5">
          <w:rPr>
            <w:webHidden/>
          </w:rPr>
          <w:fldChar w:fldCharType="separate"/>
        </w:r>
        <w:r w:rsidR="000822F5">
          <w:rPr>
            <w:webHidden/>
          </w:rPr>
          <w:t>45</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6" w:history="1">
        <w:r w:rsidR="000822F5" w:rsidRPr="00761014">
          <w:rPr>
            <w:rStyle w:val="Hyperlink"/>
          </w:rPr>
          <w:t>41.</w:t>
        </w:r>
        <w:r w:rsidR="000822F5">
          <w:rPr>
            <w:rFonts w:asciiTheme="minorHAnsi" w:eastAsiaTheme="minorEastAsia" w:hAnsiTheme="minorHAnsi" w:cstheme="minorBidi"/>
            <w:b w:val="0"/>
            <w:bCs w:val="0"/>
            <w:lang w:eastAsia="en-GB"/>
          </w:rPr>
          <w:tab/>
        </w:r>
        <w:r w:rsidR="000822F5" w:rsidRPr="00761014">
          <w:rPr>
            <w:rStyle w:val="Hyperlink"/>
          </w:rPr>
          <w:t>ENTIRE AGREEMENT</w:t>
        </w:r>
        <w:r w:rsidR="000822F5">
          <w:rPr>
            <w:webHidden/>
          </w:rPr>
          <w:tab/>
        </w:r>
        <w:r w:rsidR="000822F5">
          <w:rPr>
            <w:webHidden/>
          </w:rPr>
          <w:fldChar w:fldCharType="begin"/>
        </w:r>
        <w:r w:rsidR="000822F5">
          <w:rPr>
            <w:webHidden/>
          </w:rPr>
          <w:instrText xml:space="preserve"> PAGEREF _Toc391545366 \h </w:instrText>
        </w:r>
        <w:r w:rsidR="000822F5">
          <w:rPr>
            <w:webHidden/>
          </w:rPr>
        </w:r>
        <w:r w:rsidR="000822F5">
          <w:rPr>
            <w:webHidden/>
          </w:rPr>
          <w:fldChar w:fldCharType="separate"/>
        </w:r>
        <w:r w:rsidR="000822F5">
          <w:rPr>
            <w:webHidden/>
          </w:rPr>
          <w:t>45</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7" w:history="1">
        <w:r w:rsidR="000822F5" w:rsidRPr="00761014">
          <w:rPr>
            <w:rStyle w:val="Hyperlink"/>
          </w:rPr>
          <w:t>42.</w:t>
        </w:r>
        <w:r w:rsidR="000822F5">
          <w:rPr>
            <w:rFonts w:asciiTheme="minorHAnsi" w:eastAsiaTheme="minorEastAsia" w:hAnsiTheme="minorHAnsi" w:cstheme="minorBidi"/>
            <w:b w:val="0"/>
            <w:bCs w:val="0"/>
            <w:lang w:eastAsia="en-GB"/>
          </w:rPr>
          <w:tab/>
        </w:r>
        <w:r w:rsidR="000822F5" w:rsidRPr="00761014">
          <w:rPr>
            <w:rStyle w:val="Hyperlink"/>
          </w:rPr>
          <w:t>THIRD PARTY RIGHTS</w:t>
        </w:r>
        <w:r w:rsidR="000822F5">
          <w:rPr>
            <w:webHidden/>
          </w:rPr>
          <w:tab/>
        </w:r>
        <w:r w:rsidR="000822F5">
          <w:rPr>
            <w:webHidden/>
          </w:rPr>
          <w:fldChar w:fldCharType="begin"/>
        </w:r>
        <w:r w:rsidR="000822F5">
          <w:rPr>
            <w:webHidden/>
          </w:rPr>
          <w:instrText xml:space="preserve"> PAGEREF _Toc391545367 \h </w:instrText>
        </w:r>
        <w:r w:rsidR="000822F5">
          <w:rPr>
            <w:webHidden/>
          </w:rPr>
        </w:r>
        <w:r w:rsidR="000822F5">
          <w:rPr>
            <w:webHidden/>
          </w:rPr>
          <w:fldChar w:fldCharType="separate"/>
        </w:r>
        <w:r w:rsidR="000822F5">
          <w:rPr>
            <w:webHidden/>
          </w:rPr>
          <w:t>46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8" w:history="1">
        <w:r w:rsidR="000822F5" w:rsidRPr="00761014">
          <w:rPr>
            <w:rStyle w:val="Hyperlink"/>
          </w:rPr>
          <w:t>43.</w:t>
        </w:r>
        <w:r w:rsidR="000822F5">
          <w:rPr>
            <w:rFonts w:asciiTheme="minorHAnsi" w:eastAsiaTheme="minorEastAsia" w:hAnsiTheme="minorHAnsi" w:cstheme="minorBidi"/>
            <w:b w:val="0"/>
            <w:bCs w:val="0"/>
            <w:lang w:eastAsia="en-GB"/>
          </w:rPr>
          <w:tab/>
        </w:r>
        <w:r w:rsidR="000822F5" w:rsidRPr="00761014">
          <w:rPr>
            <w:rStyle w:val="Hyperlink"/>
          </w:rPr>
          <w:t>NOTICES</w:t>
        </w:r>
        <w:r w:rsidR="000822F5">
          <w:rPr>
            <w:webHidden/>
          </w:rPr>
          <w:tab/>
        </w:r>
        <w:r w:rsidR="000822F5">
          <w:rPr>
            <w:webHidden/>
          </w:rPr>
          <w:fldChar w:fldCharType="begin"/>
        </w:r>
        <w:r w:rsidR="000822F5">
          <w:rPr>
            <w:webHidden/>
          </w:rPr>
          <w:instrText xml:space="preserve"> PAGEREF _Toc391545368 \h </w:instrText>
        </w:r>
        <w:r w:rsidR="000822F5">
          <w:rPr>
            <w:webHidden/>
          </w:rPr>
        </w:r>
        <w:r w:rsidR="000822F5">
          <w:rPr>
            <w:webHidden/>
          </w:rPr>
          <w:fldChar w:fldCharType="separate"/>
        </w:r>
        <w:r w:rsidR="000822F5">
          <w:rPr>
            <w:webHidden/>
          </w:rPr>
          <w:t>46</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69" w:history="1">
        <w:r w:rsidR="000822F5" w:rsidRPr="00761014">
          <w:rPr>
            <w:rStyle w:val="Hyperlink"/>
          </w:rPr>
          <w:t>44.</w:t>
        </w:r>
        <w:r w:rsidR="000822F5">
          <w:rPr>
            <w:rFonts w:asciiTheme="minorHAnsi" w:eastAsiaTheme="minorEastAsia" w:hAnsiTheme="minorHAnsi" w:cstheme="minorBidi"/>
            <w:b w:val="0"/>
            <w:bCs w:val="0"/>
            <w:lang w:eastAsia="en-GB"/>
          </w:rPr>
          <w:tab/>
        </w:r>
        <w:r w:rsidR="000822F5" w:rsidRPr="00761014">
          <w:rPr>
            <w:rStyle w:val="Hyperlink"/>
          </w:rPr>
          <w:t>COMPLAINTS HANDLING</w:t>
        </w:r>
        <w:r w:rsidR="000822F5">
          <w:rPr>
            <w:webHidden/>
          </w:rPr>
          <w:tab/>
        </w:r>
        <w:r w:rsidR="000822F5">
          <w:rPr>
            <w:webHidden/>
          </w:rPr>
          <w:fldChar w:fldCharType="begin"/>
        </w:r>
        <w:r w:rsidR="000822F5">
          <w:rPr>
            <w:webHidden/>
          </w:rPr>
          <w:instrText xml:space="preserve"> PAGEREF _Toc391545369 \h </w:instrText>
        </w:r>
        <w:r w:rsidR="000822F5">
          <w:rPr>
            <w:webHidden/>
          </w:rPr>
        </w:r>
        <w:r w:rsidR="000822F5">
          <w:rPr>
            <w:webHidden/>
          </w:rPr>
          <w:fldChar w:fldCharType="separate"/>
        </w:r>
        <w:r w:rsidR="000822F5">
          <w:rPr>
            <w:webHidden/>
          </w:rPr>
          <w:t>48</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70" w:history="1">
        <w:r w:rsidR="000822F5" w:rsidRPr="00761014">
          <w:rPr>
            <w:rStyle w:val="Hyperlink"/>
          </w:rPr>
          <w:t>45.</w:t>
        </w:r>
        <w:r w:rsidR="000822F5">
          <w:rPr>
            <w:rFonts w:asciiTheme="minorHAnsi" w:eastAsiaTheme="minorEastAsia" w:hAnsiTheme="minorHAnsi" w:cstheme="minorBidi"/>
            <w:b w:val="0"/>
            <w:bCs w:val="0"/>
            <w:lang w:eastAsia="en-GB"/>
          </w:rPr>
          <w:tab/>
        </w:r>
        <w:r w:rsidR="000822F5" w:rsidRPr="00761014">
          <w:rPr>
            <w:rStyle w:val="Hyperlink"/>
          </w:rPr>
          <w:t>DISPUTE RESOLUTION</w:t>
        </w:r>
        <w:r w:rsidR="000822F5">
          <w:rPr>
            <w:webHidden/>
          </w:rPr>
          <w:tab/>
        </w:r>
        <w:r w:rsidR="000822F5">
          <w:rPr>
            <w:webHidden/>
          </w:rPr>
          <w:fldChar w:fldCharType="begin"/>
        </w:r>
        <w:r w:rsidR="000822F5">
          <w:rPr>
            <w:webHidden/>
          </w:rPr>
          <w:instrText xml:space="preserve"> PAGEREF _Toc391545370 \h </w:instrText>
        </w:r>
        <w:r w:rsidR="000822F5">
          <w:rPr>
            <w:webHidden/>
          </w:rPr>
        </w:r>
        <w:r w:rsidR="000822F5">
          <w:rPr>
            <w:webHidden/>
          </w:rPr>
          <w:fldChar w:fldCharType="separate"/>
        </w:r>
        <w:r w:rsidR="000822F5">
          <w:rPr>
            <w:webHidden/>
          </w:rPr>
          <w:t>48</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71" w:history="1">
        <w:r w:rsidR="000822F5" w:rsidRPr="00761014">
          <w:rPr>
            <w:rStyle w:val="Hyperlink"/>
          </w:rPr>
          <w:t>46.</w:t>
        </w:r>
        <w:r w:rsidR="000822F5">
          <w:rPr>
            <w:rFonts w:asciiTheme="minorHAnsi" w:eastAsiaTheme="minorEastAsia" w:hAnsiTheme="minorHAnsi" w:cstheme="minorBidi"/>
            <w:b w:val="0"/>
            <w:bCs w:val="0"/>
            <w:lang w:eastAsia="en-GB"/>
          </w:rPr>
          <w:tab/>
        </w:r>
        <w:r w:rsidR="000822F5" w:rsidRPr="00761014">
          <w:rPr>
            <w:rStyle w:val="Hyperlink"/>
          </w:rPr>
          <w:t>GOVERNING LAW AND JURISDICTION</w:t>
        </w:r>
        <w:r w:rsidR="000822F5">
          <w:rPr>
            <w:webHidden/>
          </w:rPr>
          <w:tab/>
        </w:r>
        <w:r w:rsidR="000822F5">
          <w:rPr>
            <w:webHidden/>
          </w:rPr>
          <w:fldChar w:fldCharType="begin"/>
        </w:r>
        <w:r w:rsidR="000822F5">
          <w:rPr>
            <w:webHidden/>
          </w:rPr>
          <w:instrText xml:space="preserve"> PAGEREF _Toc391545371 \h </w:instrText>
        </w:r>
        <w:r w:rsidR="000822F5">
          <w:rPr>
            <w:webHidden/>
          </w:rPr>
        </w:r>
        <w:r w:rsidR="000822F5">
          <w:rPr>
            <w:webHidden/>
          </w:rPr>
          <w:fldChar w:fldCharType="separate"/>
        </w:r>
        <w:r w:rsidR="000822F5">
          <w:rPr>
            <w:webHidden/>
          </w:rPr>
          <w:t>48</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72" w:history="1">
        <w:r w:rsidR="000822F5" w:rsidRPr="00761014">
          <w:rPr>
            <w:rStyle w:val="Hyperlink"/>
          </w:rPr>
          <w:t>FRAMEWORK SCHEDULE 1: DEFINITIONS</w:t>
        </w:r>
        <w:r w:rsidR="000822F5">
          <w:rPr>
            <w:webHidden/>
          </w:rPr>
          <w:tab/>
        </w:r>
        <w:r w:rsidR="000822F5">
          <w:rPr>
            <w:webHidden/>
          </w:rPr>
          <w:fldChar w:fldCharType="begin"/>
        </w:r>
        <w:r w:rsidR="000822F5">
          <w:rPr>
            <w:webHidden/>
          </w:rPr>
          <w:instrText xml:space="preserve"> PAGEREF _Toc391545372 \h </w:instrText>
        </w:r>
        <w:r w:rsidR="000822F5">
          <w:rPr>
            <w:webHidden/>
          </w:rPr>
        </w:r>
        <w:r w:rsidR="000822F5">
          <w:rPr>
            <w:webHidden/>
          </w:rPr>
          <w:fldChar w:fldCharType="separate"/>
        </w:r>
        <w:r w:rsidR="000822F5">
          <w:rPr>
            <w:webHidden/>
          </w:rPr>
          <w:t>50</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73" w:history="1">
        <w:r w:rsidR="000822F5" w:rsidRPr="00761014">
          <w:rPr>
            <w:rStyle w:val="Hyperlink"/>
          </w:rPr>
          <w:t>FRAMEWORK SCHEDULE 2: SERVICES and Key Performance Indicators</w:t>
        </w:r>
        <w:r w:rsidR="000822F5">
          <w:rPr>
            <w:webHidden/>
          </w:rPr>
          <w:tab/>
        </w:r>
        <w:r w:rsidR="000822F5">
          <w:rPr>
            <w:webHidden/>
          </w:rPr>
          <w:fldChar w:fldCharType="begin"/>
        </w:r>
        <w:r w:rsidR="000822F5">
          <w:rPr>
            <w:webHidden/>
          </w:rPr>
          <w:instrText xml:space="preserve"> PAGEREF _Toc391545373 \h </w:instrText>
        </w:r>
        <w:r w:rsidR="000822F5">
          <w:rPr>
            <w:webHidden/>
          </w:rPr>
        </w:r>
        <w:r w:rsidR="000822F5">
          <w:rPr>
            <w:webHidden/>
          </w:rPr>
          <w:fldChar w:fldCharType="separate"/>
        </w:r>
        <w:r w:rsidR="000822F5">
          <w:rPr>
            <w:webHidden/>
          </w:rPr>
          <w:t>67</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74" w:history="1">
        <w:r w:rsidR="000822F5" w:rsidRPr="00761014">
          <w:rPr>
            <w:rStyle w:val="Hyperlink"/>
          </w:rPr>
          <w:t>PART A – REQUIREMENTS FOR SERVICES</w:t>
        </w:r>
        <w:r w:rsidR="000822F5">
          <w:rPr>
            <w:webHidden/>
          </w:rPr>
          <w:tab/>
        </w:r>
        <w:r w:rsidR="000822F5">
          <w:rPr>
            <w:webHidden/>
          </w:rPr>
          <w:fldChar w:fldCharType="begin"/>
        </w:r>
        <w:r w:rsidR="000822F5">
          <w:rPr>
            <w:webHidden/>
          </w:rPr>
          <w:instrText xml:space="preserve"> PAGEREF _Toc391545374 \h </w:instrText>
        </w:r>
        <w:r w:rsidR="000822F5">
          <w:rPr>
            <w:webHidden/>
          </w:rPr>
        </w:r>
        <w:r w:rsidR="000822F5">
          <w:rPr>
            <w:webHidden/>
          </w:rPr>
          <w:fldChar w:fldCharType="separate"/>
        </w:r>
        <w:r w:rsidR="000822F5">
          <w:rPr>
            <w:webHidden/>
          </w:rPr>
          <w:t>70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76" w:history="1">
        <w:r w:rsidR="000822F5" w:rsidRPr="00761014">
          <w:rPr>
            <w:rStyle w:val="Hyperlink"/>
          </w:rPr>
          <w:t>PART B – SUPPLIER’S SERVICES</w:t>
        </w:r>
        <w:r w:rsidR="000822F5">
          <w:rPr>
            <w:webHidden/>
          </w:rPr>
          <w:tab/>
        </w:r>
        <w:r w:rsidR="000822F5">
          <w:rPr>
            <w:webHidden/>
          </w:rPr>
          <w:fldChar w:fldCharType="begin"/>
        </w:r>
        <w:r w:rsidR="000822F5">
          <w:rPr>
            <w:webHidden/>
          </w:rPr>
          <w:instrText xml:space="preserve"> PAGEREF _Toc391545376 \h </w:instrText>
        </w:r>
        <w:r w:rsidR="000822F5">
          <w:rPr>
            <w:webHidden/>
          </w:rPr>
        </w:r>
        <w:r w:rsidR="000822F5">
          <w:rPr>
            <w:webHidden/>
          </w:rPr>
          <w:fldChar w:fldCharType="separate"/>
        </w:r>
        <w:r w:rsidR="000822F5">
          <w:rPr>
            <w:webHidden/>
          </w:rPr>
          <w:t>90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78" w:history="1">
        <w:r w:rsidR="000822F5" w:rsidRPr="00761014">
          <w:rPr>
            <w:rStyle w:val="Hyperlink"/>
          </w:rPr>
          <w:t>Part C – MANDATORY SERVICE PACKAGE REQUIREMENTS</w:t>
        </w:r>
        <w:r w:rsidR="000822F5">
          <w:rPr>
            <w:webHidden/>
          </w:rPr>
          <w:tab/>
        </w:r>
        <w:r w:rsidR="000822F5">
          <w:rPr>
            <w:webHidden/>
          </w:rPr>
          <w:fldChar w:fldCharType="begin"/>
        </w:r>
        <w:r w:rsidR="000822F5">
          <w:rPr>
            <w:webHidden/>
          </w:rPr>
          <w:instrText xml:space="preserve"> PAGEREF _Toc391545378 \h </w:instrText>
        </w:r>
        <w:r w:rsidR="000822F5">
          <w:rPr>
            <w:webHidden/>
          </w:rPr>
        </w:r>
        <w:r w:rsidR="000822F5">
          <w:rPr>
            <w:webHidden/>
          </w:rPr>
          <w:fldChar w:fldCharType="separate"/>
        </w:r>
        <w:r w:rsidR="000822F5">
          <w:rPr>
            <w:webHidden/>
          </w:rPr>
          <w:t>91</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80" w:history="1">
        <w:r w:rsidR="000822F5" w:rsidRPr="00761014">
          <w:rPr>
            <w:rStyle w:val="Hyperlink"/>
          </w:rPr>
          <w:t>PART D – SUPPLIER’S MANDATORY SERVICE PACKAGE</w:t>
        </w:r>
        <w:r w:rsidR="000822F5">
          <w:rPr>
            <w:webHidden/>
          </w:rPr>
          <w:tab/>
        </w:r>
        <w:r w:rsidR="000822F5">
          <w:rPr>
            <w:webHidden/>
          </w:rPr>
          <w:fldChar w:fldCharType="begin"/>
        </w:r>
        <w:r w:rsidR="000822F5">
          <w:rPr>
            <w:webHidden/>
          </w:rPr>
          <w:instrText xml:space="preserve"> PAGEREF _Toc391545380 \h </w:instrText>
        </w:r>
        <w:r w:rsidR="000822F5">
          <w:rPr>
            <w:webHidden/>
          </w:rPr>
        </w:r>
        <w:r w:rsidR="000822F5">
          <w:rPr>
            <w:webHidden/>
          </w:rPr>
          <w:fldChar w:fldCharType="separate"/>
        </w:r>
        <w:r w:rsidR="000822F5">
          <w:rPr>
            <w:webHidden/>
          </w:rPr>
          <w:t>104</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83" w:history="1">
        <w:r w:rsidR="000822F5" w:rsidRPr="00761014">
          <w:rPr>
            <w:rStyle w:val="Hyperlink"/>
          </w:rPr>
          <w:t>PART E – KEY PERFORMANCE INDICATORS</w:t>
        </w:r>
        <w:r w:rsidR="000822F5">
          <w:rPr>
            <w:webHidden/>
          </w:rPr>
          <w:tab/>
        </w:r>
        <w:r w:rsidR="000822F5">
          <w:rPr>
            <w:webHidden/>
          </w:rPr>
          <w:fldChar w:fldCharType="begin"/>
        </w:r>
        <w:r w:rsidR="000822F5">
          <w:rPr>
            <w:webHidden/>
          </w:rPr>
          <w:instrText xml:space="preserve"> PAGEREF _Toc391545383 \h </w:instrText>
        </w:r>
        <w:r w:rsidR="000822F5">
          <w:rPr>
            <w:webHidden/>
          </w:rPr>
        </w:r>
        <w:r w:rsidR="000822F5">
          <w:rPr>
            <w:webHidden/>
          </w:rPr>
          <w:fldChar w:fldCharType="separate"/>
        </w:r>
        <w:r w:rsidR="000822F5">
          <w:rPr>
            <w:webHidden/>
          </w:rPr>
          <w:t>105</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85" w:history="1">
        <w:r w:rsidR="000822F5" w:rsidRPr="00761014">
          <w:rPr>
            <w:rStyle w:val="Hyperlink"/>
          </w:rPr>
          <w:t>FRAMEWORK SCHEDULE 3: FRAMEWORK prices</w:t>
        </w:r>
        <w:r w:rsidR="000822F5">
          <w:rPr>
            <w:webHidden/>
          </w:rPr>
          <w:tab/>
        </w:r>
        <w:r w:rsidR="000822F5">
          <w:rPr>
            <w:webHidden/>
          </w:rPr>
          <w:fldChar w:fldCharType="begin"/>
        </w:r>
        <w:r w:rsidR="000822F5">
          <w:rPr>
            <w:webHidden/>
          </w:rPr>
          <w:instrText xml:space="preserve"> PAGEREF _Toc391545385 \h </w:instrText>
        </w:r>
        <w:r w:rsidR="000822F5">
          <w:rPr>
            <w:webHidden/>
          </w:rPr>
        </w:r>
        <w:r w:rsidR="000822F5">
          <w:rPr>
            <w:webHidden/>
          </w:rPr>
          <w:fldChar w:fldCharType="separate"/>
        </w:r>
        <w:r w:rsidR="000822F5">
          <w:rPr>
            <w:webHidden/>
          </w:rPr>
          <w:t>107</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87" w:history="1">
        <w:r w:rsidR="000822F5" w:rsidRPr="00761014">
          <w:rPr>
            <w:rStyle w:val="Hyperlink"/>
          </w:rPr>
          <w:t>ANNEX 1: SERVICE CATALOGUE</w:t>
        </w:r>
        <w:r w:rsidR="000822F5">
          <w:rPr>
            <w:webHidden/>
          </w:rPr>
          <w:tab/>
        </w:r>
        <w:r w:rsidR="000822F5">
          <w:rPr>
            <w:webHidden/>
          </w:rPr>
          <w:fldChar w:fldCharType="begin"/>
        </w:r>
        <w:r w:rsidR="000822F5">
          <w:rPr>
            <w:webHidden/>
          </w:rPr>
          <w:instrText xml:space="preserve"> PAGEREF _Toc391545387 \h </w:instrText>
        </w:r>
        <w:r w:rsidR="000822F5">
          <w:rPr>
            <w:webHidden/>
          </w:rPr>
        </w:r>
        <w:r w:rsidR="000822F5">
          <w:rPr>
            <w:webHidden/>
          </w:rPr>
          <w:fldChar w:fldCharType="separate"/>
        </w:r>
        <w:r w:rsidR="000822F5">
          <w:rPr>
            <w:webHidden/>
          </w:rPr>
          <w:t>109</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88" w:history="1">
        <w:r w:rsidR="000822F5" w:rsidRPr="00761014">
          <w:rPr>
            <w:rStyle w:val="Hyperlink"/>
          </w:rPr>
          <w:t>FRAMEWORK SCHEDULE 4: TEMPLATE ORDER FORM AND TEMPLATE CALL OFF TERMS</w:t>
        </w:r>
        <w:r w:rsidR="000822F5">
          <w:rPr>
            <w:webHidden/>
          </w:rPr>
          <w:tab/>
        </w:r>
        <w:r w:rsidR="000822F5">
          <w:rPr>
            <w:webHidden/>
          </w:rPr>
          <w:fldChar w:fldCharType="begin"/>
        </w:r>
        <w:r w:rsidR="000822F5">
          <w:rPr>
            <w:webHidden/>
          </w:rPr>
          <w:instrText xml:space="preserve"> PAGEREF _Toc391545388 \h </w:instrText>
        </w:r>
        <w:r w:rsidR="000822F5">
          <w:rPr>
            <w:webHidden/>
          </w:rPr>
        </w:r>
        <w:r w:rsidR="000822F5">
          <w:rPr>
            <w:webHidden/>
          </w:rPr>
          <w:fldChar w:fldCharType="separate"/>
        </w:r>
        <w:r w:rsidR="000822F5">
          <w:rPr>
            <w:webHidden/>
          </w:rPr>
          <w:t>110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89" w:history="1">
        <w:r w:rsidR="000822F5" w:rsidRPr="00761014">
          <w:rPr>
            <w:rStyle w:val="Hyperlink"/>
          </w:rPr>
          <w:t>PART 1: TEMPLATE ORDER FORM</w:t>
        </w:r>
        <w:r w:rsidR="000822F5">
          <w:rPr>
            <w:webHidden/>
          </w:rPr>
          <w:tab/>
        </w:r>
        <w:r w:rsidR="000822F5">
          <w:rPr>
            <w:webHidden/>
          </w:rPr>
          <w:fldChar w:fldCharType="begin"/>
        </w:r>
        <w:r w:rsidR="000822F5">
          <w:rPr>
            <w:webHidden/>
          </w:rPr>
          <w:instrText xml:space="preserve"> PAGEREF _Toc391545389 \h </w:instrText>
        </w:r>
        <w:r w:rsidR="000822F5">
          <w:rPr>
            <w:webHidden/>
          </w:rPr>
        </w:r>
        <w:r w:rsidR="000822F5">
          <w:rPr>
            <w:webHidden/>
          </w:rPr>
          <w:fldChar w:fldCharType="separate"/>
        </w:r>
        <w:r w:rsidR="000822F5">
          <w:rPr>
            <w:webHidden/>
          </w:rPr>
          <w:t>110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90" w:history="1">
        <w:r w:rsidR="000822F5" w:rsidRPr="00761014">
          <w:rPr>
            <w:rStyle w:val="Hyperlink"/>
          </w:rPr>
          <w:t>PART 2: TEMPLATE CALL OFF TERMS</w:t>
        </w:r>
        <w:r w:rsidR="000822F5">
          <w:rPr>
            <w:webHidden/>
          </w:rPr>
          <w:tab/>
        </w:r>
        <w:r w:rsidR="000822F5">
          <w:rPr>
            <w:webHidden/>
          </w:rPr>
          <w:fldChar w:fldCharType="begin"/>
        </w:r>
        <w:r w:rsidR="000822F5">
          <w:rPr>
            <w:webHidden/>
          </w:rPr>
          <w:instrText xml:space="preserve"> PAGEREF _Toc391545390 \h </w:instrText>
        </w:r>
        <w:r w:rsidR="000822F5">
          <w:rPr>
            <w:webHidden/>
          </w:rPr>
        </w:r>
        <w:r w:rsidR="000822F5">
          <w:rPr>
            <w:webHidden/>
          </w:rPr>
          <w:fldChar w:fldCharType="separate"/>
        </w:r>
        <w:r w:rsidR="000822F5">
          <w:rPr>
            <w:webHidden/>
          </w:rPr>
          <w:t>111</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1" w:history="1">
        <w:r w:rsidR="000822F5" w:rsidRPr="00761014">
          <w:rPr>
            <w:rStyle w:val="Hyperlink"/>
          </w:rPr>
          <w:t>FRAMEWORK SCHEDULE 5: CALL OFF PROCEDURE</w:t>
        </w:r>
        <w:r w:rsidR="000822F5">
          <w:rPr>
            <w:webHidden/>
          </w:rPr>
          <w:tab/>
        </w:r>
        <w:r w:rsidR="000822F5">
          <w:rPr>
            <w:webHidden/>
          </w:rPr>
          <w:fldChar w:fldCharType="begin"/>
        </w:r>
        <w:r w:rsidR="000822F5">
          <w:rPr>
            <w:webHidden/>
          </w:rPr>
          <w:instrText xml:space="preserve"> PAGEREF _Toc391545391 \h </w:instrText>
        </w:r>
        <w:r w:rsidR="000822F5">
          <w:rPr>
            <w:webHidden/>
          </w:rPr>
        </w:r>
        <w:r w:rsidR="000822F5">
          <w:rPr>
            <w:webHidden/>
          </w:rPr>
          <w:fldChar w:fldCharType="separate"/>
        </w:r>
        <w:r w:rsidR="000822F5">
          <w:rPr>
            <w:webHidden/>
          </w:rPr>
          <w:t>112</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3" w:history="1">
        <w:r w:rsidR="000822F5" w:rsidRPr="00761014">
          <w:rPr>
            <w:rStyle w:val="Hyperlink"/>
          </w:rPr>
          <w:t>FRAMEWORK SCHEDULE 6: AWARD CRITERIA</w:t>
        </w:r>
        <w:r w:rsidR="000822F5">
          <w:rPr>
            <w:webHidden/>
          </w:rPr>
          <w:tab/>
        </w:r>
        <w:r w:rsidR="000822F5">
          <w:rPr>
            <w:webHidden/>
          </w:rPr>
          <w:fldChar w:fldCharType="begin"/>
        </w:r>
        <w:r w:rsidR="000822F5">
          <w:rPr>
            <w:webHidden/>
          </w:rPr>
          <w:instrText xml:space="preserve"> PAGEREF _Toc391545393 \h </w:instrText>
        </w:r>
        <w:r w:rsidR="000822F5">
          <w:rPr>
            <w:webHidden/>
          </w:rPr>
        </w:r>
        <w:r w:rsidR="000822F5">
          <w:rPr>
            <w:webHidden/>
          </w:rPr>
          <w:fldChar w:fldCharType="separate"/>
        </w:r>
        <w:r w:rsidR="000822F5">
          <w:rPr>
            <w:webHidden/>
          </w:rPr>
          <w:t>118</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4" w:history="1">
        <w:r w:rsidR="000822F5" w:rsidRPr="00761014">
          <w:rPr>
            <w:rStyle w:val="Hyperlink"/>
          </w:rPr>
          <w:t>FRAMEWORK SCHEDULE 7: KEY SUB-CONTRACTORS</w:t>
        </w:r>
        <w:r w:rsidR="000822F5">
          <w:rPr>
            <w:webHidden/>
          </w:rPr>
          <w:tab/>
        </w:r>
        <w:r w:rsidR="000822F5">
          <w:rPr>
            <w:webHidden/>
          </w:rPr>
          <w:fldChar w:fldCharType="begin"/>
        </w:r>
        <w:r w:rsidR="000822F5">
          <w:rPr>
            <w:webHidden/>
          </w:rPr>
          <w:instrText xml:space="preserve"> PAGEREF _Toc391545394 \h </w:instrText>
        </w:r>
        <w:r w:rsidR="000822F5">
          <w:rPr>
            <w:webHidden/>
          </w:rPr>
        </w:r>
        <w:r w:rsidR="000822F5">
          <w:rPr>
            <w:webHidden/>
          </w:rPr>
          <w:fldChar w:fldCharType="separate"/>
        </w:r>
        <w:r w:rsidR="000822F5">
          <w:rPr>
            <w:webHidden/>
          </w:rPr>
          <w:t>121</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95" w:history="1">
        <w:r w:rsidR="000822F5" w:rsidRPr="00761014">
          <w:rPr>
            <w:rStyle w:val="Hyperlink"/>
          </w:rPr>
          <w:t>ANNEX 1: APPOINTMENT OF KEY SUBCONTRACTORS FORM</w:t>
        </w:r>
        <w:r w:rsidR="000822F5">
          <w:rPr>
            <w:webHidden/>
          </w:rPr>
          <w:tab/>
        </w:r>
        <w:r w:rsidR="000822F5">
          <w:rPr>
            <w:webHidden/>
          </w:rPr>
          <w:fldChar w:fldCharType="begin"/>
        </w:r>
        <w:r w:rsidR="000822F5">
          <w:rPr>
            <w:webHidden/>
          </w:rPr>
          <w:instrText xml:space="preserve"> PAGEREF _Toc391545395 \h </w:instrText>
        </w:r>
        <w:r w:rsidR="000822F5">
          <w:rPr>
            <w:webHidden/>
          </w:rPr>
        </w:r>
        <w:r w:rsidR="000822F5">
          <w:rPr>
            <w:webHidden/>
          </w:rPr>
          <w:fldChar w:fldCharType="separate"/>
        </w:r>
        <w:r w:rsidR="000822F5">
          <w:rPr>
            <w:webHidden/>
          </w:rPr>
          <w:t>122</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6" w:history="1">
        <w:r w:rsidR="000822F5" w:rsidRPr="00761014">
          <w:rPr>
            <w:rStyle w:val="Hyperlink"/>
          </w:rPr>
          <w:t>FRAMEWORK SCHEDULE 8: FRAMEWORK MANAGEMENT</w:t>
        </w:r>
        <w:r w:rsidR="000822F5">
          <w:rPr>
            <w:webHidden/>
          </w:rPr>
          <w:tab/>
        </w:r>
        <w:r w:rsidR="000822F5">
          <w:rPr>
            <w:webHidden/>
          </w:rPr>
          <w:fldChar w:fldCharType="begin"/>
        </w:r>
        <w:r w:rsidR="000822F5">
          <w:rPr>
            <w:webHidden/>
          </w:rPr>
          <w:instrText xml:space="preserve"> PAGEREF _Toc391545396 \h </w:instrText>
        </w:r>
        <w:r w:rsidR="000822F5">
          <w:rPr>
            <w:webHidden/>
          </w:rPr>
        </w:r>
        <w:r w:rsidR="000822F5">
          <w:rPr>
            <w:webHidden/>
          </w:rPr>
          <w:fldChar w:fldCharType="separate"/>
        </w:r>
        <w:r w:rsidR="000822F5">
          <w:rPr>
            <w:webHidden/>
          </w:rPr>
          <w:t>124</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7" w:history="1">
        <w:r w:rsidR="000822F5" w:rsidRPr="00761014">
          <w:rPr>
            <w:rStyle w:val="Hyperlink"/>
          </w:rPr>
          <w:t>FRAMEWORK SCHEDULE 9: MANAGEMENT INFORMATION</w:t>
        </w:r>
        <w:r w:rsidR="000822F5">
          <w:rPr>
            <w:webHidden/>
          </w:rPr>
          <w:tab/>
        </w:r>
        <w:r w:rsidR="000822F5">
          <w:rPr>
            <w:webHidden/>
          </w:rPr>
          <w:fldChar w:fldCharType="begin"/>
        </w:r>
        <w:r w:rsidR="000822F5">
          <w:rPr>
            <w:webHidden/>
          </w:rPr>
          <w:instrText xml:space="preserve"> PAGEREF _Toc391545397 \h </w:instrText>
        </w:r>
        <w:r w:rsidR="000822F5">
          <w:rPr>
            <w:webHidden/>
          </w:rPr>
        </w:r>
        <w:r w:rsidR="000822F5">
          <w:rPr>
            <w:webHidden/>
          </w:rPr>
          <w:fldChar w:fldCharType="separate"/>
        </w:r>
        <w:r w:rsidR="000822F5">
          <w:rPr>
            <w:webHidden/>
          </w:rPr>
          <w:t>127</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398" w:history="1">
        <w:r w:rsidR="000822F5" w:rsidRPr="00761014">
          <w:rPr>
            <w:rStyle w:val="Hyperlink"/>
          </w:rPr>
          <w:t>ANNEX 1: MI REPORTING TEMPLATE</w:t>
        </w:r>
        <w:r w:rsidR="000822F5">
          <w:rPr>
            <w:webHidden/>
          </w:rPr>
          <w:tab/>
        </w:r>
        <w:r w:rsidR="000822F5">
          <w:rPr>
            <w:webHidden/>
          </w:rPr>
          <w:fldChar w:fldCharType="begin"/>
        </w:r>
        <w:r w:rsidR="000822F5">
          <w:rPr>
            <w:webHidden/>
          </w:rPr>
          <w:instrText xml:space="preserve"> PAGEREF _Toc391545398 \h </w:instrText>
        </w:r>
        <w:r w:rsidR="000822F5">
          <w:rPr>
            <w:webHidden/>
          </w:rPr>
        </w:r>
        <w:r w:rsidR="000822F5">
          <w:rPr>
            <w:webHidden/>
          </w:rPr>
          <w:fldChar w:fldCharType="separate"/>
        </w:r>
        <w:r w:rsidR="000822F5">
          <w:rPr>
            <w:webHidden/>
          </w:rPr>
          <w:t>131</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399" w:history="1">
        <w:r w:rsidR="000822F5" w:rsidRPr="00761014">
          <w:rPr>
            <w:rStyle w:val="Hyperlink"/>
          </w:rPr>
          <w:t>FRAMEWORK SCHEDULE 10: ANNUAL SELF AUDIT CERTIFICATE</w:t>
        </w:r>
        <w:r w:rsidR="000822F5">
          <w:rPr>
            <w:webHidden/>
          </w:rPr>
          <w:tab/>
        </w:r>
        <w:r w:rsidR="000822F5">
          <w:rPr>
            <w:webHidden/>
          </w:rPr>
          <w:fldChar w:fldCharType="begin"/>
        </w:r>
        <w:r w:rsidR="000822F5">
          <w:rPr>
            <w:webHidden/>
          </w:rPr>
          <w:instrText xml:space="preserve"> PAGEREF _Toc391545399 \h </w:instrText>
        </w:r>
        <w:r w:rsidR="000822F5">
          <w:rPr>
            <w:webHidden/>
          </w:rPr>
        </w:r>
        <w:r w:rsidR="000822F5">
          <w:rPr>
            <w:webHidden/>
          </w:rPr>
          <w:fldChar w:fldCharType="separate"/>
        </w:r>
        <w:r w:rsidR="000822F5">
          <w:rPr>
            <w:webHidden/>
          </w:rPr>
          <w:t>132</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0" w:history="1">
        <w:r w:rsidR="000822F5" w:rsidRPr="00761014">
          <w:rPr>
            <w:rStyle w:val="Hyperlink"/>
          </w:rPr>
          <w:t>FRAMEWORK SCHEDULE 11: MARKETING</w:t>
        </w:r>
        <w:r w:rsidR="000822F5">
          <w:rPr>
            <w:webHidden/>
          </w:rPr>
          <w:tab/>
        </w:r>
        <w:r w:rsidR="000822F5">
          <w:rPr>
            <w:webHidden/>
          </w:rPr>
          <w:fldChar w:fldCharType="begin"/>
        </w:r>
        <w:r w:rsidR="000822F5">
          <w:rPr>
            <w:webHidden/>
          </w:rPr>
          <w:instrText xml:space="preserve"> PAGEREF _Toc391545400 \h </w:instrText>
        </w:r>
        <w:r w:rsidR="000822F5">
          <w:rPr>
            <w:webHidden/>
          </w:rPr>
        </w:r>
        <w:r w:rsidR="000822F5">
          <w:rPr>
            <w:webHidden/>
          </w:rPr>
          <w:fldChar w:fldCharType="separate"/>
        </w:r>
        <w:r w:rsidR="000822F5">
          <w:rPr>
            <w:webHidden/>
          </w:rPr>
          <w:t>134</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1" w:history="1">
        <w:r w:rsidR="000822F5" w:rsidRPr="00761014">
          <w:rPr>
            <w:rStyle w:val="Hyperlink"/>
          </w:rPr>
          <w:t>FRAMEWORK SCHEDULE 12: CONTINUOUS IMPROVEMENT AND BENCHMARKING</w:t>
        </w:r>
        <w:r w:rsidR="000822F5">
          <w:rPr>
            <w:webHidden/>
          </w:rPr>
          <w:tab/>
        </w:r>
        <w:r w:rsidR="000822F5">
          <w:rPr>
            <w:webHidden/>
          </w:rPr>
          <w:fldChar w:fldCharType="begin"/>
        </w:r>
        <w:r w:rsidR="000822F5">
          <w:rPr>
            <w:webHidden/>
          </w:rPr>
          <w:instrText xml:space="preserve"> PAGEREF _Toc391545401 \h </w:instrText>
        </w:r>
        <w:r w:rsidR="000822F5">
          <w:rPr>
            <w:webHidden/>
          </w:rPr>
        </w:r>
        <w:r w:rsidR="000822F5">
          <w:rPr>
            <w:webHidden/>
          </w:rPr>
          <w:fldChar w:fldCharType="separate"/>
        </w:r>
        <w:r w:rsidR="000822F5">
          <w:rPr>
            <w:webHidden/>
          </w:rPr>
          <w:t>135</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2" w:history="1">
        <w:r w:rsidR="000822F5" w:rsidRPr="00761014">
          <w:rPr>
            <w:rStyle w:val="Hyperlink"/>
          </w:rPr>
          <w:t>FRAMEWORK SCHEDULE 13: TEMPLATE GUARANTEE</w:t>
        </w:r>
        <w:r w:rsidR="000822F5">
          <w:rPr>
            <w:webHidden/>
          </w:rPr>
          <w:tab/>
        </w:r>
        <w:r w:rsidR="000822F5">
          <w:rPr>
            <w:webHidden/>
          </w:rPr>
          <w:fldChar w:fldCharType="begin"/>
        </w:r>
        <w:r w:rsidR="000822F5">
          <w:rPr>
            <w:webHidden/>
          </w:rPr>
          <w:instrText xml:space="preserve"> PAGEREF _Toc391545402 \h </w:instrText>
        </w:r>
        <w:r w:rsidR="000822F5">
          <w:rPr>
            <w:webHidden/>
          </w:rPr>
        </w:r>
        <w:r w:rsidR="000822F5">
          <w:rPr>
            <w:webHidden/>
          </w:rPr>
          <w:fldChar w:fldCharType="separate"/>
        </w:r>
        <w:r w:rsidR="000822F5">
          <w:rPr>
            <w:webHidden/>
          </w:rPr>
          <w:t>140</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4" w:history="1">
        <w:r w:rsidR="000822F5" w:rsidRPr="00761014">
          <w:rPr>
            <w:rStyle w:val="Hyperlink"/>
          </w:rPr>
          <w:t>FRAMEWORK SCHEDULE 14: INSURANCE REQUIREMENTS</w:t>
        </w:r>
        <w:r w:rsidR="000822F5">
          <w:rPr>
            <w:webHidden/>
          </w:rPr>
          <w:tab/>
        </w:r>
        <w:r w:rsidR="000822F5">
          <w:rPr>
            <w:webHidden/>
          </w:rPr>
          <w:fldChar w:fldCharType="begin"/>
        </w:r>
        <w:r w:rsidR="000822F5">
          <w:rPr>
            <w:webHidden/>
          </w:rPr>
          <w:instrText xml:space="preserve"> PAGEREF _Toc391545404 \h </w:instrText>
        </w:r>
        <w:r w:rsidR="000822F5">
          <w:rPr>
            <w:webHidden/>
          </w:rPr>
        </w:r>
        <w:r w:rsidR="000822F5">
          <w:rPr>
            <w:webHidden/>
          </w:rPr>
          <w:fldChar w:fldCharType="separate"/>
        </w:r>
        <w:r w:rsidR="000822F5">
          <w:rPr>
            <w:webHidden/>
          </w:rPr>
          <w:t>150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405" w:history="1">
        <w:r w:rsidR="000822F5" w:rsidRPr="00761014">
          <w:rPr>
            <w:rStyle w:val="Hyperlink"/>
          </w:rPr>
          <w:t>ANNEX 1: REQUIRED INSURANCES</w:t>
        </w:r>
        <w:r w:rsidR="000822F5">
          <w:rPr>
            <w:webHidden/>
          </w:rPr>
          <w:tab/>
        </w:r>
        <w:r w:rsidR="000822F5">
          <w:rPr>
            <w:webHidden/>
          </w:rPr>
          <w:fldChar w:fldCharType="begin"/>
        </w:r>
        <w:r w:rsidR="000822F5">
          <w:rPr>
            <w:webHidden/>
          </w:rPr>
          <w:instrText xml:space="preserve"> PAGEREF _Toc391545405 \h </w:instrText>
        </w:r>
        <w:r w:rsidR="000822F5">
          <w:rPr>
            <w:webHidden/>
          </w:rPr>
        </w:r>
        <w:r w:rsidR="000822F5">
          <w:rPr>
            <w:webHidden/>
          </w:rPr>
          <w:fldChar w:fldCharType="separate"/>
        </w:r>
        <w:r w:rsidR="000822F5">
          <w:rPr>
            <w:webHidden/>
          </w:rPr>
          <w:t>153</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6" w:history="1">
        <w:r w:rsidR="000822F5" w:rsidRPr="00761014">
          <w:rPr>
            <w:rStyle w:val="Hyperlink"/>
          </w:rPr>
          <w:t>FRAMEWORK SCHEDULE 15: NOTUSED</w:t>
        </w:r>
        <w:r w:rsidR="000822F5">
          <w:rPr>
            <w:webHidden/>
          </w:rPr>
          <w:tab/>
        </w:r>
        <w:r w:rsidR="000822F5">
          <w:rPr>
            <w:webHidden/>
          </w:rPr>
          <w:fldChar w:fldCharType="begin"/>
        </w:r>
        <w:r w:rsidR="000822F5">
          <w:rPr>
            <w:webHidden/>
          </w:rPr>
          <w:instrText xml:space="preserve"> PAGEREF _Toc391545406 \h </w:instrText>
        </w:r>
        <w:r w:rsidR="000822F5">
          <w:rPr>
            <w:webHidden/>
          </w:rPr>
        </w:r>
        <w:r w:rsidR="000822F5">
          <w:rPr>
            <w:webHidden/>
          </w:rPr>
          <w:fldChar w:fldCharType="separate"/>
        </w:r>
        <w:r w:rsidR="000822F5">
          <w:rPr>
            <w:webHidden/>
          </w:rPr>
          <w:t>157</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7" w:history="1">
        <w:r w:rsidR="000822F5" w:rsidRPr="00761014">
          <w:rPr>
            <w:rStyle w:val="Hyperlink"/>
          </w:rPr>
          <w:t>FRAMEWORK SCHEDULE 16: NOT USED</w:t>
        </w:r>
        <w:r w:rsidR="000822F5">
          <w:rPr>
            <w:webHidden/>
          </w:rPr>
          <w:tab/>
        </w:r>
        <w:r w:rsidR="000822F5">
          <w:rPr>
            <w:webHidden/>
          </w:rPr>
          <w:fldChar w:fldCharType="begin"/>
        </w:r>
        <w:r w:rsidR="000822F5">
          <w:rPr>
            <w:webHidden/>
          </w:rPr>
          <w:instrText xml:space="preserve"> PAGEREF _Toc391545407 \h </w:instrText>
        </w:r>
        <w:r w:rsidR="000822F5">
          <w:rPr>
            <w:webHidden/>
          </w:rPr>
        </w:r>
        <w:r w:rsidR="000822F5">
          <w:rPr>
            <w:webHidden/>
          </w:rPr>
          <w:fldChar w:fldCharType="separate"/>
        </w:r>
        <w:r w:rsidR="000822F5">
          <w:rPr>
            <w:webHidden/>
          </w:rPr>
          <w:t>158</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8" w:history="1">
        <w:r w:rsidR="000822F5" w:rsidRPr="00761014">
          <w:rPr>
            <w:rStyle w:val="Hyperlink"/>
          </w:rPr>
          <w:t>FRAMEWORK SCHEDULE 17: COMMERCIALLY SENSITIVE INFORMATION</w:t>
        </w:r>
        <w:r w:rsidR="000822F5">
          <w:rPr>
            <w:webHidden/>
          </w:rPr>
          <w:tab/>
        </w:r>
        <w:r w:rsidR="000822F5">
          <w:rPr>
            <w:webHidden/>
          </w:rPr>
          <w:fldChar w:fldCharType="begin"/>
        </w:r>
        <w:r w:rsidR="000822F5">
          <w:rPr>
            <w:webHidden/>
          </w:rPr>
          <w:instrText xml:space="preserve"> PAGEREF _Toc391545408 \h </w:instrText>
        </w:r>
        <w:r w:rsidR="000822F5">
          <w:rPr>
            <w:webHidden/>
          </w:rPr>
        </w:r>
        <w:r w:rsidR="000822F5">
          <w:rPr>
            <w:webHidden/>
          </w:rPr>
          <w:fldChar w:fldCharType="separate"/>
        </w:r>
        <w:r w:rsidR="000822F5">
          <w:rPr>
            <w:webHidden/>
          </w:rPr>
          <w:t>159</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09" w:history="1">
        <w:r w:rsidR="000822F5" w:rsidRPr="00761014">
          <w:rPr>
            <w:rStyle w:val="Hyperlink"/>
          </w:rPr>
          <w:t>FRAMEWORK SCHEDULE 18: DISPUTE RESOLUTION PROCEDURE</w:t>
        </w:r>
        <w:r w:rsidR="000822F5">
          <w:rPr>
            <w:webHidden/>
          </w:rPr>
          <w:tab/>
        </w:r>
        <w:r w:rsidR="000822F5">
          <w:rPr>
            <w:webHidden/>
          </w:rPr>
          <w:fldChar w:fldCharType="begin"/>
        </w:r>
        <w:r w:rsidR="000822F5">
          <w:rPr>
            <w:webHidden/>
          </w:rPr>
          <w:instrText xml:space="preserve"> PAGEREF _Toc391545409 \h </w:instrText>
        </w:r>
        <w:r w:rsidR="000822F5">
          <w:rPr>
            <w:webHidden/>
          </w:rPr>
        </w:r>
        <w:r w:rsidR="000822F5">
          <w:rPr>
            <w:webHidden/>
          </w:rPr>
          <w:fldChar w:fldCharType="separate"/>
        </w:r>
        <w:r w:rsidR="000822F5">
          <w:rPr>
            <w:webHidden/>
          </w:rPr>
          <w:t>160</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10" w:history="1">
        <w:r w:rsidR="000822F5" w:rsidRPr="00761014">
          <w:rPr>
            <w:rStyle w:val="Hyperlink"/>
          </w:rPr>
          <w:t>FRAMEWORK SCHEDULE 19: VARIATION FORM</w:t>
        </w:r>
        <w:r w:rsidR="000822F5">
          <w:rPr>
            <w:webHidden/>
          </w:rPr>
          <w:tab/>
        </w:r>
        <w:r w:rsidR="000822F5">
          <w:rPr>
            <w:webHidden/>
          </w:rPr>
          <w:fldChar w:fldCharType="begin"/>
        </w:r>
        <w:r w:rsidR="000822F5">
          <w:rPr>
            <w:webHidden/>
          </w:rPr>
          <w:instrText xml:space="preserve"> PAGEREF _Toc391545410 \h </w:instrText>
        </w:r>
        <w:r w:rsidR="000822F5">
          <w:rPr>
            <w:webHidden/>
          </w:rPr>
        </w:r>
        <w:r w:rsidR="000822F5">
          <w:rPr>
            <w:webHidden/>
          </w:rPr>
          <w:fldChar w:fldCharType="separate"/>
        </w:r>
        <w:r w:rsidR="000822F5">
          <w:rPr>
            <w:webHidden/>
          </w:rPr>
          <w:t>165</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11" w:history="1">
        <w:r w:rsidR="000822F5" w:rsidRPr="00761014">
          <w:rPr>
            <w:rStyle w:val="Hyperlink"/>
          </w:rPr>
          <w:t>FRAMEWORK SCHEDULE 20: TENDER</w:t>
        </w:r>
        <w:r w:rsidR="000822F5">
          <w:rPr>
            <w:webHidden/>
          </w:rPr>
          <w:tab/>
        </w:r>
        <w:r w:rsidR="000822F5">
          <w:rPr>
            <w:webHidden/>
          </w:rPr>
          <w:fldChar w:fldCharType="begin"/>
        </w:r>
        <w:r w:rsidR="000822F5">
          <w:rPr>
            <w:webHidden/>
          </w:rPr>
          <w:instrText xml:space="preserve"> PAGEREF _Toc391545411 \h </w:instrText>
        </w:r>
        <w:r w:rsidR="000822F5">
          <w:rPr>
            <w:webHidden/>
          </w:rPr>
        </w:r>
        <w:r w:rsidR="000822F5">
          <w:rPr>
            <w:webHidden/>
          </w:rPr>
          <w:fldChar w:fldCharType="separate"/>
        </w:r>
        <w:r w:rsidR="000822F5">
          <w:rPr>
            <w:webHidden/>
          </w:rPr>
          <w:t>166</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12" w:history="1">
        <w:r w:rsidR="000822F5" w:rsidRPr="00761014">
          <w:rPr>
            <w:rStyle w:val="Hyperlink"/>
          </w:rPr>
          <w:t>FRAMEWORK SCHEDULE 21: psn compliance</w:t>
        </w:r>
        <w:r w:rsidR="000822F5">
          <w:rPr>
            <w:webHidden/>
          </w:rPr>
          <w:tab/>
        </w:r>
        <w:r w:rsidR="000822F5">
          <w:rPr>
            <w:webHidden/>
          </w:rPr>
          <w:fldChar w:fldCharType="begin"/>
        </w:r>
        <w:r w:rsidR="000822F5">
          <w:rPr>
            <w:webHidden/>
          </w:rPr>
          <w:instrText xml:space="preserve"> PAGEREF _Toc391545412 \h </w:instrText>
        </w:r>
        <w:r w:rsidR="000822F5">
          <w:rPr>
            <w:webHidden/>
          </w:rPr>
        </w:r>
        <w:r w:rsidR="000822F5">
          <w:rPr>
            <w:webHidden/>
          </w:rPr>
          <w:fldChar w:fldCharType="separate"/>
        </w:r>
        <w:r w:rsidR="000822F5">
          <w:rPr>
            <w:webHidden/>
          </w:rPr>
          <w:t>167</w:t>
        </w:r>
        <w:r w:rsidR="000822F5">
          <w:rPr>
            <w:webHidden/>
          </w:rPr>
          <w:fldChar w:fldCharType="end"/>
        </w:r>
      </w:hyperlink>
    </w:p>
    <w:p w:rsidR="000822F5" w:rsidRDefault="00390EFB">
      <w:pPr>
        <w:pStyle w:val="TOC1"/>
        <w:rPr>
          <w:rFonts w:asciiTheme="minorHAnsi" w:eastAsiaTheme="minorEastAsia" w:hAnsiTheme="minorHAnsi" w:cstheme="minorBidi"/>
          <w:b w:val="0"/>
          <w:bCs w:val="0"/>
          <w:caps w:val="0"/>
        </w:rPr>
      </w:pPr>
      <w:hyperlink w:anchor="_Toc391545417" w:history="1">
        <w:r w:rsidR="000822F5" w:rsidRPr="00761014">
          <w:rPr>
            <w:rStyle w:val="Hyperlink"/>
          </w:rPr>
          <w:t>FRAMEWORK SCHEDULE 22: Service Catalogue Variation Form</w:t>
        </w:r>
        <w:r w:rsidR="000822F5">
          <w:rPr>
            <w:webHidden/>
          </w:rPr>
          <w:tab/>
        </w:r>
        <w:r w:rsidR="000822F5">
          <w:rPr>
            <w:webHidden/>
          </w:rPr>
          <w:fldChar w:fldCharType="begin"/>
        </w:r>
        <w:r w:rsidR="000822F5">
          <w:rPr>
            <w:webHidden/>
          </w:rPr>
          <w:instrText xml:space="preserve"> PAGEREF _Toc391545417 \h </w:instrText>
        </w:r>
        <w:r w:rsidR="000822F5">
          <w:rPr>
            <w:webHidden/>
          </w:rPr>
        </w:r>
        <w:r w:rsidR="000822F5">
          <w:rPr>
            <w:webHidden/>
          </w:rPr>
          <w:fldChar w:fldCharType="separate"/>
        </w:r>
        <w:r w:rsidR="000822F5">
          <w:rPr>
            <w:webHidden/>
          </w:rPr>
          <w:t>170</w:t>
        </w:r>
        <w:r w:rsidR="000822F5">
          <w:rPr>
            <w:webHidden/>
          </w:rPr>
          <w:fldChar w:fldCharType="end"/>
        </w:r>
      </w:hyperlink>
    </w:p>
    <w:p w:rsidR="000822F5" w:rsidRDefault="00390EFB">
      <w:pPr>
        <w:pStyle w:val="TOC2"/>
        <w:rPr>
          <w:rFonts w:asciiTheme="minorHAnsi" w:eastAsiaTheme="minorEastAsia" w:hAnsiTheme="minorHAnsi" w:cstheme="minorBidi"/>
          <w:b w:val="0"/>
          <w:bCs w:val="0"/>
          <w:lang w:eastAsia="en-GB"/>
        </w:rPr>
      </w:pPr>
      <w:hyperlink w:anchor="_Toc391545418" w:history="1">
        <w:r w:rsidR="000822F5" w:rsidRPr="00761014">
          <w:rPr>
            <w:rStyle w:val="Hyperlink"/>
          </w:rPr>
          <w:t>Annex 1: NEW SERVICE PACKAGE TEMPLATE</w:t>
        </w:r>
        <w:r w:rsidR="000822F5">
          <w:rPr>
            <w:webHidden/>
          </w:rPr>
          <w:tab/>
        </w:r>
        <w:r w:rsidR="000822F5">
          <w:rPr>
            <w:webHidden/>
          </w:rPr>
          <w:fldChar w:fldCharType="begin"/>
        </w:r>
        <w:r w:rsidR="000822F5">
          <w:rPr>
            <w:webHidden/>
          </w:rPr>
          <w:instrText xml:space="preserve"> PAGEREF _Toc391545418 \h </w:instrText>
        </w:r>
        <w:r w:rsidR="000822F5">
          <w:rPr>
            <w:webHidden/>
          </w:rPr>
        </w:r>
        <w:r w:rsidR="000822F5">
          <w:rPr>
            <w:webHidden/>
          </w:rPr>
          <w:fldChar w:fldCharType="separate"/>
        </w:r>
        <w:r w:rsidR="000822F5">
          <w:rPr>
            <w:webHidden/>
          </w:rPr>
          <w:t>172</w:t>
        </w:r>
        <w:r w:rsidR="000822F5">
          <w:rPr>
            <w:webHidden/>
          </w:rPr>
          <w:fldChar w:fldCharType="end"/>
        </w:r>
      </w:hyperlink>
    </w:p>
    <w:p w:rsidR="00340FD6" w:rsidRPr="00E076CA" w:rsidRDefault="00F71B15" w:rsidP="002E61F2">
      <w:r>
        <w:rPr>
          <w:noProof/>
          <w:lang w:eastAsia="en-GB"/>
        </w:rPr>
        <w:fldChar w:fldCharType="end"/>
      </w:r>
      <w:r w:rsidR="004F67FD">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505AE7">
        <w:t xml:space="preserve">4 September 2014 </w:t>
      </w:r>
      <w:r w:rsidR="00340FD6" w:rsidRPr="00E076CA">
        <w:rPr>
          <w:highlight w:val="yellow"/>
        </w:rPr>
        <w:t>]</w:t>
      </w:r>
    </w:p>
    <w:p w:rsidR="00D81DAD" w:rsidRDefault="001827DA">
      <w:r w:rsidRPr="001827DA">
        <w:rPr>
          <w:b/>
        </w:rPr>
        <w:t xml:space="preserve">BETWEEN: </w:t>
      </w:r>
      <w:bookmarkStart w:id="7" w:name="bmParticulars"/>
      <w:bookmarkEnd w:id="7"/>
    </w:p>
    <w:p w:rsidR="00F20C99" w:rsidRDefault="00340FD6">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E02BDA">
        <w:t>Crown Commercial</w:t>
      </w:r>
      <w:r w:rsidRPr="00A335C2">
        <w:t xml:space="preserve"> Service, a trading fund of the Cabinet Office, whose offices are located at 9th Floor, The Capital, Old Hall Street, Liverpool L3 9PP </w:t>
      </w:r>
      <w:r w:rsidR="0075700C">
        <w:t xml:space="preserve">acting as part of the Crown </w:t>
      </w:r>
      <w:r w:rsidRPr="00A335C2">
        <w:t xml:space="preserve">(the </w:t>
      </w:r>
      <w:r w:rsidR="008770CA" w:rsidRPr="008770CA">
        <w:t>"</w:t>
      </w:r>
      <w:r w:rsidRPr="00A335C2">
        <w:rPr>
          <w:b/>
        </w:rPr>
        <w:t>Authority</w:t>
      </w:r>
      <w:r w:rsidR="008770CA" w:rsidRPr="008770CA">
        <w:t>"</w:t>
      </w:r>
      <w:r w:rsidRPr="00A335C2">
        <w:t>);</w:t>
      </w:r>
    </w:p>
    <w:p w:rsidR="00F20C99" w:rsidRDefault="008770CA">
      <w:r>
        <w:t xml:space="preserve">(2) </w:t>
      </w:r>
      <w:r>
        <w:tab/>
      </w:r>
      <w:bookmarkEnd w:id="8"/>
      <w:r w:rsidR="00C735BB" w:rsidRPr="00A335C2">
        <w:t xml:space="preserve">which </w:t>
      </w:r>
      <w:r>
        <w:t xml:space="preserve">is a company registered in </w:t>
      </w:r>
      <w:r>
        <w:rPr>
          <w:highlight w:val="yellow"/>
        </w:rPr>
        <w:t>[England and Wales]</w:t>
      </w:r>
      <w:r>
        <w:t xml:space="preserve"> under company number </w:t>
      </w:r>
      <w:r w:rsidR="00340FD6" w:rsidRPr="00A335C2">
        <w:t>and whose registered office is at</w:t>
      </w:r>
      <w:r w:rsidRPr="008770CA">
        <w:rPr>
          <w:highlight w:val="yellow"/>
        </w:rPr>
        <w:t>]</w:t>
      </w:r>
      <w:r w:rsidRPr="008770CA">
        <w:t xml:space="preserve"> </w:t>
      </w:r>
      <w:r w:rsidR="00340FD6" w:rsidRPr="00A335C2">
        <w:t xml:space="preserve">(the </w:t>
      </w:r>
      <w:r w:rsidRPr="008770CA">
        <w:t>"Supplier"</w:t>
      </w:r>
      <w:r w:rsidR="00340FD6" w:rsidRPr="00A335C2">
        <w:t>).</w:t>
      </w:r>
    </w:p>
    <w:p w:rsidR="00D81DAD" w:rsidRDefault="001827DA">
      <w:r w:rsidRPr="001827DA">
        <w:rPr>
          <w:b/>
        </w:rPr>
        <w:t>RECITALS:</w:t>
      </w:r>
    </w:p>
    <w:p w:rsidR="00D81DAD" w:rsidRDefault="00340FD6">
      <w:pPr>
        <w:pStyle w:val="GPSRecitals"/>
      </w:pPr>
      <w:r w:rsidRPr="006875AD">
        <w:t xml:space="preserve">The Authority placed a contract notice </w:t>
      </w:r>
      <w:r w:rsidR="00E3332A">
        <w:rPr>
          <w:b/>
          <w:i/>
        </w:rPr>
        <w:t xml:space="preserve"> </w:t>
      </w:r>
      <w:r w:rsidR="00E3332A" w:rsidRPr="00390EFB">
        <w:rPr>
          <w:b/>
        </w:rPr>
        <w:t>2014/S 038-063086</w:t>
      </w:r>
      <w:r w:rsidRPr="006875AD">
        <w:t xml:space="preserve"> on </w:t>
      </w:r>
      <w:r w:rsidR="00E3332A">
        <w:t>22</w:t>
      </w:r>
      <w:r w:rsidR="00505AE7">
        <w:t xml:space="preserve"> February 2014 </w:t>
      </w:r>
      <w:r w:rsidRPr="006875AD">
        <w:t xml:space="preserve"> (the </w:t>
      </w:r>
      <w:r w:rsidRPr="006875AD">
        <w:rPr>
          <w:b/>
        </w:rPr>
        <w:t>"OJEU Notice"</w:t>
      </w:r>
      <w:r w:rsidRPr="006875AD">
        <w:t xml:space="preserve">) in the Official Journal of the European Union seeking </w:t>
      </w:r>
      <w:r w:rsidR="002B49ED" w:rsidRPr="00653669">
        <w:t>tenders</w:t>
      </w:r>
      <w:r w:rsidRPr="006875AD">
        <w:t xml:space="preserve"> from providers of </w:t>
      </w:r>
      <w:r w:rsidR="00D848A3" w:rsidRPr="00E74474">
        <w:t>managed</w:t>
      </w:r>
      <w:r w:rsidR="00D96F3F" w:rsidRPr="005A0B1B">
        <w:rPr>
          <w:i/>
        </w:rPr>
        <w:t xml:space="preserve"> </w:t>
      </w:r>
      <w:r w:rsidR="00D96F3F" w:rsidRPr="008972C2">
        <w:t>email services</w:t>
      </w:r>
      <w:r w:rsidRPr="006875AD">
        <w:t xml:space="preserve"> </w:t>
      </w:r>
      <w:r w:rsidR="0082160C">
        <w:t>interested in entering</w:t>
      </w:r>
      <w:r w:rsidRPr="006875AD">
        <w:t xml:space="preserve"> into a framework arrangement for the supply of </w:t>
      </w:r>
      <w:r w:rsidR="004B6F3F">
        <w:t>the</w:t>
      </w:r>
      <w:r w:rsidRPr="006875AD">
        <w:t xml:space="preserve"> </w:t>
      </w:r>
      <w:r w:rsidR="00C226F6" w:rsidRPr="006875AD">
        <w:t>Services</w:t>
      </w:r>
      <w:r w:rsidRPr="006875AD">
        <w:t xml:space="preserve"> to Contracting Bodies.</w:t>
      </w:r>
    </w:p>
    <w:p w:rsidR="00D81DAD" w:rsidRDefault="00D848A3">
      <w:pPr>
        <w:pStyle w:val="GPSRecitals"/>
      </w:pPr>
      <w:r>
        <w:t>T</w:t>
      </w:r>
      <w:r w:rsidR="00340FD6" w:rsidRPr="006875AD">
        <w:t xml:space="preserve">he Supplier </w:t>
      </w:r>
      <w:r w:rsidR="0082160C">
        <w:t>submitted</w:t>
      </w:r>
      <w:r w:rsidR="0004189B">
        <w:t xml:space="preserve"> a ten</w:t>
      </w:r>
      <w:r w:rsidR="0082160C">
        <w:t xml:space="preserve">der to the Authority on </w:t>
      </w:r>
      <w:r w:rsidR="00E3332A">
        <w:t>1</w:t>
      </w:r>
      <w:r w:rsidR="00505AE7">
        <w:t>5 July 2014</w:t>
      </w:r>
      <w:r w:rsidR="00E3332A">
        <w:t xml:space="preserve"> </w:t>
      </w:r>
      <w:r w:rsidR="0004189B">
        <w:t xml:space="preserve"> (set out in Framework Schedule </w:t>
      </w:r>
      <w:r w:rsidR="007C6448">
        <w:t>20</w:t>
      </w:r>
      <w:r w:rsidR="0004189B">
        <w:t xml:space="preserve"> (Tender)) (the </w:t>
      </w:r>
      <w:r w:rsidR="002E7CBD">
        <w:t>“</w:t>
      </w:r>
      <w:r w:rsidR="0004189B" w:rsidRPr="0004189B">
        <w:rPr>
          <w:b/>
        </w:rPr>
        <w:t>Tender</w:t>
      </w:r>
      <w:r w:rsidR="0004189B">
        <w:t>”)</w:t>
      </w:r>
      <w:r w:rsidR="0082160C">
        <w:t xml:space="preserve"> </w:t>
      </w:r>
      <w:r w:rsidR="0004189B">
        <w:t xml:space="preserve">through which it </w:t>
      </w:r>
      <w:r w:rsidR="00340FD6" w:rsidRPr="006875AD">
        <w:t xml:space="preserve">represented to the Authority that it is capable of delivering the </w:t>
      </w:r>
      <w:r w:rsidR="00C226F6" w:rsidRPr="006875AD">
        <w:t>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Services</w:t>
      </w:r>
      <w:r w:rsidR="00340FD6" w:rsidRPr="006875AD">
        <w:t xml:space="preserve"> in an efficient and cost effective manner.</w:t>
      </w:r>
    </w:p>
    <w:p w:rsidR="00D81DAD" w:rsidRDefault="00340FD6" w:rsidP="00113C48">
      <w:pPr>
        <w:pStyle w:val="GPSRecitals"/>
      </w:pPr>
      <w:r w:rsidRPr="006875AD">
        <w:t xml:space="preserve">On the basis of the Tender, the Authority selected the Supplier to enter into a framework agreement </w:t>
      </w:r>
      <w:r w:rsidR="002B49ED" w:rsidRPr="002B49ED">
        <w:rPr>
          <w:highlight w:val="yellow"/>
        </w:rPr>
        <w:t>for Lot</w:t>
      </w:r>
      <w:r w:rsidR="00E3332A">
        <w:t xml:space="preserve">3 Large Volume Email Implementation </w:t>
      </w:r>
      <w:r w:rsidR="002B49ED" w:rsidRPr="00443CF7">
        <w:t>along with a number of other suppliers appointed to the Framework</w:t>
      </w:r>
      <w:r w:rsidR="00D96F3F" w:rsidRPr="00443CF7">
        <w:t xml:space="preserve"> </w:t>
      </w:r>
      <w:r w:rsidRPr="00443CF7">
        <w:t xml:space="preserve">to provide the </w:t>
      </w:r>
      <w:r w:rsidR="00C226F6" w:rsidRPr="00443CF7">
        <w:t>Services</w:t>
      </w:r>
      <w:r w:rsidRPr="00443CF7">
        <w:t xml:space="preserve"> to Contracting Bodies from time to time on a call</w:t>
      </w:r>
      <w:r w:rsidR="00CF1F8A" w:rsidRPr="00443CF7">
        <w:t xml:space="preserve"> </w:t>
      </w:r>
      <w:r w:rsidRPr="00443CF7">
        <w:t>off basis in accordance</w:t>
      </w:r>
      <w:r w:rsidRPr="006875AD">
        <w:t xml:space="preserve"> with this Framework Agreement.</w:t>
      </w:r>
    </w:p>
    <w:p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Services</w:t>
      </w:r>
      <w:r w:rsidRPr="006875AD">
        <w:t xml:space="preserve"> which may be required by Contracting Bodies,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Contracting Bodies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pPr>
        <w:pStyle w:val="GPSRecitals"/>
      </w:pPr>
      <w:r w:rsidRPr="006875AD">
        <w:t xml:space="preserve">It is the Parties' intention that there will be no obligation for any Contracting Body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rsidR="00D81DAD" w:rsidRDefault="000736E8" w:rsidP="002E61F2">
      <w:pPr>
        <w:pStyle w:val="GPSSectionHeading"/>
      </w:pPr>
      <w:bookmarkStart w:id="9" w:name="_Toc354740834"/>
      <w:bookmarkStart w:id="10" w:name="_Toc366085123"/>
      <w:bookmarkStart w:id="11" w:name="_Toc379488016"/>
      <w:bookmarkStart w:id="12" w:name="_Toc380052120"/>
      <w:bookmarkStart w:id="13" w:name="_Toc380052630"/>
      <w:bookmarkStart w:id="14" w:name="_Toc391545315"/>
      <w:r w:rsidRPr="002E61F2">
        <w:t>PRELIMINARIES</w:t>
      </w:r>
      <w:bookmarkEnd w:id="9"/>
      <w:bookmarkEnd w:id="10"/>
      <w:bookmarkEnd w:id="11"/>
      <w:bookmarkEnd w:id="12"/>
      <w:bookmarkEnd w:id="13"/>
      <w:bookmarkEnd w:id="14"/>
    </w:p>
    <w:p w:rsidR="00D81DAD" w:rsidRDefault="001827DA" w:rsidP="002E61F2">
      <w:pPr>
        <w:pStyle w:val="GPSL1CLAUSEHEADING"/>
      </w:pPr>
      <w:bookmarkStart w:id="15" w:name="_Toc350353505"/>
      <w:bookmarkStart w:id="16" w:name="_Toc350353578"/>
      <w:bookmarkStart w:id="17" w:name="_Toc350353839"/>
      <w:bookmarkStart w:id="18" w:name="_Toc350353912"/>
      <w:bookmarkStart w:id="19" w:name="_Toc350353985"/>
      <w:bookmarkStart w:id="20" w:name="_Toc350354059"/>
      <w:bookmarkStart w:id="21" w:name="_Toc350354135"/>
      <w:bookmarkStart w:id="22" w:name="_Toc350354211"/>
      <w:bookmarkStart w:id="23" w:name="_Toc350354287"/>
      <w:bookmarkStart w:id="24" w:name="_Toc350354364"/>
      <w:bookmarkStart w:id="25" w:name="_Toc350354439"/>
      <w:bookmarkStart w:id="26" w:name="_Toc354740835"/>
      <w:bookmarkStart w:id="27" w:name="_Toc366085124"/>
      <w:bookmarkStart w:id="28" w:name="_Toc379488017"/>
      <w:bookmarkStart w:id="29" w:name="_Toc380052121"/>
      <w:bookmarkStart w:id="30" w:name="_Toc380052631"/>
      <w:bookmarkStart w:id="31" w:name="_Toc391545316"/>
      <w:bookmarkStart w:id="32" w:name="_Toc348637106"/>
      <w:bookmarkStart w:id="33" w:name="_Ref349138918"/>
      <w:bookmarkEnd w:id="15"/>
      <w:bookmarkEnd w:id="16"/>
      <w:bookmarkEnd w:id="17"/>
      <w:bookmarkEnd w:id="18"/>
      <w:bookmarkEnd w:id="19"/>
      <w:bookmarkEnd w:id="20"/>
      <w:bookmarkEnd w:id="21"/>
      <w:bookmarkEnd w:id="22"/>
      <w:bookmarkEnd w:id="23"/>
      <w:bookmarkEnd w:id="24"/>
      <w:bookmarkEnd w:id="25"/>
      <w:r w:rsidRPr="002E61F2">
        <w:t>DEFINITIONS</w:t>
      </w:r>
      <w:r w:rsidRPr="001827DA">
        <w:t xml:space="preserve"> </w:t>
      </w:r>
      <w:r w:rsidRPr="002E61F2">
        <w:t>AND</w:t>
      </w:r>
      <w:r w:rsidRPr="001827DA">
        <w:t xml:space="preserve"> INTERPRETATION</w:t>
      </w:r>
      <w:bookmarkEnd w:id="26"/>
      <w:bookmarkEnd w:id="27"/>
      <w:bookmarkEnd w:id="28"/>
      <w:bookmarkEnd w:id="29"/>
      <w:bookmarkEnd w:id="30"/>
      <w:bookmarkEnd w:id="31"/>
    </w:p>
    <w:p w:rsidR="00D81DAD" w:rsidRDefault="001827DA" w:rsidP="002E61F2">
      <w:pPr>
        <w:pStyle w:val="GPSL2NumberedBoldHeading"/>
      </w:pPr>
      <w:bookmarkStart w:id="34" w:name="_Ref354501142"/>
      <w:r w:rsidRPr="002E61F2">
        <w:t>Definitions</w:t>
      </w:r>
      <w:bookmarkEnd w:id="34"/>
    </w:p>
    <w:p w:rsidR="00D81DAD" w:rsidRDefault="00C04FED" w:rsidP="002E61F2">
      <w:pPr>
        <w:pStyle w:val="GPSL3numberedclause"/>
      </w:pPr>
      <w:bookmarkStart w:id="35" w:name="_Ref349143074"/>
      <w:bookmarkEnd w:id="32"/>
      <w:bookmarkEnd w:id="33"/>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rsidR="00D81DAD" w:rsidRDefault="00B02524" w:rsidP="002E61F2">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w:t>
      </w:r>
      <w:r>
        <w:lastRenderedPageBreak/>
        <w:t xml:space="preserve">Schedule, it shall have the meaning given to it in </w:t>
      </w:r>
      <w:r w:rsidR="00F7417A">
        <w:t xml:space="preserve">this </w:t>
      </w:r>
      <w:r>
        <w:t xml:space="preserve">Framework Agreement. If no meaning is given to it in </w:t>
      </w:r>
      <w:r w:rsidR="00F7417A">
        <w:t xml:space="preserve">this </w:t>
      </w:r>
      <w:r>
        <w:t xml:space="preserve">Framework Agreement, it shall in the first instance be interpreted in accordance with the common interpretation within the relevant market sector/industry where appropriate.  Otherwise, it shall be interpreted in accordance with the </w:t>
      </w:r>
      <w:r w:rsidR="00D96F3F">
        <w:t xml:space="preserve">Oxford English </w:t>
      </w:r>
      <w:r>
        <w:t>dictionary meaning.</w:t>
      </w:r>
    </w:p>
    <w:bookmarkEnd w:id="35"/>
    <w:p w:rsidR="00D81DAD" w:rsidRDefault="00BD2D66" w:rsidP="002E61F2">
      <w:pPr>
        <w:pStyle w:val="GPSL2NumberedBoldHeading"/>
      </w:pPr>
      <w:r>
        <w:t>Interpretation</w:t>
      </w:r>
    </w:p>
    <w:p w:rsidR="00D81DAD" w:rsidRDefault="009937A9" w:rsidP="002E61F2">
      <w:pPr>
        <w:pStyle w:val="GPSL3numberedclause"/>
      </w:pPr>
      <w:r w:rsidRPr="009F75E8">
        <w:t xml:space="preserve">In this </w:t>
      </w:r>
      <w:r>
        <w:t>Framework Agreement</w:t>
      </w:r>
      <w:r w:rsidRPr="009F75E8">
        <w:t>, unless the context otherwise requires</w:t>
      </w:r>
      <w:r w:rsidRPr="00893741">
        <w:t>:</w:t>
      </w:r>
    </w:p>
    <w:p w:rsidR="00D81DAD" w:rsidRDefault="009937A9" w:rsidP="007E26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rsidR="00D81DAD" w:rsidRDefault="00E540E3" w:rsidP="007E2634">
      <w:pPr>
        <w:pStyle w:val="GPSL4numberedclause"/>
      </w:pPr>
      <w:r w:rsidRPr="000C70F8">
        <w:t>r</w:t>
      </w:r>
      <w:r w:rsidR="009937A9" w:rsidRPr="000C70F8">
        <w:t>eference to a gender includes the other gender and the neute</w:t>
      </w:r>
      <w:r w:rsidR="009937A9" w:rsidRPr="009E2946">
        <w:t>r;</w:t>
      </w:r>
    </w:p>
    <w:p w:rsidR="00D81DAD" w:rsidRDefault="0047535E" w:rsidP="007E2634">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rsidR="00D81DAD" w:rsidRDefault="00A20DBC" w:rsidP="007E2634">
      <w:pPr>
        <w:pStyle w:val="GPSL4numberedclause"/>
      </w:pPr>
      <w:r w:rsidRPr="009E2946">
        <w:t>a reference to any Law includes a reference to that Law as amended, extended, consolidated or re-enacted from time to time;</w:t>
      </w:r>
    </w:p>
    <w:p w:rsidR="00D81DAD" w:rsidRDefault="008640C0" w:rsidP="007E26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D81DAD" w:rsidRDefault="00903609" w:rsidP="007E2634">
      <w:pPr>
        <w:pStyle w:val="GPSL4numberedclause"/>
      </w:pPr>
      <w:r>
        <w:tab/>
      </w:r>
      <w:r w:rsidR="008640C0">
        <w:t xml:space="preserve">references to </w:t>
      </w:r>
      <w:r w:rsidR="002E7CBD">
        <w:t>“</w:t>
      </w:r>
      <w:r w:rsidR="008640C0" w:rsidRPr="00903609">
        <w:t>writing</w:t>
      </w:r>
      <w:r w:rsidR="008640C0">
        <w:t xml:space="preserve">” </w:t>
      </w:r>
      <w:r w:rsidR="008640C0" w:rsidRPr="00D455A6">
        <w:t>include typing, printing, lithography, photography</w:t>
      </w:r>
      <w:r w:rsidR="008640C0">
        <w:t>, display on a screen, electronic and facsimile transmission</w:t>
      </w:r>
      <w:r w:rsidR="008640C0" w:rsidRPr="00D455A6">
        <w:t xml:space="preserve"> and other modes of representing or reproducing words in a visible form and expressions referring to wr</w:t>
      </w:r>
      <w:r w:rsidR="008640C0">
        <w:t>iting shall be construed accordingly;</w:t>
      </w:r>
    </w:p>
    <w:p w:rsidR="00D81DAD" w:rsidRDefault="00944C17" w:rsidP="007E2634">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D81DAD" w:rsidRDefault="008640C0" w:rsidP="007E26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D81DAD" w:rsidRDefault="00903609" w:rsidP="007E2634">
      <w:pPr>
        <w:pStyle w:val="GPSL4numberedclause"/>
      </w:pPr>
      <w:r>
        <w:tab/>
      </w:r>
      <w:r w:rsidR="008640C0">
        <w:t>any reference to this Framework Agreement includes Framework</w:t>
      </w:r>
      <w:r w:rsidR="00183FB8">
        <w:t xml:space="preserve"> Schedule 1 (Definitions)</w:t>
      </w:r>
      <w:r w:rsidR="008640C0">
        <w:t xml:space="preserve"> and the Framework Schedules; and</w:t>
      </w:r>
    </w:p>
    <w:p w:rsidR="00D81DAD" w:rsidRDefault="00903609" w:rsidP="007E2634">
      <w:pPr>
        <w:pStyle w:val="GPSL4numberedclause"/>
      </w:pPr>
      <w:r>
        <w:tab/>
      </w:r>
      <w:r w:rsidR="008640C0" w:rsidRPr="000C70F8">
        <w:t>the</w:t>
      </w:r>
      <w:r w:rsidR="008640C0">
        <w:t xml:space="preserve"> </w:t>
      </w:r>
      <w:r w:rsidR="008640C0" w:rsidRPr="006875AD">
        <w:t xml:space="preserve">headings in this Framework Agreement </w:t>
      </w:r>
      <w:r w:rsidR="008640C0">
        <w:t xml:space="preserve">are </w:t>
      </w:r>
      <w:r w:rsidR="008640C0" w:rsidRPr="006875AD">
        <w:t xml:space="preserve">for ease of reference only and shall not affect the </w:t>
      </w:r>
      <w:r w:rsidR="008640C0" w:rsidRPr="006875AD">
        <w:lastRenderedPageBreak/>
        <w:t>interpretation or construction of this Framework Agreement</w:t>
      </w:r>
      <w:r w:rsidR="008640C0">
        <w:t>.</w:t>
      </w:r>
    </w:p>
    <w:p w:rsidR="00D81DAD" w:rsidRDefault="00B906CF" w:rsidP="002E61F2">
      <w:pPr>
        <w:pStyle w:val="GPSL3numberedclause"/>
      </w:pPr>
      <w:bookmarkStart w:id="36" w:name="_Ref350358574"/>
      <w:r>
        <w:t xml:space="preserve">Subject to Clauses </w:t>
      </w:r>
      <w:r w:rsidR="00F71B15">
        <w:fldChar w:fldCharType="begin"/>
      </w:r>
      <w:r>
        <w:instrText xml:space="preserve"> REF _Ref350358581 \r \h </w:instrText>
      </w:r>
      <w:r w:rsidR="00F71B15">
        <w:fldChar w:fldCharType="separate"/>
      </w:r>
      <w:r w:rsidR="00B3040B">
        <w:t>1.2.3</w:t>
      </w:r>
      <w:r w:rsidR="00F71B15">
        <w:fldChar w:fldCharType="end"/>
      </w:r>
      <w:r>
        <w:t xml:space="preserve"> and </w:t>
      </w:r>
      <w:r w:rsidR="00F71B15">
        <w:fldChar w:fldCharType="begin"/>
      </w:r>
      <w:r>
        <w:instrText xml:space="preserve"> REF _Ref350934925 \r \h </w:instrText>
      </w:r>
      <w:r w:rsidR="00F71B15">
        <w:fldChar w:fldCharType="separate"/>
      </w:r>
      <w:r w:rsidR="00B3040B">
        <w:t>1.2.4</w:t>
      </w:r>
      <w:r w:rsidR="00F71B15">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6"/>
    </w:p>
    <w:p w:rsidR="00D81DAD" w:rsidRDefault="00C265F8" w:rsidP="007E2634">
      <w:pPr>
        <w:pStyle w:val="GPSL4numberedclause"/>
      </w:pPr>
      <w:r w:rsidRPr="00386AE6">
        <w:t>the Clauses</w:t>
      </w:r>
      <w:r w:rsidR="00AD4305" w:rsidRPr="00386AE6">
        <w:t xml:space="preserve"> and </w:t>
      </w:r>
      <w:r w:rsidR="00183FB8">
        <w:t>Framework Schedule 1 (Definitions)</w:t>
      </w:r>
      <w:r w:rsidR="00AD4305" w:rsidRPr="00386AE6">
        <w:t>;</w:t>
      </w:r>
    </w:p>
    <w:p w:rsidR="00D81DAD" w:rsidRDefault="00C265F8" w:rsidP="007E2634">
      <w:pPr>
        <w:pStyle w:val="GPSL4numberedclause"/>
      </w:pPr>
      <w:r w:rsidRPr="006875AD">
        <w:t xml:space="preserve">Framework Schedules </w:t>
      </w:r>
      <w:r w:rsidR="00D96F3F">
        <w:t>2</w:t>
      </w:r>
      <w:r w:rsidRPr="006875AD">
        <w:t xml:space="preserve"> to 1</w:t>
      </w:r>
      <w:r w:rsidR="00BE242E">
        <w:t>9 and 21 to 22</w:t>
      </w:r>
      <w:r w:rsidRPr="006875AD">
        <w:t xml:space="preserve"> inclusive</w:t>
      </w:r>
      <w:r w:rsidR="00C35B82" w:rsidRPr="006875AD">
        <w:t>;</w:t>
      </w:r>
    </w:p>
    <w:p w:rsidR="00D81DAD" w:rsidRDefault="00C35B82" w:rsidP="007E2634">
      <w:pPr>
        <w:pStyle w:val="GPSL4numberedclause"/>
      </w:pPr>
      <w:r w:rsidRPr="006875AD">
        <w:t xml:space="preserve">Framework Schedule </w:t>
      </w:r>
      <w:r w:rsidR="007C6448">
        <w:t>20</w:t>
      </w:r>
      <w:r w:rsidRPr="006875AD">
        <w:t xml:space="preserve"> (Tender).</w:t>
      </w:r>
    </w:p>
    <w:p w:rsidR="00D81DAD" w:rsidRDefault="00C265F8" w:rsidP="002E61F2">
      <w:pPr>
        <w:pStyle w:val="GPSL3numberedclause"/>
      </w:pPr>
      <w:bookmarkStart w:id="37"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7"/>
      <w:r w:rsidR="009206EC" w:rsidRPr="006875AD">
        <w:t xml:space="preserve"> </w:t>
      </w:r>
    </w:p>
    <w:p w:rsidR="00D81DAD" w:rsidRDefault="009206EC" w:rsidP="007E26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D81DAD" w:rsidRDefault="003141C7" w:rsidP="007E2634">
      <w:pPr>
        <w:pStyle w:val="GPSL4numberedclause"/>
      </w:pPr>
      <w:r>
        <w:t xml:space="preserve">subject to Clause </w:t>
      </w:r>
      <w:r w:rsidR="00F71B15">
        <w:fldChar w:fldCharType="begin"/>
      </w:r>
      <w:r w:rsidR="001827DA">
        <w:instrText xml:space="preserve"> REF _Ref350934925 \r \h </w:instrText>
      </w:r>
      <w:r w:rsidR="00F71B15">
        <w:fldChar w:fldCharType="separate"/>
      </w:r>
      <w:r w:rsidR="00B3040B">
        <w:t>1.2.4</w:t>
      </w:r>
      <w:r w:rsidR="00F71B15">
        <w:fldChar w:fldCharType="end"/>
      </w:r>
      <w:r>
        <w:t xml:space="preserve">, </w:t>
      </w:r>
      <w:r w:rsidR="004D2AEB" w:rsidRPr="006875AD">
        <w:t xml:space="preserve">the Call Off Agreement shall prevail over Framework Schedule </w:t>
      </w:r>
      <w:r w:rsidR="007C6448">
        <w:t>20</w:t>
      </w:r>
      <w:r w:rsidR="004D2AEB" w:rsidRPr="006875AD">
        <w:t xml:space="preserve"> (Tender).</w:t>
      </w:r>
    </w:p>
    <w:p w:rsidR="00D81DAD" w:rsidRDefault="009876AE" w:rsidP="002E61F2">
      <w:pPr>
        <w:pStyle w:val="GPSL3numberedclause"/>
      </w:pPr>
      <w:bookmarkStart w:id="38" w:name="_Ref350934925"/>
      <w:r w:rsidRPr="009876AE">
        <w:t xml:space="preserve">Where </w:t>
      </w:r>
      <w:r w:rsidR="00B906CF">
        <w:t xml:space="preserve">Framework Schedule </w:t>
      </w:r>
      <w:r w:rsidR="007C6448">
        <w:t>20</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8"/>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D81DAD" w:rsidRDefault="001827DA" w:rsidP="002E61F2">
      <w:pPr>
        <w:pStyle w:val="GPSL1CLAUSEHEADING"/>
      </w:pPr>
      <w:bookmarkStart w:id="39" w:name="_Toc348637107"/>
      <w:bookmarkStart w:id="40" w:name="_Toc354740836"/>
      <w:bookmarkStart w:id="41" w:name="_Toc366085125"/>
      <w:bookmarkStart w:id="42" w:name="_Toc379488018"/>
      <w:bookmarkStart w:id="43" w:name="_Toc380052122"/>
      <w:bookmarkStart w:id="44" w:name="_Toc380052632"/>
      <w:bookmarkStart w:id="45" w:name="_Toc391545317"/>
      <w:bookmarkStart w:id="46" w:name="_Ref311659292"/>
      <w:r w:rsidRPr="001827DA">
        <w:t>SUPPLIER'S APPOINTMENT</w:t>
      </w:r>
      <w:bookmarkEnd w:id="39"/>
      <w:bookmarkEnd w:id="40"/>
      <w:bookmarkEnd w:id="41"/>
      <w:bookmarkEnd w:id="42"/>
      <w:bookmarkEnd w:id="43"/>
      <w:bookmarkEnd w:id="44"/>
      <w:bookmarkEnd w:id="45"/>
    </w:p>
    <w:p w:rsidR="00D81DAD" w:rsidRDefault="001827DA" w:rsidP="002E61F2">
      <w:pPr>
        <w:pStyle w:val="GPSL2Numbered"/>
      </w:pPr>
      <w:r w:rsidRPr="001827DA">
        <w:t xml:space="preserve">The Authority hereby appoints the Supplier as a potential provider of the Services </w:t>
      </w:r>
      <w:r w:rsidR="009C3730" w:rsidRPr="009C3730">
        <w:rPr>
          <w:highlight w:val="yellow"/>
        </w:rPr>
        <w:t>in Lot</w:t>
      </w:r>
      <w:r w:rsidR="00843FDC">
        <w:t xml:space="preserve">3 Large Volume Email Implementation </w:t>
      </w:r>
      <w:r w:rsidR="009C3730">
        <w:t xml:space="preserve"> </w:t>
      </w:r>
      <w:r w:rsidR="00FF7967">
        <w:t xml:space="preserve">and </w:t>
      </w:r>
      <w:r w:rsidRPr="001827DA">
        <w:t>the Supplier shall be eligible to be considered for the award of Call Off Agreements by the Authority and Other Contracting Bodies</w:t>
      </w:r>
      <w:r w:rsidR="00DC21AC">
        <w:t xml:space="preserve"> in </w:t>
      </w:r>
      <w:r w:rsidR="003954B7" w:rsidRPr="003954B7">
        <w:rPr>
          <w:highlight w:val="yellow"/>
        </w:rPr>
        <w:t>that</w:t>
      </w:r>
      <w:r w:rsidR="00DC21AC">
        <w:t xml:space="preserve"> Lot</w:t>
      </w:r>
      <w:r w:rsidR="00843FDC">
        <w:t xml:space="preserve"> and by way of a reserved place in Lot 1 Small Volume Email Implementation and Lot 2 Medium Volume Email Implementation</w:t>
      </w:r>
      <w:r w:rsidR="00DC21AC">
        <w:t xml:space="preserve"> </w:t>
      </w:r>
      <w:r w:rsidRPr="001827DA">
        <w:t>during the Framework Period.</w:t>
      </w:r>
    </w:p>
    <w:p w:rsidR="00D81DAD" w:rsidRDefault="00340FD6" w:rsidP="002E61F2">
      <w:pPr>
        <w:pStyle w:val="GPSL2Numbered"/>
      </w:pPr>
      <w:bookmarkStart w:id="47" w:name="_Toc350353587"/>
      <w:bookmarkEnd w:id="47"/>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rsidR="00D81DAD" w:rsidRDefault="001827DA" w:rsidP="002E61F2">
      <w:pPr>
        <w:pStyle w:val="GPSL1CLAUSEHEADING"/>
      </w:pPr>
      <w:bookmarkStart w:id="48" w:name="_Ref311654688"/>
      <w:bookmarkStart w:id="49" w:name="_Toc335385407"/>
      <w:bookmarkStart w:id="50" w:name="_Toc348637108"/>
      <w:bookmarkStart w:id="51" w:name="_Toc354740837"/>
      <w:bookmarkStart w:id="52" w:name="_Toc366085126"/>
      <w:bookmarkStart w:id="53" w:name="_Toc379488019"/>
      <w:bookmarkStart w:id="54" w:name="_Toc380052123"/>
      <w:bookmarkStart w:id="55" w:name="_Toc380052633"/>
      <w:bookmarkStart w:id="56" w:name="_Toc391545318"/>
      <w:bookmarkEnd w:id="46"/>
      <w:r w:rsidRPr="001827DA">
        <w:t>SCOPE OF FRAMEWORK AGREEMENT</w:t>
      </w:r>
      <w:bookmarkEnd w:id="48"/>
      <w:bookmarkEnd w:id="49"/>
      <w:bookmarkEnd w:id="50"/>
      <w:bookmarkEnd w:id="51"/>
      <w:bookmarkEnd w:id="52"/>
      <w:bookmarkEnd w:id="53"/>
      <w:bookmarkEnd w:id="54"/>
      <w:bookmarkEnd w:id="55"/>
      <w:bookmarkEnd w:id="56"/>
    </w:p>
    <w:p w:rsidR="00D81DAD" w:rsidRDefault="00103F8B" w:rsidP="002E61F2">
      <w:pPr>
        <w:pStyle w:val="GPSL2Numbered"/>
      </w:pPr>
      <w:r w:rsidRPr="00835679">
        <w:t xml:space="preserve">Without prejudice to Clause </w:t>
      </w:r>
      <w:r w:rsidR="000822F5">
        <w:fldChar w:fldCharType="begin"/>
      </w:r>
      <w:r w:rsidR="000822F5">
        <w:instrText xml:space="preserve"> REF _Ref364954408 \r \h  \* MERGEFORMAT </w:instrText>
      </w:r>
      <w:r w:rsidR="000822F5">
        <w:fldChar w:fldCharType="separate"/>
      </w:r>
      <w:r w:rsidR="00B3040B">
        <w:t>42</w:t>
      </w:r>
      <w:r w:rsidR="000822F5">
        <w:fldChar w:fldCharType="end"/>
      </w:r>
      <w:r w:rsidRPr="00835679">
        <w:t xml:space="preserve"> (Third Party Rights), this Framework Agreement governs the relationship between the Authority and the Supplier in respect of the provision of the Services by the Supplier.</w:t>
      </w:r>
    </w:p>
    <w:p w:rsidR="00D81DAD" w:rsidRDefault="00340FD6" w:rsidP="002E61F2">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2E61F2">
      <w:pPr>
        <w:pStyle w:val="GPSL3numberedclause"/>
      </w:pPr>
      <w:r w:rsidRPr="006875AD">
        <w:lastRenderedPageBreak/>
        <w:t xml:space="preserve">there is no obligation whatsoever on the Authority or on any Other Contracting Body to invite or select the Supplier to provide any </w:t>
      </w:r>
      <w:r w:rsidR="00C226F6" w:rsidRPr="006875AD">
        <w:t>Services</w:t>
      </w:r>
      <w:r w:rsidRPr="006875AD">
        <w:t xml:space="preserve"> and/or to purchase any </w:t>
      </w:r>
      <w:r w:rsidR="00C226F6" w:rsidRPr="006875AD">
        <w:t>Services</w:t>
      </w:r>
      <w:r w:rsidRPr="006875AD">
        <w:t xml:space="preserve"> under this Framework Agreement</w:t>
      </w:r>
      <w:r w:rsidR="00CB5CBF">
        <w:t xml:space="preserve"> and</w:t>
      </w:r>
    </w:p>
    <w:p w:rsidR="00D81DAD" w:rsidRDefault="00CB5CBF" w:rsidP="002E61F2">
      <w:pPr>
        <w:pStyle w:val="GPSL3numberedclause"/>
      </w:pPr>
      <w:r w:rsidRPr="005F358F">
        <w:t>in entering into this Framework Agreement no form of exclusivity has been conferred on the Supplier nor volume or value guarantee granted by the Authority and/or Other Contracting Bodies in relation to the provision of the Services by the Supplier and that the Authority and Other Contracting Bodies are at all times entitled to enter into other contracts and agreements with other suppliers for the provision of any or all services which are the same as or similar to the Services.</w:t>
      </w:r>
    </w:p>
    <w:p w:rsidR="00D81DAD" w:rsidRDefault="001827DA" w:rsidP="002E61F2">
      <w:pPr>
        <w:pStyle w:val="GPSL2Numbered"/>
      </w:pPr>
      <w:r w:rsidRPr="001827DA">
        <w:t>In the event that any Other Contracting Body makes an approach to the Supplier with a request for the supply of Equivalent Services, the Supplier shall promptly and in any event within five (5) Working Days of the request by the Other Contracting Body, and before any supply of Equivalent Services is made, inform such Other Contracting Body of the existence of this Framework and the Other Contracting Body’s ability to award Call Off Agreements for Services pursuant to this Framework Agreement.</w:t>
      </w:r>
    </w:p>
    <w:p w:rsidR="00D81DAD" w:rsidRDefault="00D81DAD" w:rsidP="002E61F2">
      <w:pPr>
        <w:pStyle w:val="GPSL1CLAUSEHEADING"/>
      </w:pPr>
      <w:bookmarkStart w:id="57" w:name="_Ref365046531"/>
      <w:bookmarkStart w:id="58" w:name="_Toc366085127"/>
      <w:bookmarkStart w:id="59" w:name="_Toc379488020"/>
      <w:bookmarkStart w:id="60" w:name="_Toc380052124"/>
      <w:bookmarkStart w:id="61" w:name="_Toc380052634"/>
      <w:bookmarkStart w:id="62" w:name="_Toc391545319"/>
      <w:r w:rsidRPr="001827DA">
        <w:t>CALL OFF PROCEDURE</w:t>
      </w:r>
      <w:bookmarkEnd w:id="57"/>
      <w:bookmarkEnd w:id="58"/>
      <w:bookmarkEnd w:id="59"/>
      <w:bookmarkEnd w:id="60"/>
      <w:bookmarkEnd w:id="61"/>
      <w:bookmarkEnd w:id="62"/>
    </w:p>
    <w:p w:rsidR="00D81DAD" w:rsidRDefault="00D81DAD" w:rsidP="002E61F2">
      <w:pPr>
        <w:pStyle w:val="GPSL2Numbered"/>
      </w:pPr>
      <w:r w:rsidRPr="005F358F">
        <w:t>If the Authority or any Other Contracting Body decides to source any of the Services through this Framework Agreement, then it shall be entitled at any time in its absolute and sole discretion during the Framework Period to award Call Off Agreements for the Services from the Supplier by following Framework Schedule 5 (Call Off Procedure).</w:t>
      </w:r>
    </w:p>
    <w:p w:rsidR="00D81DAD" w:rsidRDefault="00D81DAD" w:rsidP="002E61F2">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D81DAD" w:rsidRDefault="00D81DAD" w:rsidP="002E61F2">
      <w:pPr>
        <w:pStyle w:val="GPSL1CLAUSEHEADING"/>
      </w:pPr>
      <w:bookmarkStart w:id="63" w:name="_Ref365046540"/>
      <w:bookmarkStart w:id="64" w:name="_Toc366085128"/>
      <w:bookmarkStart w:id="65" w:name="_Toc379488021"/>
      <w:bookmarkStart w:id="66" w:name="_Toc380052125"/>
      <w:bookmarkStart w:id="67" w:name="_Toc380052635"/>
      <w:bookmarkStart w:id="68" w:name="_Toc391545320"/>
      <w:r w:rsidRPr="001827DA">
        <w:t>ASSISTANCE IN RELATED PROCUREMENTS</w:t>
      </w:r>
      <w:bookmarkEnd w:id="63"/>
      <w:bookmarkEnd w:id="64"/>
      <w:bookmarkEnd w:id="65"/>
      <w:bookmarkEnd w:id="66"/>
      <w:bookmarkEnd w:id="67"/>
      <w:bookmarkEnd w:id="68"/>
    </w:p>
    <w:p w:rsidR="00D81DAD" w:rsidRDefault="00D81DAD" w:rsidP="002E61F2">
      <w:pPr>
        <w:pStyle w:val="GPSL2Numbered"/>
      </w:pPr>
      <w:bookmarkStart w:id="69" w:name="_Ref365554532"/>
      <w:r w:rsidRPr="006875AD">
        <w:t xml:space="preserve">Where a Relevant Supplier is bidding to provide New Services in circumstances where the Supplier or an </w:t>
      </w:r>
      <w:r w:rsidR="00745228">
        <w:t>Affiliate</w:t>
      </w:r>
      <w:r w:rsidRPr="006875AD">
        <w:t xml:space="preserve"> of the Supplier is already providing (or due to provide</w:t>
      </w:r>
      <w:r>
        <w:t>)</w:t>
      </w:r>
      <w:r w:rsidRPr="006875AD">
        <w:t xml:space="preserve"> Legacy Services to a Contracting Body, the Supplier shall promptly provide the relevant Contracting Body and/or the Relevant Supplier with all reasonable information and assistance as may be required from time to time to enable the relevant Contracting Body and/or the Relevant Supplier, as appropriate, to:</w:t>
      </w:r>
      <w:bookmarkEnd w:id="69"/>
    </w:p>
    <w:p w:rsidR="00D81DAD" w:rsidRDefault="00D81DAD" w:rsidP="002E61F2">
      <w:pPr>
        <w:pStyle w:val="GPSL3numberedclause"/>
      </w:pPr>
      <w:r w:rsidRPr="005F358F">
        <w:t>carry out appropriate due diligence with respect to the provision of the New Services;</w:t>
      </w:r>
    </w:p>
    <w:p w:rsidR="00D81DAD" w:rsidRDefault="00D81DAD" w:rsidP="002E61F2">
      <w:pPr>
        <w:pStyle w:val="GPSL3numberedclause"/>
      </w:pPr>
      <w:r w:rsidRPr="005F358F">
        <w:t>effect a smooth transfer and/or inter-operation (as the case may be) between the Legacy Services and the New Services;</w:t>
      </w:r>
    </w:p>
    <w:p w:rsidR="00D81DAD" w:rsidRDefault="00D81DAD" w:rsidP="002E61F2">
      <w:pPr>
        <w:pStyle w:val="GPSL3numberedclause"/>
      </w:pPr>
      <w:r w:rsidRPr="005F358F">
        <w:t>carry out a fair Further Competition Procedure for the New Services; and</w:t>
      </w:r>
    </w:p>
    <w:p w:rsidR="00D81DAD" w:rsidRDefault="00D81DAD" w:rsidP="002E61F2">
      <w:pPr>
        <w:pStyle w:val="GPSL3numberedclause"/>
      </w:pPr>
      <w:r w:rsidRPr="005F358F">
        <w:t>make a proper assessment as to the risk related to the New Services</w:t>
      </w:r>
      <w:r w:rsidRPr="006875AD">
        <w:t>.</w:t>
      </w:r>
    </w:p>
    <w:p w:rsidR="00D81DAD" w:rsidRDefault="00D81DAD" w:rsidP="002E61F2">
      <w:pPr>
        <w:pStyle w:val="GPSL2Numbered"/>
      </w:pPr>
      <w:r w:rsidRPr="006875AD">
        <w:t>When performing its obligations in Clause </w:t>
      </w:r>
      <w:r w:rsidR="00F71B15">
        <w:fldChar w:fldCharType="begin"/>
      </w:r>
      <w:r w:rsidR="00476FF7">
        <w:instrText xml:space="preserve"> REF _Ref365554532 \r \h </w:instrText>
      </w:r>
      <w:r w:rsidR="00F71B15">
        <w:fldChar w:fldCharType="separate"/>
      </w:r>
      <w:r w:rsidR="00B3040B">
        <w:t>5.1</w:t>
      </w:r>
      <w:r w:rsidR="00F71B15">
        <w:fldChar w:fldCharType="end"/>
      </w:r>
      <w:r>
        <w:t xml:space="preserve"> </w:t>
      </w:r>
      <w:r w:rsidRPr="006875AD">
        <w:t>the Supplier shall act consistently, applying principles of equal treatment and non-discrimination, with regard to requests for assistance from and dealings with each Relevant Supplier.</w:t>
      </w:r>
    </w:p>
    <w:p w:rsidR="00D81DAD" w:rsidRDefault="001827DA" w:rsidP="002E61F2">
      <w:pPr>
        <w:pStyle w:val="GPSL1CLAUSEHEADING"/>
      </w:pPr>
      <w:bookmarkStart w:id="70" w:name="_Ref311654733"/>
      <w:bookmarkStart w:id="71" w:name="_Toc335385410"/>
      <w:bookmarkStart w:id="72" w:name="_Toc348637111"/>
      <w:bookmarkStart w:id="73" w:name="_Ref349138490"/>
      <w:bookmarkStart w:id="74" w:name="_Ref349140180"/>
      <w:bookmarkStart w:id="75" w:name="_Ref350355336"/>
      <w:bookmarkStart w:id="76" w:name="_Toc354740840"/>
      <w:bookmarkStart w:id="77" w:name="_Toc366085129"/>
      <w:bookmarkStart w:id="78" w:name="_Toc379488022"/>
      <w:bookmarkStart w:id="79" w:name="_Toc380052126"/>
      <w:bookmarkStart w:id="80" w:name="_Toc380052636"/>
      <w:bookmarkStart w:id="81" w:name="_Toc391545321"/>
      <w:r w:rsidRPr="001827DA">
        <w:t>REPRESENTATIONS</w:t>
      </w:r>
      <w:bookmarkEnd w:id="70"/>
      <w:r w:rsidRPr="001827DA">
        <w:t xml:space="preserve"> AND </w:t>
      </w:r>
      <w:bookmarkEnd w:id="71"/>
      <w:bookmarkEnd w:id="72"/>
      <w:bookmarkEnd w:id="73"/>
      <w:bookmarkEnd w:id="74"/>
      <w:bookmarkEnd w:id="75"/>
      <w:bookmarkEnd w:id="76"/>
      <w:r w:rsidRPr="001827DA">
        <w:t>WARRANTIES</w:t>
      </w:r>
      <w:bookmarkEnd w:id="77"/>
      <w:bookmarkEnd w:id="78"/>
      <w:bookmarkEnd w:id="79"/>
      <w:bookmarkEnd w:id="80"/>
      <w:bookmarkEnd w:id="81"/>
    </w:p>
    <w:p w:rsidR="00D81DAD" w:rsidRDefault="000C62E2" w:rsidP="002E61F2">
      <w:pPr>
        <w:pStyle w:val="GPSL2Numbered"/>
      </w:pPr>
      <w:bookmarkStart w:id="82" w:name="_Ref358210076"/>
      <w:bookmarkStart w:id="83" w:name="_Ref311652303"/>
      <w:r w:rsidRPr="00893741">
        <w:lastRenderedPageBreak/>
        <w:t>Each Party represents and warrants that:</w:t>
      </w:r>
      <w:bookmarkEnd w:id="82"/>
    </w:p>
    <w:p w:rsidR="00D81DAD" w:rsidRDefault="000C62E2" w:rsidP="002E61F2">
      <w:pPr>
        <w:pStyle w:val="GPSL3numberedclause"/>
      </w:pPr>
      <w:r w:rsidRPr="00893741">
        <w:t xml:space="preserve">it has full capacity and authority to enter into and to perform this </w:t>
      </w:r>
      <w:r>
        <w:t>Framework Agreement</w:t>
      </w:r>
      <w:r w:rsidRPr="00893741">
        <w:t xml:space="preserve">; </w:t>
      </w:r>
    </w:p>
    <w:p w:rsidR="00D81DAD" w:rsidRDefault="000C62E2" w:rsidP="002E61F2">
      <w:pPr>
        <w:pStyle w:val="GPSL3numberedclause"/>
      </w:pPr>
      <w:r w:rsidRPr="00893741">
        <w:t xml:space="preserve">this </w:t>
      </w:r>
      <w:r w:rsidR="000C17C0">
        <w:t>Framework Agreement</w:t>
      </w:r>
      <w:r w:rsidRPr="00893741">
        <w:t xml:space="preserve"> is executed by its duly authorised representative;</w:t>
      </w:r>
    </w:p>
    <w:p w:rsidR="00D81DAD" w:rsidRDefault="000C62E2" w:rsidP="002E61F2">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2E61F2">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2E61F2">
      <w:pPr>
        <w:pStyle w:val="GPSL2Numbered"/>
      </w:pPr>
      <w:bookmarkStart w:id="84"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83"/>
      <w:bookmarkEnd w:id="84"/>
    </w:p>
    <w:p w:rsidR="00D81DAD" w:rsidRDefault="006A2A42" w:rsidP="002E61F2">
      <w:pPr>
        <w:pStyle w:val="GPSL3numberedclause"/>
      </w:pPr>
      <w:r w:rsidRPr="00893741">
        <w:t xml:space="preserve">it is validly incorporated, organised and subsisting in accordance with the Laws of its place of incorporation; </w:t>
      </w:r>
    </w:p>
    <w:p w:rsidR="00D81DAD" w:rsidRDefault="006A2A42" w:rsidP="002E61F2">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2E61F2">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rsidR="00D81DAD" w:rsidRDefault="006A2A42" w:rsidP="002E61F2">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Default="006A2A42" w:rsidP="002E61F2">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 including without limitation to the PQQ (if applicable)</w:t>
      </w:r>
      <w:r>
        <w:t>,</w:t>
      </w:r>
      <w:r w:rsidRPr="00893741">
        <w:t xml:space="preserve"> its Tender, and any other documents submitted remain true and accurate except to the extent that such statements and representations have been superseded or varied by this </w:t>
      </w:r>
      <w:r w:rsidR="00EA1DBA">
        <w:t>Framework Agreement</w:t>
      </w:r>
      <w:r w:rsidRPr="00893741">
        <w:t>;</w:t>
      </w:r>
    </w:p>
    <w:p w:rsidR="00D81DAD" w:rsidRDefault="006A2A42" w:rsidP="002E61F2">
      <w:pPr>
        <w:pStyle w:val="GPSL3numberedclause"/>
      </w:pPr>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p>
    <w:p w:rsidR="00D81DAD" w:rsidRDefault="006A2A42" w:rsidP="002E61F2">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w:t>
      </w:r>
      <w:r w:rsidRPr="00893741">
        <w:lastRenderedPageBreak/>
        <w:t xml:space="preserve">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2E61F2">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Bodies.</w:t>
      </w:r>
    </w:p>
    <w:p w:rsidR="00D81DAD" w:rsidRDefault="006A2A42" w:rsidP="002E61F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rsidR="00D81DAD" w:rsidRDefault="006A2A42" w:rsidP="002E61F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rsidR="00D81DAD" w:rsidRDefault="009B5285" w:rsidP="002E61F2">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Contracting Body who has been associated with the procurement and/or provision  of the Services without Approval or the prior written consent of the relevant Contracting Body;</w:t>
      </w:r>
      <w:r>
        <w:t xml:space="preserve"> and</w:t>
      </w:r>
    </w:p>
    <w:p w:rsidR="00D81DAD" w:rsidRDefault="009B5285" w:rsidP="002E61F2">
      <w:pPr>
        <w:pStyle w:val="GPSL3numberedclause"/>
      </w:pPr>
      <w:r>
        <w:t>in performing its obligations under this Framework Agreement and any Call Off Agreement, the Supplier shall not (to the extent possible in the circumstances) discriminate between Contracting Bodies on the basis of their respective sizes.</w:t>
      </w:r>
    </w:p>
    <w:p w:rsidR="00222E09" w:rsidRDefault="00222E09" w:rsidP="002E61F2">
      <w:pPr>
        <w:pStyle w:val="GPSL3numberedclause"/>
      </w:pPr>
      <w:r w:rsidRPr="00222E09">
        <w:t>The Supplier shall not be considered in breach of Clause 6.2.11 where such member of staff of the Authority, or Contracting Body is employed following a successful application submitted in response to a job advertisement placed in the national, regional or professional press or in any other form of media used for recruitment.</w:t>
      </w:r>
    </w:p>
    <w:p w:rsidR="00D81DAD" w:rsidRDefault="006A2A42" w:rsidP="002E61F2">
      <w:pPr>
        <w:pStyle w:val="GPSL2Numbered"/>
      </w:pPr>
      <w:r w:rsidRPr="005F764F">
        <w:t>Each of the representations</w:t>
      </w:r>
      <w:r w:rsidR="00135BDC">
        <w:t xml:space="preserve"> and</w:t>
      </w:r>
      <w:r w:rsidRPr="005F764F">
        <w:t xml:space="preserve"> warranties set out in Clauses </w:t>
      </w:r>
      <w:r w:rsidR="000822F5">
        <w:fldChar w:fldCharType="begin"/>
      </w:r>
      <w:r w:rsidR="000822F5">
        <w:instrText xml:space="preserve"> REF _Ref358210076 \r \h  \* MERGEFORMAT </w:instrText>
      </w:r>
      <w:r w:rsidR="000822F5">
        <w:fldChar w:fldCharType="separate"/>
      </w:r>
      <w:r w:rsidR="00B3040B">
        <w:t>6.1</w:t>
      </w:r>
      <w:r w:rsidR="000822F5">
        <w:fldChar w:fldCharType="end"/>
      </w:r>
      <w:r w:rsidRPr="005F764F">
        <w:t xml:space="preserve"> and </w:t>
      </w:r>
      <w:r w:rsidR="00F71B15">
        <w:fldChar w:fldCharType="begin"/>
      </w:r>
      <w:r w:rsidR="001827DA">
        <w:instrText xml:space="preserve"> REF _Ref361398731 \r \h </w:instrText>
      </w:r>
      <w:r w:rsidR="00F71B15">
        <w:fldChar w:fldCharType="separate"/>
      </w:r>
      <w:r w:rsidR="00B3040B">
        <w:t>6.2</w:t>
      </w:r>
      <w:r w:rsidR="00F71B15">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rsidR="00D81DAD" w:rsidRDefault="006A2A42" w:rsidP="002E61F2">
      <w:pPr>
        <w:pStyle w:val="GPSL2Numbered"/>
      </w:pPr>
      <w:r w:rsidRPr="005F764F">
        <w:t>If at any time a Party becomes aware that a representation</w:t>
      </w:r>
      <w:r w:rsidR="00135BDC">
        <w:t xml:space="preserve"> or</w:t>
      </w:r>
      <w:r w:rsidRPr="005F764F">
        <w:t xml:space="preserve"> warranty given by it under Clauses </w:t>
      </w:r>
      <w:r w:rsidR="000822F5">
        <w:fldChar w:fldCharType="begin"/>
      </w:r>
      <w:r w:rsidR="000822F5">
        <w:instrText xml:space="preserve"> REF _Ref358210076 \r \h  \* MERGEFORMAT </w:instrText>
      </w:r>
      <w:r w:rsidR="000822F5">
        <w:fldChar w:fldCharType="separate"/>
      </w:r>
      <w:r w:rsidR="00B3040B">
        <w:t>6.1</w:t>
      </w:r>
      <w:r w:rsidR="000822F5">
        <w:fldChar w:fldCharType="end"/>
      </w:r>
      <w:r w:rsidRPr="005F764F">
        <w:t xml:space="preserve"> and </w:t>
      </w:r>
      <w:r w:rsidR="00F71B15">
        <w:fldChar w:fldCharType="begin"/>
      </w:r>
      <w:r w:rsidR="001827DA">
        <w:instrText xml:space="preserve"> REF _Ref361398731 \r \h </w:instrText>
      </w:r>
      <w:r w:rsidR="00F71B15">
        <w:fldChar w:fldCharType="separate"/>
      </w:r>
      <w:r w:rsidR="00B3040B">
        <w:t>6.2</w:t>
      </w:r>
      <w:r w:rsidR="00F71B15">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D81DAD" w:rsidRDefault="006A2A42" w:rsidP="002E61F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w:t>
      </w:r>
      <w:r w:rsidRPr="001D1079">
        <w:lastRenderedPageBreak/>
        <w:t xml:space="preserve">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D81DAD" w:rsidRDefault="00293000" w:rsidP="002E61F2">
      <w:pPr>
        <w:pStyle w:val="GPSL2Numbered"/>
      </w:pPr>
      <w:r>
        <w:t xml:space="preserve">Each time that a Call Off Agreement is entered into, the </w:t>
      </w:r>
      <w:r w:rsidR="00135BDC">
        <w:t>warranties and</w:t>
      </w:r>
      <w:r>
        <w:t xml:space="preserve"> representations in Clauses </w:t>
      </w:r>
      <w:r w:rsidR="000822F5">
        <w:fldChar w:fldCharType="begin"/>
      </w:r>
      <w:r w:rsidR="000822F5">
        <w:instrText xml:space="preserve"> REF _Ref358210076 \r \h  \* MERGEFORMAT </w:instrText>
      </w:r>
      <w:r w:rsidR="000822F5">
        <w:fldChar w:fldCharType="separate"/>
      </w:r>
      <w:r w:rsidR="00B3040B">
        <w:t>6.1</w:t>
      </w:r>
      <w:r w:rsidR="000822F5">
        <w:fldChar w:fldCharType="end"/>
      </w:r>
      <w:r w:rsidR="00B906CF" w:rsidRPr="005F764F">
        <w:t xml:space="preserve"> and </w:t>
      </w:r>
      <w:r w:rsidR="00F71B15">
        <w:fldChar w:fldCharType="begin"/>
      </w:r>
      <w:r w:rsidR="00B906CF">
        <w:instrText xml:space="preserve"> REF _Ref361398731 \r \h </w:instrText>
      </w:r>
      <w:r w:rsidR="00F71B15">
        <w:fldChar w:fldCharType="separate"/>
      </w:r>
      <w:r w:rsidR="00B3040B">
        <w:t>6.2</w:t>
      </w:r>
      <w:r w:rsidR="00F71B15">
        <w:fldChar w:fldCharType="end"/>
      </w:r>
      <w:r w:rsidR="00B906CF">
        <w:t xml:space="preserve"> </w:t>
      </w:r>
      <w:r>
        <w:t>shall be deemed to be repeated by the Supplier with reference to the circumstances existing at the time.</w:t>
      </w:r>
    </w:p>
    <w:p w:rsidR="00D81DAD" w:rsidRPr="00B6625F" w:rsidRDefault="00225C7E" w:rsidP="002E61F2">
      <w:pPr>
        <w:pStyle w:val="GPSL1CLAUSEHEADING"/>
      </w:pPr>
      <w:bookmarkStart w:id="85" w:name="_Ref364954598"/>
      <w:bookmarkStart w:id="86" w:name="_Toc366085130"/>
      <w:bookmarkStart w:id="87" w:name="_Toc379488023"/>
      <w:bookmarkStart w:id="88" w:name="_Toc380052127"/>
      <w:bookmarkStart w:id="89" w:name="_Toc380052637"/>
      <w:bookmarkStart w:id="90" w:name="_Toc391545322"/>
      <w:r w:rsidRPr="00225C7E">
        <w:t>GUARANTEE</w:t>
      </w:r>
      <w:bookmarkEnd w:id="85"/>
      <w:bookmarkEnd w:id="86"/>
      <w:bookmarkEnd w:id="87"/>
      <w:bookmarkEnd w:id="88"/>
      <w:bookmarkEnd w:id="89"/>
      <w:bookmarkEnd w:id="90"/>
    </w:p>
    <w:p w:rsidR="00D81DAD" w:rsidRPr="00B6625F" w:rsidRDefault="00225C7E" w:rsidP="002E61F2">
      <w:pPr>
        <w:pStyle w:val="GPSL2Numbered"/>
      </w:pPr>
      <w:bookmarkStart w:id="91" w:name="_Ref365037968"/>
      <w:r w:rsidRPr="00225C7E">
        <w:t>Where the Authority notifies the Supplier that the award of this Framework Agreement shall be conditional upon receipt of a valid Framework Guarantee, then on or prior to the execution of the Framework Agreement the Supplier shall deliver to the Authority:</w:t>
      </w:r>
      <w:bookmarkEnd w:id="91"/>
    </w:p>
    <w:p w:rsidR="00D81DAD" w:rsidRPr="00B6625F" w:rsidRDefault="00225C7E" w:rsidP="002E61F2">
      <w:pPr>
        <w:pStyle w:val="GPSL3numberedclause"/>
      </w:pPr>
      <w:r w:rsidRPr="00225C7E">
        <w:t>an executed Framework Guarantee from a Framework Guarantor; and</w:t>
      </w:r>
    </w:p>
    <w:p w:rsidR="00D81DAD" w:rsidRPr="00B6625F" w:rsidRDefault="00225C7E" w:rsidP="002E61F2">
      <w:pPr>
        <w:pStyle w:val="GPSL3numberedclause"/>
      </w:pPr>
      <w:r w:rsidRPr="00225C7E">
        <w:t xml:space="preserve">a certified copy extract of the board minutes and/or resolution of the Framework Guarantor approving the execution of the Framework Guarantee. </w:t>
      </w:r>
    </w:p>
    <w:p w:rsidR="00D81DAD" w:rsidRPr="00B6625F" w:rsidRDefault="00225C7E" w:rsidP="002E61F2">
      <w:pPr>
        <w:pStyle w:val="GPSL2Numbered"/>
      </w:pPr>
      <w:r w:rsidRPr="00225C7E">
        <w:rPr>
          <w:b/>
          <w:i/>
        </w:rPr>
        <w:t xml:space="preserve"> </w:t>
      </w:r>
      <w:bookmarkStart w:id="92" w:name="_Ref364954774"/>
      <w:r w:rsidRPr="00225C7E">
        <w:t>Where a Contracting Body notifies the Supplier that the award of a Call Off Agreement by that Contracting Body shall be conditional upon receipt of a valid Call Off Guarantee, then, on or prior to the execution of that Call Off Agreement the Supplier shall deliver to the Contracting Body:</w:t>
      </w:r>
      <w:bookmarkEnd w:id="92"/>
      <w:r w:rsidRPr="00225C7E">
        <w:t xml:space="preserve"> </w:t>
      </w:r>
    </w:p>
    <w:p w:rsidR="00D81DAD" w:rsidRPr="00B6625F" w:rsidRDefault="00225C7E" w:rsidP="002E61F2">
      <w:pPr>
        <w:pStyle w:val="GPSL3numberedclause"/>
      </w:pPr>
      <w:r w:rsidRPr="00225C7E">
        <w:t>an executed Call Off Guarantee from a Call Off Guarantor; and</w:t>
      </w:r>
    </w:p>
    <w:p w:rsidR="00D81DAD" w:rsidRPr="00B6625F" w:rsidRDefault="00225C7E" w:rsidP="002E61F2">
      <w:pPr>
        <w:pStyle w:val="GPSL3numberedclause"/>
      </w:pPr>
      <w:r w:rsidRPr="00225C7E">
        <w:t>a certified copy extract of the board minutes and/or resolution of the Call Off Guarantor approving the execution of the Call Off Guarantee.</w:t>
      </w:r>
    </w:p>
    <w:p w:rsidR="00D81DAD" w:rsidRDefault="00D81DAD" w:rsidP="00F20C99">
      <w:pPr>
        <w:pStyle w:val="GPSL2Guidance"/>
      </w:pPr>
    </w:p>
    <w:p w:rsidR="00D81DAD" w:rsidRDefault="000736E8" w:rsidP="002E61F2">
      <w:pPr>
        <w:pStyle w:val="GPSSectionHeading"/>
      </w:pPr>
      <w:bookmarkStart w:id="93" w:name="_Toc365359178"/>
      <w:bookmarkStart w:id="94" w:name="_Toc365370750"/>
      <w:bookmarkStart w:id="95" w:name="_Toc365370975"/>
      <w:bookmarkStart w:id="96" w:name="_Toc365371075"/>
      <w:bookmarkStart w:id="97" w:name="_Toc365371174"/>
      <w:bookmarkStart w:id="98" w:name="_Toc365373704"/>
      <w:bookmarkStart w:id="99" w:name="_Toc365373799"/>
      <w:bookmarkStart w:id="100" w:name="_Toc365373896"/>
      <w:bookmarkStart w:id="101" w:name="_Toc365359179"/>
      <w:bookmarkStart w:id="102" w:name="_Toc365370751"/>
      <w:bookmarkStart w:id="103" w:name="_Toc365370976"/>
      <w:bookmarkStart w:id="104" w:name="_Toc365371076"/>
      <w:bookmarkStart w:id="105" w:name="_Toc365371175"/>
      <w:bookmarkStart w:id="106" w:name="_Toc365373705"/>
      <w:bookmarkStart w:id="107" w:name="_Toc365373800"/>
      <w:bookmarkStart w:id="108" w:name="_Toc365373897"/>
      <w:bookmarkStart w:id="109" w:name="_Toc365359180"/>
      <w:bookmarkStart w:id="110" w:name="_Toc365370752"/>
      <w:bookmarkStart w:id="111" w:name="_Toc365370977"/>
      <w:bookmarkStart w:id="112" w:name="_Toc365371077"/>
      <w:bookmarkStart w:id="113" w:name="_Toc365371176"/>
      <w:bookmarkStart w:id="114" w:name="_Toc365373706"/>
      <w:bookmarkStart w:id="115" w:name="_Toc365373801"/>
      <w:bookmarkStart w:id="116" w:name="_Toc365373898"/>
      <w:bookmarkStart w:id="117" w:name="_Toc365359181"/>
      <w:bookmarkStart w:id="118" w:name="_Toc365370753"/>
      <w:bookmarkStart w:id="119" w:name="_Toc365370978"/>
      <w:bookmarkStart w:id="120" w:name="_Toc365371078"/>
      <w:bookmarkStart w:id="121" w:name="_Toc365371177"/>
      <w:bookmarkStart w:id="122" w:name="_Toc365373707"/>
      <w:bookmarkStart w:id="123" w:name="_Toc365373802"/>
      <w:bookmarkStart w:id="124" w:name="_Toc365373899"/>
      <w:bookmarkStart w:id="125" w:name="_Toc365359182"/>
      <w:bookmarkStart w:id="126" w:name="_Toc365370754"/>
      <w:bookmarkStart w:id="127" w:name="_Toc365370979"/>
      <w:bookmarkStart w:id="128" w:name="_Toc365371079"/>
      <w:bookmarkStart w:id="129" w:name="_Toc365371178"/>
      <w:bookmarkStart w:id="130" w:name="_Toc365373708"/>
      <w:bookmarkStart w:id="131" w:name="_Toc365373803"/>
      <w:bookmarkStart w:id="132" w:name="_Toc365373900"/>
      <w:bookmarkStart w:id="133" w:name="_Toc365359183"/>
      <w:bookmarkStart w:id="134" w:name="_Toc365370755"/>
      <w:bookmarkStart w:id="135" w:name="_Toc365370980"/>
      <w:bookmarkStart w:id="136" w:name="_Toc365371080"/>
      <w:bookmarkStart w:id="137" w:name="_Toc365371179"/>
      <w:bookmarkStart w:id="138" w:name="_Toc365373709"/>
      <w:bookmarkStart w:id="139" w:name="_Toc365373804"/>
      <w:bookmarkStart w:id="140" w:name="_Toc365373901"/>
      <w:bookmarkStart w:id="141" w:name="_Toc365359184"/>
      <w:bookmarkStart w:id="142" w:name="_Toc365370756"/>
      <w:bookmarkStart w:id="143" w:name="_Toc365370981"/>
      <w:bookmarkStart w:id="144" w:name="_Toc365371081"/>
      <w:bookmarkStart w:id="145" w:name="_Toc365371180"/>
      <w:bookmarkStart w:id="146" w:name="_Toc365373710"/>
      <w:bookmarkStart w:id="147" w:name="_Toc365373805"/>
      <w:bookmarkStart w:id="148" w:name="_Toc365373902"/>
      <w:bookmarkStart w:id="149" w:name="_Toc365359185"/>
      <w:bookmarkStart w:id="150" w:name="_Toc365370757"/>
      <w:bookmarkStart w:id="151" w:name="_Toc365370982"/>
      <w:bookmarkStart w:id="152" w:name="_Toc365371082"/>
      <w:bookmarkStart w:id="153" w:name="_Toc365371181"/>
      <w:bookmarkStart w:id="154" w:name="_Toc365373711"/>
      <w:bookmarkStart w:id="155" w:name="_Toc365373806"/>
      <w:bookmarkStart w:id="156" w:name="_Toc365373903"/>
      <w:bookmarkStart w:id="157" w:name="_Toc365359186"/>
      <w:bookmarkStart w:id="158" w:name="_Toc365370758"/>
      <w:bookmarkStart w:id="159" w:name="_Toc365370983"/>
      <w:bookmarkStart w:id="160" w:name="_Toc365371083"/>
      <w:bookmarkStart w:id="161" w:name="_Toc365371182"/>
      <w:bookmarkStart w:id="162" w:name="_Toc365373712"/>
      <w:bookmarkStart w:id="163" w:name="_Toc365373807"/>
      <w:bookmarkStart w:id="164" w:name="_Toc365373904"/>
      <w:bookmarkStart w:id="165" w:name="_Toc365359187"/>
      <w:bookmarkStart w:id="166" w:name="_Toc365370759"/>
      <w:bookmarkStart w:id="167" w:name="_Toc365370984"/>
      <w:bookmarkStart w:id="168" w:name="_Toc365371084"/>
      <w:bookmarkStart w:id="169" w:name="_Toc365371183"/>
      <w:bookmarkStart w:id="170" w:name="_Toc365373713"/>
      <w:bookmarkStart w:id="171" w:name="_Toc365373808"/>
      <w:bookmarkStart w:id="172" w:name="_Toc365373905"/>
      <w:bookmarkStart w:id="173" w:name="_Toc366085131"/>
      <w:bookmarkStart w:id="174" w:name="_Toc379488024"/>
      <w:bookmarkStart w:id="175" w:name="_Toc380052128"/>
      <w:bookmarkStart w:id="176" w:name="_Toc380052638"/>
      <w:bookmarkStart w:id="177" w:name="_Toc39154532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DURATION OF FRAMEWORK AGREEMENT</w:t>
      </w:r>
      <w:bookmarkEnd w:id="173"/>
      <w:bookmarkEnd w:id="174"/>
      <w:bookmarkEnd w:id="175"/>
      <w:bookmarkEnd w:id="176"/>
      <w:bookmarkEnd w:id="177"/>
    </w:p>
    <w:p w:rsidR="00D81DAD" w:rsidRDefault="001827DA" w:rsidP="002E61F2">
      <w:pPr>
        <w:pStyle w:val="GPSL1CLAUSEHEADING"/>
      </w:pPr>
      <w:bookmarkStart w:id="178" w:name="_Toc366085132"/>
      <w:bookmarkStart w:id="179" w:name="_Toc379488025"/>
      <w:bookmarkStart w:id="180" w:name="_Toc380052129"/>
      <w:bookmarkStart w:id="181" w:name="_Toc380052639"/>
      <w:bookmarkStart w:id="182" w:name="_Toc391545324"/>
      <w:r w:rsidRPr="001827DA">
        <w:t>FRAMEWORK PERIOD</w:t>
      </w:r>
      <w:bookmarkEnd w:id="178"/>
      <w:bookmarkEnd w:id="179"/>
      <w:bookmarkEnd w:id="180"/>
      <w:bookmarkEnd w:id="181"/>
      <w:bookmarkEnd w:id="182"/>
    </w:p>
    <w:p w:rsidR="00D81DAD" w:rsidRPr="00D96F3F" w:rsidRDefault="00D96F3F" w:rsidP="002E61F2">
      <w:pPr>
        <w:pStyle w:val="GPSL2Numbered"/>
      </w:pPr>
      <w:bookmarkStart w:id="183" w:name="_Ref364956319"/>
      <w:r w:rsidRPr="006875AD" w:rsidDel="00D96F3F">
        <w:t xml:space="preserve"> </w:t>
      </w:r>
      <w:bookmarkStart w:id="184" w:name="_Ref364956284"/>
      <w:bookmarkEnd w:id="183"/>
      <w:r w:rsidR="00ED5703" w:rsidRPr="00ED5703">
        <w:t>This Framework Agreement shall take effect on the Framework Commencement Date and shall expire either:</w:t>
      </w:r>
      <w:bookmarkEnd w:id="184"/>
    </w:p>
    <w:p w:rsidR="00D81DAD" w:rsidRPr="00D96F3F" w:rsidRDefault="00ED5703" w:rsidP="002E61F2">
      <w:pPr>
        <w:pStyle w:val="GPSL3numberedclause"/>
      </w:pPr>
      <w:r w:rsidRPr="00ED5703">
        <w:t>at the end of the Initial Framework Period; or</w:t>
      </w:r>
    </w:p>
    <w:p w:rsidR="00D81DAD" w:rsidRPr="00D96F3F" w:rsidRDefault="00ED5703" w:rsidP="002E61F2">
      <w:pPr>
        <w:pStyle w:val="GPSL3numberedclause"/>
      </w:pPr>
      <w:r w:rsidRPr="00ED5703">
        <w:t xml:space="preserve">where the Authority elects to extend the Initial Framework Period in accordance with Clause </w:t>
      </w:r>
      <w:r w:rsidR="000822F5">
        <w:fldChar w:fldCharType="begin"/>
      </w:r>
      <w:r w:rsidR="000822F5">
        <w:instrText xml:space="preserve"> REF _Ref364956284 \r \h  \* MERGEFORMAT </w:instrText>
      </w:r>
      <w:r w:rsidR="000822F5">
        <w:fldChar w:fldCharType="separate"/>
      </w:r>
      <w:r w:rsidRPr="00ED5703">
        <w:t>8.2</w:t>
      </w:r>
      <w:r w:rsidR="000822F5">
        <w:fldChar w:fldCharType="end"/>
      </w:r>
      <w:r w:rsidRPr="00ED5703">
        <w:t xml:space="preserve"> below, at the end of the Extension Framework Period,</w:t>
      </w:r>
    </w:p>
    <w:p w:rsidR="00D81DAD" w:rsidRPr="00D96F3F" w:rsidRDefault="00ED5703" w:rsidP="002E61F2">
      <w:pPr>
        <w:pStyle w:val="GPSL3numberedclause"/>
      </w:pPr>
      <w:r w:rsidRPr="00ED5703">
        <w:t>unless it is terminated earlier in accordance with the terms of this Framework Agreement or otherwise by operation of Law.</w:t>
      </w:r>
    </w:p>
    <w:p w:rsidR="00D81DAD" w:rsidRPr="00D96F3F" w:rsidRDefault="00ED5703" w:rsidP="002E61F2">
      <w:pPr>
        <w:pStyle w:val="GPSL2Numbered"/>
      </w:pPr>
      <w:bookmarkStart w:id="185" w:name="_Ref364956352"/>
      <w:r w:rsidRPr="00ED5703">
        <w:t>The Authority may extend the duration of this Framework Agreement for any period or periods up to a maximum of two (2) years in total from the expiry of the Initial Framework Period by giving the Supplier no less than three (3) Months' written notice.</w:t>
      </w:r>
      <w:bookmarkEnd w:id="185"/>
    </w:p>
    <w:p w:rsidR="00D81DAD" w:rsidRDefault="00D81DAD" w:rsidP="00F20C99">
      <w:pPr>
        <w:pStyle w:val="GPSL2Guidance"/>
        <w:rPr>
          <w:highlight w:val="cyan"/>
        </w:rPr>
      </w:pPr>
    </w:p>
    <w:p w:rsidR="00D81DAD" w:rsidRDefault="000736E8" w:rsidP="002E61F2">
      <w:pPr>
        <w:pStyle w:val="GPSSectionHeading"/>
      </w:pPr>
      <w:bookmarkStart w:id="186" w:name="_Toc366085133"/>
      <w:bookmarkStart w:id="187" w:name="_Toc379488026"/>
      <w:bookmarkStart w:id="188" w:name="_Toc380052130"/>
      <w:bookmarkStart w:id="189" w:name="_Toc380052640"/>
      <w:bookmarkStart w:id="190" w:name="_Toc391545325"/>
      <w:r>
        <w:t>FRAMEWORK</w:t>
      </w:r>
      <w:r w:rsidR="00DA14AD">
        <w:t xml:space="preserve"> AGREEMENT </w:t>
      </w:r>
      <w:r w:rsidRPr="00976BE3">
        <w:t>PERFORMANCE</w:t>
      </w:r>
      <w:bookmarkEnd w:id="186"/>
      <w:bookmarkEnd w:id="187"/>
      <w:bookmarkEnd w:id="188"/>
      <w:bookmarkEnd w:id="189"/>
      <w:bookmarkEnd w:id="190"/>
    </w:p>
    <w:p w:rsidR="00D81DAD" w:rsidRDefault="001827DA" w:rsidP="002E61F2">
      <w:pPr>
        <w:pStyle w:val="GPSL1CLAUSEHEADING"/>
      </w:pPr>
      <w:bookmarkStart w:id="191" w:name="_Ref365039009"/>
      <w:bookmarkStart w:id="192" w:name="_Toc366085134"/>
      <w:bookmarkStart w:id="193" w:name="_Toc379488027"/>
      <w:bookmarkStart w:id="194" w:name="_Toc380052131"/>
      <w:bookmarkStart w:id="195" w:name="_Toc380052641"/>
      <w:bookmarkStart w:id="196" w:name="_Toc391545326"/>
      <w:r w:rsidRPr="001827DA">
        <w:t>FRAMEWORK AGREEMENT PERFORMANCE</w:t>
      </w:r>
      <w:bookmarkEnd w:id="191"/>
      <w:bookmarkEnd w:id="192"/>
      <w:bookmarkEnd w:id="193"/>
      <w:bookmarkEnd w:id="194"/>
      <w:bookmarkEnd w:id="195"/>
      <w:bookmarkEnd w:id="196"/>
    </w:p>
    <w:p w:rsidR="00D81DAD" w:rsidRDefault="000736E8" w:rsidP="002E61F2">
      <w:pPr>
        <w:pStyle w:val="GPSL2Numbered"/>
      </w:pPr>
      <w:bookmarkStart w:id="197" w:name="_Ref365015234"/>
      <w:r>
        <w:lastRenderedPageBreak/>
        <w:t>The Supplier shall pe</w:t>
      </w:r>
      <w:r w:rsidR="002D2D0D">
        <w:t>r</w:t>
      </w:r>
      <w:r>
        <w:t>form its obligations under this Framework Agreement in accordance with</w:t>
      </w:r>
      <w:r w:rsidR="00273FDC">
        <w:t>:</w:t>
      </w:r>
      <w:bookmarkEnd w:id="197"/>
    </w:p>
    <w:p w:rsidR="00D81DAD" w:rsidRDefault="00273FDC" w:rsidP="002E61F2">
      <w:pPr>
        <w:pStyle w:val="GPSL3numberedclause"/>
      </w:pPr>
      <w:r>
        <w:t>The requirements of this Framework Agreement, including</w:t>
      </w:r>
      <w:r w:rsidR="002D2D0D">
        <w:t xml:space="preserve"> </w:t>
      </w:r>
      <w:r w:rsidR="00D848A3">
        <w:t xml:space="preserve">each of the </w:t>
      </w:r>
      <w:r w:rsidR="002D2D0D">
        <w:t>Framework Schedule</w:t>
      </w:r>
      <w:r w:rsidR="00D848A3">
        <w:t>s</w:t>
      </w:r>
      <w:r>
        <w:t xml:space="preserve">; </w:t>
      </w:r>
    </w:p>
    <w:p w:rsidR="00D81DAD" w:rsidRDefault="00273FDC" w:rsidP="002E61F2">
      <w:pPr>
        <w:pStyle w:val="GPSL3numberedclause"/>
      </w:pPr>
      <w:bookmarkStart w:id="198" w:name="_Ref311652868"/>
      <w:r w:rsidRPr="006875AD">
        <w:t>Good Industry Practice;</w:t>
      </w:r>
      <w:bookmarkStart w:id="199" w:name="_Ref335312867"/>
      <w:bookmarkEnd w:id="198"/>
      <w:r w:rsidRPr="006875AD">
        <w:t xml:space="preserve"> </w:t>
      </w:r>
      <w:bookmarkEnd w:id="199"/>
    </w:p>
    <w:p w:rsidR="00D81DAD" w:rsidRDefault="00273FDC" w:rsidP="002E61F2">
      <w:pPr>
        <w:pStyle w:val="GPSL3numberedclause"/>
      </w:pPr>
      <w:r>
        <w:t>all applicable Standards</w:t>
      </w:r>
      <w:r w:rsidRPr="006875AD">
        <w:t>; and</w:t>
      </w:r>
    </w:p>
    <w:p w:rsidR="00D81DAD" w:rsidRDefault="00273FDC" w:rsidP="002E61F2">
      <w:pPr>
        <w:pStyle w:val="GPSL3numberedclause"/>
      </w:pPr>
      <w:r w:rsidRPr="006875AD">
        <w:t>in com</w:t>
      </w:r>
      <w:r>
        <w:t>pliance with all applicable Law.</w:t>
      </w:r>
    </w:p>
    <w:p w:rsidR="00D81DAD" w:rsidRDefault="00273FDC" w:rsidP="002E61F2">
      <w:pPr>
        <w:pStyle w:val="GPSL2Numbered"/>
      </w:pPr>
      <w:r w:rsidRPr="006875AD">
        <w:t xml:space="preserve">The Supplier shall </w:t>
      </w:r>
      <w:r w:rsidR="00754502">
        <w:t xml:space="preserve">bring to the attention of the Authority, </w:t>
      </w:r>
      <w:r w:rsidRPr="006875AD">
        <w:t>any conflict between any of the requirements of Clause</w:t>
      </w:r>
      <w:r>
        <w:t xml:space="preserve"> </w:t>
      </w:r>
      <w:r w:rsidR="00F71B15">
        <w:fldChar w:fldCharType="begin"/>
      </w:r>
      <w:r>
        <w:instrText xml:space="preserve"> REF _Ref365015234 \r \h </w:instrText>
      </w:r>
      <w:r w:rsidR="00F71B15">
        <w:fldChar w:fldCharType="separate"/>
      </w:r>
      <w:r w:rsidR="00B3040B">
        <w:t>9.1</w:t>
      </w:r>
      <w:r w:rsidR="00F71B15">
        <w:fldChar w:fldCharType="end"/>
      </w:r>
      <w:r w:rsidRPr="006875AD">
        <w:t xml:space="preserve"> shall comply with the Authority's decision on the resolution of </w:t>
      </w:r>
      <w:r>
        <w:t xml:space="preserve">any such </w:t>
      </w:r>
      <w:r w:rsidRPr="006875AD">
        <w:t>conflict.</w:t>
      </w:r>
    </w:p>
    <w:p w:rsidR="00D81DAD" w:rsidRDefault="001827DA" w:rsidP="002E61F2">
      <w:pPr>
        <w:pStyle w:val="GPSL1CLAUSEHEADING"/>
      </w:pPr>
      <w:bookmarkStart w:id="200" w:name="_Toc366085135"/>
      <w:bookmarkStart w:id="201" w:name="_Toc379488028"/>
      <w:bookmarkStart w:id="202" w:name="_Toc380052132"/>
      <w:bookmarkStart w:id="203" w:name="_Toc380052642"/>
      <w:bookmarkStart w:id="204" w:name="_Toc391545327"/>
      <w:r w:rsidRPr="001827DA">
        <w:t>KEY PERFORMANCE INDICATORS</w:t>
      </w:r>
      <w:bookmarkEnd w:id="200"/>
      <w:bookmarkEnd w:id="201"/>
      <w:bookmarkEnd w:id="202"/>
      <w:bookmarkEnd w:id="203"/>
      <w:bookmarkEnd w:id="204"/>
    </w:p>
    <w:p w:rsidR="00D81DAD" w:rsidRDefault="00273FDC" w:rsidP="002E61F2">
      <w:pPr>
        <w:pStyle w:val="GPSL2Numbered"/>
      </w:pPr>
      <w:r>
        <w:t xml:space="preserve">The Supplier shall at all times during the Framework Period comply with the Key Performance Indicators and achieve the KPI Targets set out in Part </w:t>
      </w:r>
      <w:r w:rsidR="00825AE9">
        <w:t>E</w:t>
      </w:r>
      <w:r>
        <w:t xml:space="preserve"> of Framework Schedule </w:t>
      </w:r>
      <w:r w:rsidR="00762F95">
        <w:t xml:space="preserve">2 </w:t>
      </w:r>
      <w:r>
        <w:t>(Services and Key Performance Indicators).</w:t>
      </w:r>
    </w:p>
    <w:p w:rsidR="00D81DAD" w:rsidRDefault="001827DA" w:rsidP="002E61F2">
      <w:pPr>
        <w:pStyle w:val="GPSL1CLAUSEHEADING"/>
      </w:pPr>
      <w:bookmarkStart w:id="205" w:name="_Toc366085136"/>
      <w:bookmarkStart w:id="206" w:name="_Toc379488029"/>
      <w:bookmarkStart w:id="207" w:name="_Toc380052133"/>
      <w:bookmarkStart w:id="208" w:name="_Toc380052643"/>
      <w:bookmarkStart w:id="209" w:name="_Toc391545328"/>
      <w:r w:rsidRPr="001827DA">
        <w:t>STANDARDS</w:t>
      </w:r>
      <w:bookmarkEnd w:id="205"/>
      <w:bookmarkEnd w:id="206"/>
      <w:bookmarkEnd w:id="207"/>
      <w:bookmarkEnd w:id="208"/>
      <w:bookmarkEnd w:id="209"/>
    </w:p>
    <w:p w:rsidR="00CB2781" w:rsidRPr="00CB2781" w:rsidRDefault="00CB2781" w:rsidP="002E61F2">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 xml:space="preserve">(Services and Key Performance Indicators).  </w:t>
      </w:r>
    </w:p>
    <w:p w:rsidR="00CB2781" w:rsidRPr="00CB2781" w:rsidRDefault="00D81DAD" w:rsidP="002E61F2">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Body under a Call Off Agreement</w:t>
      </w:r>
      <w:r w:rsidRPr="00CB2781">
        <w:t>, of the</w:t>
      </w:r>
      <w:r w:rsidR="00CB2781" w:rsidRPr="00CB2781">
        <w:t xml:space="preserve"> </w:t>
      </w:r>
      <w:r w:rsidRPr="00CB2781">
        <w:t>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rsidR="00CB2781" w:rsidRPr="00CB2781" w:rsidRDefault="00D81DAD" w:rsidP="002E61F2">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’s provision, or a Contracting Body</w:t>
      </w:r>
      <w:r w:rsidRPr="00CB2781">
        <w:t>’s receipt</w:t>
      </w:r>
      <w:r w:rsidR="00CB2781" w:rsidRPr="00CB2781">
        <w:t xml:space="preserve"> under a Call Off Agreement</w:t>
      </w:r>
      <w:r w:rsidRPr="00CB2781">
        <w:t>, of the</w:t>
      </w:r>
      <w:r w:rsidR="00CB2781" w:rsidRPr="00CB2781">
        <w:t xml:space="preserve"> </w:t>
      </w:r>
      <w:r w:rsidRPr="00CB2781">
        <w:t>Services is explained to the Authority</w:t>
      </w:r>
      <w:r w:rsidR="00CB2781" w:rsidRPr="00CB2781">
        <w:t xml:space="preserve"> and the Contracting Body</w:t>
      </w:r>
      <w:r w:rsidRPr="00CB2781">
        <w:t xml:space="preserve"> (</w:t>
      </w:r>
      <w:r w:rsidR="0032276B">
        <w:t>with</w:t>
      </w:r>
      <w:r w:rsidRPr="00CB2781">
        <w:t>in a reasonable timeframe), prior to the implementation of the new or emergent Standard.</w:t>
      </w:r>
    </w:p>
    <w:p w:rsidR="00CB2781" w:rsidRPr="00CB2781" w:rsidRDefault="00D81DAD" w:rsidP="002E61F2">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2E61F2">
      <w:pPr>
        <w:pStyle w:val="GPSL2Numbered"/>
        <w:rPr>
          <w:b/>
          <w:bCs/>
          <w:u w:val="single"/>
        </w:rPr>
      </w:pPr>
      <w:r w:rsidRPr="00CB2781">
        <w:t>The Supplier should note (when designing and delivering Services to the Authority</w:t>
      </w:r>
      <w:r w:rsidR="00CB2781" w:rsidRPr="00CB2781">
        <w:t xml:space="preserve"> and any Contracting Body which is a Crown Body</w:t>
      </w:r>
      <w:r w:rsidRPr="00CB2781">
        <w:t>) the intention of the Authority to conform to HM Government’s I</w:t>
      </w:r>
      <w:r w:rsidR="00DD4E93">
        <w:t>C</w:t>
      </w:r>
      <w:r w:rsidRPr="00CB2781">
        <w:t xml:space="preserve">T Strategy and the set of standards (such as those associated with the adoption of cross government cloud services and the adoption of the </w:t>
      </w:r>
      <w:r w:rsidR="006F4045">
        <w:t>Public Services Network (</w:t>
      </w:r>
      <w:r w:rsidRPr="00CB2781">
        <w:t>PSN</w:t>
      </w:r>
      <w:r w:rsidR="006F4045">
        <w:t>)</w:t>
      </w:r>
      <w:r w:rsidRPr="00CB2781">
        <w:t xml:space="preserve"> for network service provision) related to that strategy. </w:t>
      </w:r>
    </w:p>
    <w:p w:rsidR="00D81DAD" w:rsidRPr="00CB2781" w:rsidRDefault="00D81DAD" w:rsidP="002E61F2">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(Services and Key Performance Indicators)</w:t>
      </w:r>
      <w:r w:rsidRPr="00CB2781">
        <w:t xml:space="preserve"> by reference to a hyperlink, then if the hyperlink is changed or no longer provides access to the relevant standard, policy </w:t>
      </w:r>
      <w:r w:rsidRPr="00CB2781">
        <w:lastRenderedPageBreak/>
        <w:t>or document, the Supplier shall notify the Authority and the Parties shall agree the impact of such chang</w:t>
      </w:r>
      <w:r w:rsidR="00CB2781" w:rsidRPr="00CB2781">
        <w:t xml:space="preserve">e. </w:t>
      </w:r>
    </w:p>
    <w:p w:rsidR="00D81DAD" w:rsidRDefault="001827DA" w:rsidP="002E61F2">
      <w:pPr>
        <w:pStyle w:val="GPSL1CLAUSEHEADING"/>
      </w:pPr>
      <w:bookmarkStart w:id="210" w:name="_Toc366085137"/>
      <w:bookmarkStart w:id="211" w:name="_Toc379488030"/>
      <w:bookmarkStart w:id="212" w:name="_Toc380052134"/>
      <w:bookmarkStart w:id="213" w:name="_Toc380052644"/>
      <w:bookmarkStart w:id="214" w:name="_Toc391545329"/>
      <w:r w:rsidRPr="001827DA">
        <w:t>CONTINUOUS IMPROVEMENT</w:t>
      </w:r>
      <w:bookmarkEnd w:id="210"/>
      <w:bookmarkEnd w:id="211"/>
      <w:bookmarkEnd w:id="212"/>
      <w:bookmarkEnd w:id="213"/>
      <w:bookmarkEnd w:id="214"/>
    </w:p>
    <w:p w:rsidR="00D81DAD" w:rsidRDefault="00273FDC" w:rsidP="002E61F2">
      <w:pPr>
        <w:pStyle w:val="GPSL2Numbered"/>
      </w:pPr>
      <w:r>
        <w:t xml:space="preserve">The Supplier shall at all times during the Framework Period comply with its obligations to continually improve the Services and </w:t>
      </w:r>
      <w:r w:rsidR="00F537B1">
        <w:t xml:space="preserve">the </w:t>
      </w:r>
      <w:r w:rsidR="006F4045">
        <w:t xml:space="preserve">manner in which it provides the Services as </w:t>
      </w:r>
      <w:r>
        <w:t xml:space="preserve">set out in </w:t>
      </w:r>
      <w:r w:rsidR="00F537B1">
        <w:t>Framework Schedule 12 (Continuous Improvement and Benchmarking)</w:t>
      </w:r>
      <w:r w:rsidR="008B633B">
        <w:t>.</w:t>
      </w:r>
    </w:p>
    <w:p w:rsidR="00D81DAD" w:rsidRDefault="001827DA" w:rsidP="002E61F2">
      <w:pPr>
        <w:pStyle w:val="GPSL1CLAUSEHEADING"/>
      </w:pPr>
      <w:bookmarkStart w:id="215" w:name="_Ref365039128"/>
      <w:bookmarkStart w:id="216" w:name="_Toc366085138"/>
      <w:bookmarkStart w:id="217" w:name="_Toc379488031"/>
      <w:bookmarkStart w:id="218" w:name="_Toc380052135"/>
      <w:bookmarkStart w:id="219" w:name="_Toc380052645"/>
      <w:bookmarkStart w:id="220" w:name="_Toc391545330"/>
      <w:r w:rsidRPr="001827DA">
        <w:t>CALL OFF PERFORMANCE UNDER FRAMEWORK AGREEMENT</w:t>
      </w:r>
      <w:bookmarkEnd w:id="215"/>
      <w:bookmarkEnd w:id="216"/>
      <w:bookmarkEnd w:id="217"/>
      <w:bookmarkEnd w:id="218"/>
      <w:bookmarkEnd w:id="219"/>
      <w:bookmarkEnd w:id="220"/>
    </w:p>
    <w:p w:rsidR="00D81DAD" w:rsidRDefault="000736E8" w:rsidP="002E61F2">
      <w:pPr>
        <w:pStyle w:val="GPSL2Numbered"/>
      </w:pPr>
      <w:r w:rsidRPr="006875AD">
        <w:t>The Supplier shall perform all its obligations under all Call Off Agreements entered into with the Authority or any Other Contracting Body:</w:t>
      </w:r>
    </w:p>
    <w:p w:rsidR="00D81DAD" w:rsidRDefault="000736E8" w:rsidP="002E61F2">
      <w:pPr>
        <w:pStyle w:val="GPSL3numberedclause"/>
      </w:pPr>
      <w:r w:rsidRPr="006875AD">
        <w:t>in accordance with the requirements of this Framework Agreement;</w:t>
      </w:r>
      <w:bookmarkStart w:id="221" w:name="_Ref362268595"/>
    </w:p>
    <w:p w:rsidR="00D81DAD" w:rsidRDefault="000736E8" w:rsidP="002E61F2">
      <w:pPr>
        <w:pStyle w:val="GPSL3numberedclause"/>
      </w:pPr>
      <w:bookmarkStart w:id="222" w:name="_Ref362269326"/>
      <w:bookmarkEnd w:id="221"/>
      <w:r w:rsidRPr="006875AD">
        <w:t xml:space="preserve">in accordance with the terms and conditions of the respective Call Off </w:t>
      </w:r>
      <w:r>
        <w:t xml:space="preserve"> </w:t>
      </w:r>
      <w:r w:rsidRPr="006875AD">
        <w:t>Agreements</w:t>
      </w:r>
      <w:bookmarkEnd w:id="222"/>
      <w:r>
        <w:t>.</w:t>
      </w:r>
    </w:p>
    <w:p w:rsidR="00D81DAD" w:rsidRDefault="000736E8" w:rsidP="002E61F2">
      <w:pPr>
        <w:pStyle w:val="GPSL2Numbered"/>
      </w:pPr>
      <w:r w:rsidRPr="006875AD">
        <w:t xml:space="preserve">The Supplier shall draw any conflict </w:t>
      </w:r>
      <w:r>
        <w:t>in the application of</w:t>
      </w:r>
      <w:r w:rsidRPr="006875AD">
        <w:t xml:space="preserve"> any of the requirements of Clauses </w:t>
      </w:r>
      <w:r w:rsidR="00F71B15">
        <w:fldChar w:fldCharType="begin"/>
      </w:r>
      <w:r w:rsidR="001827DA">
        <w:instrText xml:space="preserve"> REF _Ref362268595 \r \h </w:instrText>
      </w:r>
      <w:r w:rsidR="00F71B15">
        <w:fldChar w:fldCharType="separate"/>
      </w:r>
      <w:r w:rsidR="00B3040B">
        <w:t>13.1.1</w:t>
      </w:r>
      <w:r w:rsidR="00F71B15">
        <w:fldChar w:fldCharType="end"/>
      </w:r>
      <w:r w:rsidRPr="006875AD">
        <w:t xml:space="preserve"> </w:t>
      </w:r>
      <w:r>
        <w:t>and</w:t>
      </w:r>
      <w:r w:rsidRPr="006875AD">
        <w:t xml:space="preserve"> </w:t>
      </w:r>
      <w:r w:rsidR="00F71B15">
        <w:fldChar w:fldCharType="begin"/>
      </w:r>
      <w:r w:rsidR="001827DA">
        <w:instrText xml:space="preserve"> REF _Ref362269326 \r \h </w:instrText>
      </w:r>
      <w:r w:rsidR="00F71B15">
        <w:fldChar w:fldCharType="separate"/>
      </w:r>
      <w:r w:rsidR="00B3040B">
        <w:t>13.1.2</w:t>
      </w:r>
      <w:r w:rsidR="00F71B15">
        <w:fldChar w:fldCharType="end"/>
      </w:r>
      <w:r w:rsidRPr="006875AD">
        <w:t xml:space="preserve"> to the attention of the Authority and shall comply with the Authority's decision on the resolution of </w:t>
      </w:r>
      <w:r>
        <w:t xml:space="preserve">any such </w:t>
      </w:r>
      <w:r w:rsidRPr="006875AD">
        <w:t>conflict.</w:t>
      </w:r>
    </w:p>
    <w:p w:rsidR="00D81DAD" w:rsidRDefault="00DA14AD" w:rsidP="002E61F2">
      <w:pPr>
        <w:pStyle w:val="GPSSectionHeading"/>
      </w:pPr>
      <w:bookmarkStart w:id="223" w:name="_Toc366085139"/>
      <w:bookmarkStart w:id="224" w:name="_Toc379488032"/>
      <w:bookmarkStart w:id="225" w:name="_Toc380052136"/>
      <w:bookmarkStart w:id="226" w:name="_Toc380052646"/>
      <w:bookmarkStart w:id="227" w:name="_Toc391545331"/>
      <w:r>
        <w:t>FRAMEWORK AGREEMENT GOVERNANCE</w:t>
      </w:r>
      <w:bookmarkEnd w:id="223"/>
      <w:bookmarkEnd w:id="224"/>
      <w:bookmarkEnd w:id="225"/>
      <w:bookmarkEnd w:id="226"/>
      <w:bookmarkEnd w:id="227"/>
    </w:p>
    <w:p w:rsidR="00D81DAD" w:rsidRDefault="001827DA" w:rsidP="002E61F2">
      <w:pPr>
        <w:pStyle w:val="GPSL1CLAUSEHEADING"/>
      </w:pPr>
      <w:bookmarkStart w:id="228" w:name="_Toc366085140"/>
      <w:bookmarkStart w:id="229" w:name="_Toc379488033"/>
      <w:bookmarkStart w:id="230" w:name="_Toc380052137"/>
      <w:bookmarkStart w:id="231" w:name="_Toc380052647"/>
      <w:bookmarkStart w:id="232" w:name="_Toc391545332"/>
      <w:r w:rsidRPr="001827DA">
        <w:t>FRAMEWORK AGREEMENT MANAGEMENT</w:t>
      </w:r>
      <w:bookmarkEnd w:id="228"/>
      <w:bookmarkEnd w:id="229"/>
      <w:bookmarkEnd w:id="230"/>
      <w:bookmarkEnd w:id="231"/>
      <w:bookmarkEnd w:id="232"/>
    </w:p>
    <w:p w:rsidR="00D81DAD" w:rsidRDefault="00DA14AD" w:rsidP="002E61F2">
      <w:pPr>
        <w:pStyle w:val="GPSL2Numbered"/>
      </w:pPr>
      <w:r w:rsidRPr="006875AD">
        <w:t xml:space="preserve">The Parties shall manage this Framework Agreement in accordance with Framework Schedule </w:t>
      </w:r>
      <w:r w:rsidR="00EA6CAB">
        <w:t>8</w:t>
      </w:r>
      <w:r w:rsidRPr="006875AD">
        <w:t xml:space="preserve"> (Framework Management)</w:t>
      </w:r>
      <w:r w:rsidR="00D848A3">
        <w:t xml:space="preserve"> and shall comply with Framework Schedule 9 (Management Information)</w:t>
      </w:r>
      <w:r w:rsidRPr="006875AD">
        <w:t>.</w:t>
      </w:r>
    </w:p>
    <w:p w:rsidR="00D81DAD" w:rsidRDefault="001827DA" w:rsidP="002E61F2">
      <w:pPr>
        <w:pStyle w:val="GPSL1CLAUSEHEADING"/>
      </w:pPr>
      <w:bookmarkStart w:id="233" w:name="_Ref365017299"/>
      <w:bookmarkStart w:id="234" w:name="_Toc366085141"/>
      <w:bookmarkStart w:id="235" w:name="_Toc379488034"/>
      <w:bookmarkStart w:id="236" w:name="_Toc380052138"/>
      <w:bookmarkStart w:id="237" w:name="_Toc380052648"/>
      <w:bookmarkStart w:id="238" w:name="_Toc391545333"/>
      <w:r w:rsidRPr="001827DA">
        <w:t>RECORDS, AUDIT ACCESS AND OPEN BOOK DATA</w:t>
      </w:r>
      <w:bookmarkEnd w:id="233"/>
      <w:bookmarkEnd w:id="234"/>
      <w:bookmarkEnd w:id="235"/>
      <w:bookmarkEnd w:id="236"/>
      <w:bookmarkEnd w:id="237"/>
      <w:bookmarkEnd w:id="238"/>
    </w:p>
    <w:p w:rsidR="00D81DAD" w:rsidRDefault="00DA14AD" w:rsidP="002E61F2">
      <w:pPr>
        <w:pStyle w:val="GPSL2Numbered"/>
      </w:pPr>
      <w:bookmarkStart w:id="239" w:name="_Ref364956571"/>
      <w:r w:rsidRPr="005328E8">
        <w:t>The Supplier shall keep and maintain, until the later of:</w:t>
      </w:r>
      <w:bookmarkEnd w:id="239"/>
    </w:p>
    <w:p w:rsidR="00D81DAD" w:rsidRDefault="00DA14AD" w:rsidP="002E61F2">
      <w:pPr>
        <w:pStyle w:val="GPSL3numberedclause"/>
      </w:pPr>
      <w:r w:rsidRPr="005328E8">
        <w:t xml:space="preserve">seven (7) years after the date of termination or expiry of this Framework Agreement; </w:t>
      </w:r>
      <w:r w:rsidR="006F4045">
        <w:t>or</w:t>
      </w:r>
    </w:p>
    <w:p w:rsidR="00D81DAD" w:rsidRDefault="00DA14AD" w:rsidP="002E61F2">
      <w:pPr>
        <w:pStyle w:val="GPSL3numberedclause"/>
      </w:pPr>
      <w:r w:rsidRPr="005328E8">
        <w:t>seven (7) years after the date of termination or expiry of the last Call-Off Agreement to expire or terminate;</w:t>
      </w:r>
      <w:r w:rsidR="006F4045">
        <w:t xml:space="preserve"> or</w:t>
      </w:r>
    </w:p>
    <w:p w:rsidR="00D81DAD" w:rsidRDefault="00DA14AD" w:rsidP="002E61F2">
      <w:pPr>
        <w:pStyle w:val="GPSL3numberedclause"/>
      </w:pPr>
      <w:r w:rsidRPr="005328E8">
        <w:t xml:space="preserve">such other date as may be agreed between the Parties, </w:t>
      </w:r>
    </w:p>
    <w:p w:rsidR="00D81DAD" w:rsidRDefault="001827DA">
      <w:pPr>
        <w:pStyle w:val="GPSL2Indent"/>
      </w:pPr>
      <w:r w:rsidRPr="001827DA">
        <w:t>full and accurate records and accounts of the operation of this Framework Agreement, including the Call-Off Agreements entered into with Contracting Bodies, the Services provided pursuant to the Call-Off Agreements, and the amounts paid by each Contracting Body under the Call-Off Agreements and those supporting tests and evidence that underpin the provision of the annual Self Audit Certificate and supporting Audit Report.</w:t>
      </w:r>
    </w:p>
    <w:p w:rsidR="00D81DAD" w:rsidRDefault="00DA14AD" w:rsidP="002E61F2">
      <w:pPr>
        <w:pStyle w:val="GPSL2Numbered"/>
      </w:pPr>
      <w:r w:rsidRPr="005328E8">
        <w:t>The Supplier shall keep the records and accounts referred to in Clause </w:t>
      </w:r>
      <w:r w:rsidR="00F71B15">
        <w:fldChar w:fldCharType="begin"/>
      </w:r>
      <w:r w:rsidR="002D2D0D">
        <w:instrText xml:space="preserve"> REF _Ref364956571 \r \h </w:instrText>
      </w:r>
      <w:r w:rsidR="00F71B15">
        <w:fldChar w:fldCharType="separate"/>
      </w:r>
      <w:r w:rsidR="00B3040B">
        <w:t>15.1</w:t>
      </w:r>
      <w:r w:rsidR="00F71B15">
        <w:fldChar w:fldCharType="end"/>
      </w:r>
      <w:r w:rsidRPr="005328E8">
        <w:t xml:space="preserve"> in accordance with Good Industry Practice and Law.</w:t>
      </w:r>
    </w:p>
    <w:p w:rsidR="00D81DAD" w:rsidRDefault="00DA14AD" w:rsidP="002E61F2">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rsidR="00D81DAD" w:rsidRDefault="00DA14AD" w:rsidP="002E61F2">
      <w:pPr>
        <w:pStyle w:val="GPSL2Numbered"/>
      </w:pPr>
      <w:r>
        <w:lastRenderedPageBreak/>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rsidR="00D81DAD" w:rsidRDefault="00DA14AD" w:rsidP="002E61F2">
      <w:pPr>
        <w:pStyle w:val="GPSL3numberedclause"/>
      </w:pPr>
      <w:r>
        <w:t xml:space="preserve">Orders are clearly identified as such in the order processing and invoicing systems and, where required, Orders are correctly reported in the MI Reports; </w:t>
      </w:r>
    </w:p>
    <w:p w:rsidR="00D81DAD" w:rsidRDefault="00DA14AD" w:rsidP="002E61F2">
      <w:pPr>
        <w:pStyle w:val="GPSL3numberedclause"/>
      </w:pPr>
      <w:r>
        <w:t>all related invoices are completely and accurately included in the MI Reports;</w:t>
      </w:r>
    </w:p>
    <w:p w:rsidR="00D81DAD" w:rsidRDefault="00DA14AD" w:rsidP="002E61F2">
      <w:pPr>
        <w:pStyle w:val="GPSL3numberedclause"/>
      </w:pPr>
      <w:r>
        <w:t xml:space="preserve">all Charges to Contracting Bodies comply with any requirements under </w:t>
      </w:r>
      <w:r w:rsidR="00F7417A">
        <w:t xml:space="preserve">this </w:t>
      </w:r>
      <w:r>
        <w:t xml:space="preserve">Framework </w:t>
      </w:r>
      <w:r w:rsidR="006F4045">
        <w:t xml:space="preserve">Agreement </w:t>
      </w:r>
      <w:r>
        <w:t>on maximum mark-ups, discounts, charge rates, fixed quotes (as applicable); and</w:t>
      </w:r>
    </w:p>
    <w:p w:rsidR="00891B59" w:rsidRPr="00D848A3" w:rsidRDefault="00D848A3" w:rsidP="00D848A3">
      <w:pPr>
        <w:pStyle w:val="GPSL2NumberedBoldHeading"/>
        <w:rPr>
          <w:b w:val="0"/>
        </w:rPr>
      </w:pPr>
      <w:bookmarkStart w:id="240" w:name="_Ref359848820"/>
      <w:r>
        <w:rPr>
          <w:b w:val="0"/>
        </w:rPr>
        <w:t>The Supplier shall together with each Self Audit Certificate also provide assurance,</w:t>
      </w:r>
      <w:r w:rsidR="008972C2">
        <w:rPr>
          <w:b w:val="0"/>
        </w:rPr>
        <w:t xml:space="preserve"> </w:t>
      </w:r>
      <w:r>
        <w:rPr>
          <w:b w:val="0"/>
        </w:rPr>
        <w:t>based on an additional sample from the Contract Year to which the Self Audit Certificate relates</w:t>
      </w:r>
      <w:r w:rsidR="008972C2">
        <w:rPr>
          <w:b w:val="0"/>
        </w:rPr>
        <w:t xml:space="preserve"> </w:t>
      </w:r>
      <w:r w:rsidRPr="00220B8D">
        <w:rPr>
          <w:b w:val="0"/>
        </w:rPr>
        <w:t xml:space="preserve">of </w:t>
      </w:r>
      <w:r>
        <w:rPr>
          <w:b w:val="0"/>
        </w:rPr>
        <w:t xml:space="preserve">10% of orders (or </w:t>
      </w:r>
      <w:r w:rsidRPr="00401D5B">
        <w:rPr>
          <w:b w:val="0"/>
        </w:rPr>
        <w:t>twenty (20)</w:t>
      </w:r>
      <w:r>
        <w:rPr>
          <w:b w:val="0"/>
        </w:rPr>
        <w:t xml:space="preserve"> such</w:t>
      </w:r>
      <w:r w:rsidRPr="00220B8D">
        <w:rPr>
          <w:b w:val="0"/>
        </w:rPr>
        <w:t xml:space="preserve"> orders </w:t>
      </w:r>
      <w:r>
        <w:rPr>
          <w:b w:val="0"/>
        </w:rPr>
        <w:t xml:space="preserve">whichever is less) </w:t>
      </w:r>
      <w:r w:rsidRPr="00220B8D">
        <w:rPr>
          <w:b w:val="0"/>
        </w:rPr>
        <w:t xml:space="preserve">for services </w:t>
      </w:r>
      <w:r>
        <w:rPr>
          <w:b w:val="0"/>
        </w:rPr>
        <w:t>which would otherwise fall within the scope of this Framework Agreement and .</w:t>
      </w:r>
      <w:r w:rsidRPr="00220B8D">
        <w:rPr>
          <w:b w:val="0"/>
        </w:rPr>
        <w:t xml:space="preserve">identified from the Supplier’s order processing and invoicing systems as orders not placed under this Framework Agreement, </w:t>
      </w:r>
      <w:r>
        <w:rPr>
          <w:b w:val="0"/>
        </w:rPr>
        <w:t xml:space="preserve">that </w:t>
      </w:r>
      <w:r w:rsidRPr="00820998">
        <w:rPr>
          <w:b w:val="0"/>
        </w:rPr>
        <w:t xml:space="preserve">an appropriate and legitimately tendered procurement route has been used to place those orders, and </w:t>
      </w:r>
      <w:r w:rsidR="008972C2">
        <w:rPr>
          <w:b w:val="0"/>
        </w:rPr>
        <w:t xml:space="preserve">that </w:t>
      </w:r>
      <w:r w:rsidRPr="00820998">
        <w:rPr>
          <w:b w:val="0"/>
        </w:rPr>
        <w:t>those orders should not otherwise have been routed via centralised mandated procurement processes executed by the Authority.</w:t>
      </w:r>
      <w:r w:rsidDel="00D848A3">
        <w:t xml:space="preserve"> </w:t>
      </w:r>
      <w:bookmarkEnd w:id="240"/>
    </w:p>
    <w:p w:rsidR="00D81DAD" w:rsidRPr="00D848A3" w:rsidRDefault="00DA14AD" w:rsidP="002E61F2">
      <w:pPr>
        <w:pStyle w:val="GPSL2Numbered"/>
      </w:pPr>
      <w:r w:rsidRPr="00D848A3">
        <w:t>Each Self Audit Certificate sh</w:t>
      </w:r>
      <w:r w:rsidR="00D848A3">
        <w:t>all</w:t>
      </w:r>
      <w:r w:rsidRPr="00D848A3">
        <w:t xml:space="preserve"> be supported by an Audit Report that provides details of the methodology applied to complete the review, the sampling techniques applied, details of any issues identified and remedial action taken</w:t>
      </w:r>
      <w:r w:rsidR="008972C2">
        <w:t>,</w:t>
      </w:r>
      <w:r w:rsidR="00D848A3">
        <w:t xml:space="preserve"> and procurement route information identified in Clause 15.5</w:t>
      </w:r>
      <w:r w:rsidRPr="00D848A3">
        <w:t>.</w:t>
      </w:r>
    </w:p>
    <w:p w:rsidR="00D81DAD" w:rsidRPr="008972C2" w:rsidRDefault="00DA14AD" w:rsidP="002E61F2">
      <w:pPr>
        <w:pStyle w:val="GPSL2Numbered"/>
      </w:pPr>
      <w:r w:rsidRPr="00D848A3">
        <w:t>The Supplier shall afford any Auditor access to the records and accounts referred to in Clause </w:t>
      </w:r>
      <w:r w:rsidR="00F71B15" w:rsidRPr="00D848A3">
        <w:fldChar w:fldCharType="begin"/>
      </w:r>
      <w:r w:rsidR="002D2D0D" w:rsidRPr="00D848A3">
        <w:instrText xml:space="preserve"> REF _Ref364956571 \r \h </w:instrText>
      </w:r>
      <w:r w:rsidR="00F71B15" w:rsidRPr="00D848A3">
        <w:fldChar w:fldCharType="separate"/>
      </w:r>
      <w:r w:rsidR="00B3040B" w:rsidRPr="00D848A3">
        <w:t>15.1</w:t>
      </w:r>
      <w:r w:rsidR="00F71B15" w:rsidRPr="00D848A3">
        <w:fldChar w:fldCharType="end"/>
      </w:r>
      <w:r w:rsidR="002D2D0D" w:rsidRPr="00D848A3">
        <w:t xml:space="preserve"> </w:t>
      </w:r>
      <w:r w:rsidRPr="00D848A3">
        <w:t>at the Supplier's premises and/or provide such records and accounts</w:t>
      </w:r>
      <w:r w:rsidR="006F4045" w:rsidRPr="00D848A3">
        <w:t xml:space="preserve"> or copies of the same</w:t>
      </w:r>
      <w:r w:rsidRPr="00D848A3">
        <w:t xml:space="preserve">, as </w:t>
      </w:r>
      <w:r w:rsidRPr="008972C2">
        <w:t>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rsidRPr="008972C2">
        <w:t xml:space="preserve"> to</w:t>
      </w:r>
      <w:r w:rsidRPr="008972C2">
        <w:t xml:space="preserve">: </w:t>
      </w:r>
    </w:p>
    <w:p w:rsidR="00D81DAD" w:rsidRDefault="00DA14AD" w:rsidP="002E61F2">
      <w:pPr>
        <w:pStyle w:val="GPSL3numberedclause"/>
      </w:pPr>
      <w:r w:rsidRPr="00F14D22">
        <w:t xml:space="preserve">verify the accuracy of the Charges and any other amounts payable by a Contracting Body under a Call Off Agreement (including proposed or actual variations to them in accordance with this Framework Agreement); </w:t>
      </w:r>
    </w:p>
    <w:p w:rsidR="00D81DAD" w:rsidRDefault="00DA14AD" w:rsidP="002E61F2">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2E61F2">
      <w:pPr>
        <w:pStyle w:val="GPSL3numberedclause"/>
      </w:pPr>
      <w:r w:rsidRPr="00F14D22">
        <w:t>verify the Open Book Data;</w:t>
      </w:r>
    </w:p>
    <w:p w:rsidR="00D81DAD" w:rsidRDefault="00DA14AD" w:rsidP="002E61F2">
      <w:pPr>
        <w:pStyle w:val="GPSL3numberedclause"/>
      </w:pPr>
      <w:r w:rsidRPr="00F14D22">
        <w:t>verify the Supplier’s and each Sub-Contractor’s compliance with th</w:t>
      </w:r>
      <w:r>
        <w:t>e</w:t>
      </w:r>
      <w:r w:rsidRPr="00F14D22">
        <w:t xml:space="preserve"> applicable Law;</w:t>
      </w:r>
    </w:p>
    <w:p w:rsidR="00D81DAD" w:rsidRDefault="00DA14AD" w:rsidP="002E61F2">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rsidR="00D81DAD" w:rsidRDefault="00DA14AD" w:rsidP="002E61F2">
      <w:pPr>
        <w:pStyle w:val="GPSL3numberedclause"/>
      </w:pPr>
      <w:r w:rsidRPr="00F14D22">
        <w:lastRenderedPageBreak/>
        <w:t xml:space="preserve">identify or investigate any circumstances which may impact upon the financial stability of the </w:t>
      </w:r>
      <w:r w:rsidRPr="00B6625F">
        <w:t>Supplier</w:t>
      </w:r>
      <w:r w:rsidR="00225C7E" w:rsidRPr="00225C7E">
        <w:t>, the Framework Guarantor and/or the Call Off Guarantor</w:t>
      </w:r>
      <w:r>
        <w:t xml:space="preserve"> and/or </w:t>
      </w:r>
      <w:r w:rsidRPr="00F14D22">
        <w:t>any Sub-Contractors or their ability to perform the Services;</w:t>
      </w:r>
    </w:p>
    <w:p w:rsidR="00D81DAD" w:rsidRDefault="00DA14AD" w:rsidP="002E61F2">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rsidR="00D81DAD" w:rsidRDefault="00DA14AD" w:rsidP="002E61F2">
      <w:pPr>
        <w:pStyle w:val="GPSL3numberedclause"/>
      </w:pPr>
      <w:r w:rsidRPr="00F14D22">
        <w:t>review any books of account and the internal contract management accounts kept by the Supplier in connection with this Framework Agreement;</w:t>
      </w:r>
    </w:p>
    <w:p w:rsidR="00D81DAD" w:rsidRDefault="00DA14AD" w:rsidP="002E61F2">
      <w:pPr>
        <w:pStyle w:val="GPSL3numberedclause"/>
      </w:pPr>
      <w:bookmarkStart w:id="241" w:name="_Toc139080151"/>
      <w:r w:rsidRPr="00F14D22">
        <w:t>carry out the Authority’s internal and statutory audits and to prepare, examine and/or certify the Authority's annual and interim reports and accounts;</w:t>
      </w:r>
      <w:bookmarkEnd w:id="241"/>
    </w:p>
    <w:p w:rsidR="00D81DAD" w:rsidRDefault="00DA14AD" w:rsidP="002E61F2">
      <w:pPr>
        <w:pStyle w:val="GPSL3numberedclause"/>
      </w:pPr>
      <w:bookmarkStart w:id="242" w:name="_Toc139080152"/>
      <w:r w:rsidRPr="00F14D22">
        <w:t>enable the National Audit Office to carry out an examination pursuant to Section 6(1) of the National Audit Act 1983 of the economy, efficiency and effectiveness with which the Authority has used its resources;</w:t>
      </w:r>
      <w:bookmarkEnd w:id="242"/>
    </w:p>
    <w:p w:rsidR="00D81DAD" w:rsidRDefault="00DA14AD" w:rsidP="002E61F2">
      <w:pPr>
        <w:pStyle w:val="GPSL3numberedclause"/>
      </w:pPr>
      <w:bookmarkStart w:id="243" w:name="_Toc139080153"/>
      <w:r w:rsidRPr="00F14D22">
        <w:t>verify the accuracy and completeness of any Management Information delivered or required by this Framework Agreement;</w:t>
      </w:r>
      <w:bookmarkEnd w:id="243"/>
    </w:p>
    <w:p w:rsidR="00D81DAD" w:rsidRDefault="00DA14AD" w:rsidP="002E61F2">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rsidR="00D81DAD" w:rsidRDefault="00DA14AD" w:rsidP="002E61F2">
      <w:pPr>
        <w:pStyle w:val="GPSL3numberedclause"/>
      </w:pPr>
      <w:r w:rsidRPr="00F14D22">
        <w:t>review the integrity, confidentiality and security of the Authority</w:t>
      </w:r>
      <w:r w:rsidR="00CF4E0E">
        <w:t xml:space="preserve"> Personal </w:t>
      </w:r>
      <w:r w:rsidRPr="00F14D22">
        <w:t>Data;</w:t>
      </w:r>
      <w:r>
        <w:t xml:space="preserve"> and/or</w:t>
      </w:r>
    </w:p>
    <w:p w:rsidR="00D81DAD" w:rsidRDefault="00DA14AD" w:rsidP="002E61F2">
      <w:pPr>
        <w:pStyle w:val="GPSL3numberedclause"/>
      </w:pPr>
      <w:bookmarkStart w:id="244"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4"/>
    </w:p>
    <w:p w:rsidR="00D81DAD" w:rsidRDefault="00DA14AD" w:rsidP="002E61F2">
      <w:pPr>
        <w:pStyle w:val="GPSL2Numbered"/>
      </w:pPr>
      <w:r>
        <w:t>The Authority shall use reasonable endeavours to ensure that the conduct of each Audit does not unreasonably disrupt the Supplier or delay the provision of the Services pursuant to the Call Off Agreements, save insofar as the Supplier accepts and acknowledges that control over the conduct of Audits carried out by the Auditors</w:t>
      </w:r>
      <w:r w:rsidDel="00C84FE7">
        <w:t xml:space="preserve"> </w:t>
      </w:r>
      <w:r>
        <w:t>is outside of the control of the Authority.</w:t>
      </w:r>
    </w:p>
    <w:p w:rsidR="00D81DAD" w:rsidRDefault="00DA14AD" w:rsidP="002E61F2">
      <w:pPr>
        <w:pStyle w:val="GPSL2Numbered"/>
      </w:pPr>
      <w:r w:rsidRPr="005328E8">
        <w:t>Subject to the Authority's obligations of confidentiality, the Supplier shall on demand provide the Auditors with all reasonable co-operation and assistance in relation to each Audit, including by providing:</w:t>
      </w:r>
    </w:p>
    <w:p w:rsidR="00D81DAD" w:rsidRDefault="00DA14AD" w:rsidP="002E61F2">
      <w:pPr>
        <w:pStyle w:val="GPSL3numberedclause"/>
      </w:pPr>
      <w:r w:rsidRPr="005328E8">
        <w:t>all information within the scope of the Audit requested by the Auditor;</w:t>
      </w:r>
    </w:p>
    <w:p w:rsidR="00D81DAD" w:rsidRDefault="00DA14AD" w:rsidP="002E61F2">
      <w:pPr>
        <w:pStyle w:val="GPSL3numberedclause"/>
      </w:pPr>
      <w:r w:rsidRPr="005328E8">
        <w:t>reasonable access to any sites controlled by the Supplier and to equipment used in the provision of the Services; and</w:t>
      </w:r>
    </w:p>
    <w:p w:rsidR="00D81DAD" w:rsidRDefault="00DA14AD" w:rsidP="002E61F2">
      <w:pPr>
        <w:pStyle w:val="GPSL3numberedclause"/>
      </w:pPr>
      <w:r w:rsidRPr="005328E8">
        <w:t xml:space="preserve">access to the </w:t>
      </w:r>
      <w:r w:rsidRPr="006875AD">
        <w:t>S</w:t>
      </w:r>
      <w:r>
        <w:t>upplier Personnel</w:t>
      </w:r>
      <w:r w:rsidRPr="005328E8">
        <w:t>.</w:t>
      </w:r>
    </w:p>
    <w:p w:rsidR="00D81DAD" w:rsidRDefault="00DA14AD" w:rsidP="002E61F2">
      <w:pPr>
        <w:pStyle w:val="GPSL2Numbered"/>
      </w:pPr>
      <w:bookmarkStart w:id="245"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w:t>
      </w:r>
      <w:r>
        <w:lastRenderedPageBreak/>
        <w:t xml:space="preserve">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5"/>
    </w:p>
    <w:p w:rsidR="00D81DAD" w:rsidRDefault="00DA14AD" w:rsidP="002E61F2">
      <w:pPr>
        <w:pStyle w:val="GPSL2Numbered"/>
      </w:pPr>
      <w:r w:rsidRPr="005328E8">
        <w:t xml:space="preserve">If an Audit reveals that: </w:t>
      </w:r>
    </w:p>
    <w:p w:rsidR="00D81DAD" w:rsidRDefault="00DA14AD" w:rsidP="002E61F2">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rsidR="00D81DAD" w:rsidRDefault="00DA14AD" w:rsidP="002E61F2">
      <w:pPr>
        <w:pStyle w:val="GPSL3numberedclause"/>
      </w:pPr>
      <w:r w:rsidRPr="005328E8">
        <w:t>a material Default</w:t>
      </w:r>
      <w:r w:rsidR="005B628B">
        <w:t xml:space="preserve"> has been committed by the Supplier</w:t>
      </w:r>
      <w:r>
        <w:t>;</w:t>
      </w:r>
    </w:p>
    <w:p w:rsidR="00DA14AD" w:rsidRDefault="00DA14AD" w:rsidP="00F20C99">
      <w:pPr>
        <w:pStyle w:val="GPSL2Indent"/>
      </w:pPr>
      <w:r>
        <w:t>then the Authority shall be entitled to terminate this Framework Agreement.</w:t>
      </w:r>
    </w:p>
    <w:p w:rsidR="00D81DAD" w:rsidRDefault="00DA14AD" w:rsidP="002E61F2">
      <w:pPr>
        <w:pStyle w:val="GPSL2Numbered"/>
      </w:pPr>
      <w:r w:rsidRPr="009876AE">
        <w:t xml:space="preserve">The Parties agree that they shall bear their own respective costs and expenses incurred in respect of compliance with their obligations under this Clause, save as specified in Clause </w:t>
      </w:r>
      <w:r w:rsidR="00826662">
        <w:t>15.10.</w:t>
      </w:r>
    </w:p>
    <w:p w:rsidR="00D81DAD" w:rsidRDefault="001827DA" w:rsidP="002E61F2">
      <w:pPr>
        <w:pStyle w:val="GPSL1CLAUSEHEADING"/>
      </w:pPr>
      <w:bookmarkStart w:id="246" w:name="_Toc378409295"/>
      <w:bookmarkStart w:id="247" w:name="_Ref364956853"/>
      <w:bookmarkStart w:id="248" w:name="_Toc366085142"/>
      <w:bookmarkStart w:id="249" w:name="_Toc379488035"/>
      <w:bookmarkStart w:id="250" w:name="_Toc380052139"/>
      <w:bookmarkStart w:id="251" w:name="_Toc380052649"/>
      <w:bookmarkStart w:id="252" w:name="_Toc391545334"/>
      <w:bookmarkEnd w:id="246"/>
      <w:r w:rsidRPr="001827DA">
        <w:t>CHANGE</w:t>
      </w:r>
      <w:bookmarkEnd w:id="247"/>
      <w:bookmarkEnd w:id="248"/>
      <w:bookmarkEnd w:id="249"/>
      <w:bookmarkEnd w:id="250"/>
      <w:bookmarkEnd w:id="251"/>
      <w:bookmarkEnd w:id="252"/>
    </w:p>
    <w:p w:rsidR="00D81DAD" w:rsidRDefault="00DA14AD" w:rsidP="002E61F2">
      <w:pPr>
        <w:pStyle w:val="GPSL2NumberedBoldHeading"/>
      </w:pPr>
      <w:bookmarkStart w:id="253" w:name="_Ref364957128"/>
      <w:r w:rsidRPr="009876AE">
        <w:t xml:space="preserve">Variation </w:t>
      </w:r>
      <w:r>
        <w:t>Procedure</w:t>
      </w:r>
      <w:bookmarkEnd w:id="253"/>
    </w:p>
    <w:p w:rsidR="00D81DAD" w:rsidRDefault="00DA14AD" w:rsidP="002E61F2">
      <w:pPr>
        <w:pStyle w:val="GPSL3numberedclause"/>
      </w:pPr>
      <w:r w:rsidRPr="00893741">
        <w:t xml:space="preserve">Subject to the provisions of this Clause </w:t>
      </w:r>
      <w:r w:rsidR="00F71B15">
        <w:fldChar w:fldCharType="begin"/>
      </w:r>
      <w:r w:rsidR="002D2D0D">
        <w:instrText xml:space="preserve"> REF _Ref364956853 \r \h </w:instrText>
      </w:r>
      <w:r w:rsidR="00F71B15">
        <w:fldChar w:fldCharType="separate"/>
      </w:r>
      <w:r w:rsidR="00B3040B">
        <w:t>16</w:t>
      </w:r>
      <w:r w:rsidR="00F71B15">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p>
    <w:p w:rsidR="00D81DAD" w:rsidRDefault="004324AB" w:rsidP="002E61F2">
      <w:pPr>
        <w:pStyle w:val="GPSL3numberedclause"/>
      </w:pPr>
      <w:bookmarkStart w:id="254"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4"/>
    </w:p>
    <w:p w:rsidR="00D81DAD" w:rsidRDefault="004324AB" w:rsidP="002E61F2">
      <w:pPr>
        <w:pStyle w:val="GPSL3numberedclause"/>
      </w:pPr>
      <w:r>
        <w:t>T</w:t>
      </w:r>
      <w:r w:rsidR="00DA14AD">
        <w:t xml:space="preserve">he </w:t>
      </w:r>
      <w:r>
        <w:t>Supplier</w:t>
      </w:r>
      <w:r w:rsidR="00DA14AD">
        <w:t xml:space="preserve"> shall respond to the </w:t>
      </w:r>
      <w:r w:rsidR="006325B4">
        <w:t xml:space="preserve">Authority’s request pursuant to Clause </w:t>
      </w:r>
      <w:r w:rsidR="00F71B15">
        <w:fldChar w:fldCharType="begin"/>
      </w:r>
      <w:r w:rsidR="006325B4">
        <w:instrText xml:space="preserve"> REF _Ref366076833 \r \h </w:instrText>
      </w:r>
      <w:r w:rsidR="00F71B15">
        <w:fldChar w:fldCharType="separate"/>
      </w:r>
      <w:r w:rsidR="00B3040B">
        <w:t>16.1.2</w:t>
      </w:r>
      <w:r w:rsidR="00F71B15">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rsidR="005A0B1B" w:rsidRPr="00580DCB" w:rsidRDefault="00DA14AD">
      <w:pPr>
        <w:pStyle w:val="GPSL3numberedclause"/>
      </w:pPr>
      <w:r w:rsidRPr="00580DCB">
        <w:t>In the event that</w:t>
      </w:r>
      <w:r w:rsidR="00E74744" w:rsidRPr="00580DCB">
        <w:t xml:space="preserve"> </w:t>
      </w:r>
      <w:r w:rsidRPr="00580DCB">
        <w:t>the Supplier is unable to agree to the Variation</w:t>
      </w:r>
      <w:r w:rsidR="00E74744" w:rsidRPr="00580DCB">
        <w:t xml:space="preserve"> </w:t>
      </w:r>
      <w:r w:rsidR="00ED5703" w:rsidRPr="00580DCB">
        <w:t>the Authority may:</w:t>
      </w:r>
    </w:p>
    <w:p w:rsidR="005A0B1B" w:rsidRPr="00580DCB" w:rsidRDefault="00ED5703">
      <w:pPr>
        <w:pStyle w:val="GPSL4numberedclause"/>
      </w:pPr>
      <w:r w:rsidRPr="00580DCB">
        <w:t>agree to continue to perform its obligations under this Framework Agreement without the Variation; or</w:t>
      </w:r>
    </w:p>
    <w:p w:rsidR="00E17EE1" w:rsidRPr="00580DCB" w:rsidRDefault="00ED5703" w:rsidP="00E17EE1">
      <w:pPr>
        <w:pStyle w:val="GPSL4numberedclause"/>
      </w:pPr>
      <w:r w:rsidRPr="00580DCB">
        <w:t>terminate this Framework Agreement with immediate effect</w:t>
      </w:r>
      <w:r w:rsidR="00E17EE1">
        <w:t>.</w:t>
      </w:r>
    </w:p>
    <w:p w:rsidR="00E74E6B" w:rsidRPr="00D053B2" w:rsidRDefault="00E74E6B" w:rsidP="00E74E6B">
      <w:pPr>
        <w:pStyle w:val="GPSL2NumberedBoldHeading"/>
      </w:pPr>
      <w:bookmarkStart w:id="255" w:name="_Ref365967206"/>
      <w:r w:rsidRPr="00D053B2">
        <w:t>Changes to the Supplier’s Service Catalogue</w:t>
      </w:r>
    </w:p>
    <w:p w:rsidR="00E74E6B" w:rsidRPr="00E74E6B" w:rsidRDefault="00E74E6B" w:rsidP="007C3B77">
      <w:pPr>
        <w:pStyle w:val="GPSL3numberedclause"/>
      </w:pPr>
      <w:r w:rsidRPr="00E74E6B">
        <w:t>Subject to 16.</w:t>
      </w:r>
      <w:r w:rsidR="00D053B2">
        <w:t>2.2</w:t>
      </w:r>
      <w:r w:rsidRPr="00E74E6B">
        <w:t>, the Supplier may propose:</w:t>
      </w:r>
    </w:p>
    <w:p w:rsidR="00E74E6B" w:rsidRPr="00E74E6B" w:rsidRDefault="00E74E6B" w:rsidP="007C3B77">
      <w:pPr>
        <w:pStyle w:val="GPSL4numberedclause"/>
      </w:pPr>
      <w:r w:rsidRPr="00E74E6B">
        <w:lastRenderedPageBreak/>
        <w:t>a new Service Package to be added to the Service Catalogue;</w:t>
      </w:r>
    </w:p>
    <w:p w:rsidR="00E74E6B" w:rsidRPr="00E74E6B" w:rsidRDefault="00E74E6B" w:rsidP="007C3B77">
      <w:pPr>
        <w:pStyle w:val="GPSL4numberedclause"/>
      </w:pPr>
      <w:r w:rsidRPr="00E74E6B">
        <w:t>an amendment to an existing Service Package in the Service Catalogue; or</w:t>
      </w:r>
    </w:p>
    <w:p w:rsidR="00E74E6B" w:rsidRPr="00E74E6B" w:rsidRDefault="00E74E6B" w:rsidP="007C3B77">
      <w:pPr>
        <w:pStyle w:val="GPSL4numberedclause"/>
      </w:pPr>
      <w:r w:rsidRPr="00E74E6B">
        <w:t>the removal of one of its Se</w:t>
      </w:r>
      <w:r w:rsidR="00C51F8D">
        <w:t>rvice Packages from the Service</w:t>
      </w:r>
      <w:r w:rsidRPr="00E74E6B">
        <w:t xml:space="preserve"> Catalogue.</w:t>
      </w:r>
    </w:p>
    <w:p w:rsidR="00E74E6B" w:rsidRPr="00E74E6B" w:rsidRDefault="003954B7" w:rsidP="007C3B77">
      <w:pPr>
        <w:pStyle w:val="GPSL3numberedclause"/>
      </w:pPr>
      <w:r w:rsidRPr="00E74E6B">
        <w:t xml:space="preserve">The Supplier </w:t>
      </w:r>
      <w:r>
        <w:t xml:space="preserve">shall not be permitted to propose any </w:t>
      </w:r>
      <w:r w:rsidRPr="00E74E6B">
        <w:t>amend</w:t>
      </w:r>
      <w:r>
        <w:t>ments</w:t>
      </w:r>
      <w:r w:rsidRPr="00E74E6B">
        <w:t xml:space="preserve"> or remov</w:t>
      </w:r>
      <w:r>
        <w:t>als</w:t>
      </w:r>
      <w:r w:rsidRPr="00E74E6B">
        <w:t xml:space="preserve"> </w:t>
      </w:r>
      <w:r>
        <w:t xml:space="preserve">in respect of </w:t>
      </w:r>
      <w:r w:rsidRPr="00E74E6B">
        <w:t xml:space="preserve">the </w:t>
      </w:r>
      <w:r>
        <w:t xml:space="preserve">Mandatory </w:t>
      </w:r>
      <w:r w:rsidRPr="00E74E6B">
        <w:t xml:space="preserve">Service Package at any time during the </w:t>
      </w:r>
      <w:r w:rsidR="000D7ABB">
        <w:t>Initial</w:t>
      </w:r>
      <w:r w:rsidRPr="00E74E6B">
        <w:t xml:space="preserve"> Framework </w:t>
      </w:r>
      <w:r w:rsidR="000D7ABB">
        <w:t>Period</w:t>
      </w:r>
      <w:r w:rsidR="00E74E6B" w:rsidRPr="00E74E6B">
        <w:t>.</w:t>
      </w:r>
      <w:r w:rsidR="000D7ABB">
        <w:t xml:space="preserve">  The Supplier may only amend or remove the Mandatory Service Package during any Extension Framework Period.</w:t>
      </w:r>
    </w:p>
    <w:p w:rsidR="00E74E6B" w:rsidRPr="00E74E6B" w:rsidRDefault="00E74E6B" w:rsidP="007C3B77">
      <w:pPr>
        <w:pStyle w:val="GPSL3numberedclause"/>
      </w:pPr>
      <w:r w:rsidRPr="00E74E6B">
        <w:t xml:space="preserve">Any change proposed by </w:t>
      </w:r>
      <w:r w:rsidRPr="007C3B77">
        <w:t xml:space="preserve">the Supplier </w:t>
      </w:r>
      <w:r w:rsidR="0055740A">
        <w:t>pursuant to</w:t>
      </w:r>
      <w:r w:rsidR="0055740A" w:rsidRPr="007C3B77">
        <w:t xml:space="preserve"> </w:t>
      </w:r>
      <w:r w:rsidRPr="007C3B77">
        <w:t>Clause 16.</w:t>
      </w:r>
      <w:r w:rsidR="0055740A">
        <w:t>2.1</w:t>
      </w:r>
      <w:r w:rsidRPr="007C3B77">
        <w:t xml:space="preserve"> must be made by the submission of a </w:t>
      </w:r>
      <w:r w:rsidR="00C51F8D" w:rsidRPr="007C3B77">
        <w:t xml:space="preserve">Service Catalogue Variation Form (Framework Schedule 22) </w:t>
      </w:r>
      <w:r w:rsidR="007C3B77" w:rsidRPr="007C3B77">
        <w:t>to the Authority</w:t>
      </w:r>
      <w:r w:rsidRPr="007C3B77">
        <w:t>.</w:t>
      </w:r>
    </w:p>
    <w:p w:rsidR="00E74E6B" w:rsidRPr="00E74E6B" w:rsidRDefault="00E74E6B" w:rsidP="007C3B77">
      <w:pPr>
        <w:pStyle w:val="GPSL3numberedclause"/>
      </w:pPr>
      <w:r w:rsidRPr="00E74E6B">
        <w:t xml:space="preserve">The Authority </w:t>
      </w:r>
      <w:r w:rsidR="00463FDB">
        <w:t>shall have the sole and absolute right to</w:t>
      </w:r>
      <w:r w:rsidRPr="00E74E6B">
        <w:t xml:space="preserve"> Approve </w:t>
      </w:r>
      <w:r w:rsidR="00463FDB">
        <w:t xml:space="preserve">or deny </w:t>
      </w:r>
      <w:r w:rsidRPr="00E74E6B">
        <w:t>a Service Package</w:t>
      </w:r>
      <w:r w:rsidR="00463FDB">
        <w:t>.  Without prejudice to the Authority’s rights to Approve or deny, the Authority may Approve</w:t>
      </w:r>
      <w:r w:rsidRPr="00E74E6B">
        <w:t xml:space="preserve"> where:</w:t>
      </w:r>
    </w:p>
    <w:p w:rsidR="00E74E6B" w:rsidRPr="00E74E6B" w:rsidRDefault="007C3B77" w:rsidP="007C3B77">
      <w:pPr>
        <w:pStyle w:val="GPSL4numberedclause"/>
      </w:pPr>
      <w:r>
        <w:t>the Service Catalogue Variation Form and the</w:t>
      </w:r>
      <w:r w:rsidRPr="002D579B">
        <w:t xml:space="preserve"> associated Service Package Template</w:t>
      </w:r>
      <w:r>
        <w:t>(s)</w:t>
      </w:r>
      <w:r w:rsidRPr="002D579B">
        <w:t xml:space="preserve"> have been completed correctly</w:t>
      </w:r>
      <w:r w:rsidR="00E74E6B" w:rsidRPr="00C51F8D">
        <w:t>; and</w:t>
      </w:r>
    </w:p>
    <w:p w:rsidR="00E74E6B" w:rsidRPr="00E74E6B" w:rsidRDefault="00E74E6B" w:rsidP="007C3B77">
      <w:pPr>
        <w:pStyle w:val="GPSL4numberedclause"/>
      </w:pPr>
      <w:r w:rsidRPr="00E74E6B">
        <w:t>the proposed variation complies with the requirements of Framework Schedule 2 (Services and Key Performance Indicators); and</w:t>
      </w:r>
    </w:p>
    <w:p w:rsidR="00E74E6B" w:rsidRPr="00E74E6B" w:rsidRDefault="00E74E6B" w:rsidP="007C3B77">
      <w:pPr>
        <w:pStyle w:val="GPSL4numberedclause"/>
      </w:pPr>
      <w:r w:rsidRPr="00E74E6B">
        <w:t>the proposed variation complies with the requirements of Framework Schedule 3 (Framework Prices); and</w:t>
      </w:r>
    </w:p>
    <w:p w:rsidR="00E74E6B" w:rsidRPr="00E74E6B" w:rsidRDefault="00E74E6B" w:rsidP="007C3B77">
      <w:pPr>
        <w:pStyle w:val="GPSL4numberedclause"/>
      </w:pPr>
      <w:r w:rsidRPr="00E74E6B">
        <w:t>the Authority is satisfied that any Approval is compliant with the Law.</w:t>
      </w:r>
    </w:p>
    <w:p w:rsidR="00E74E6B" w:rsidRPr="00E74E6B" w:rsidRDefault="00E74E6B" w:rsidP="007C3B77">
      <w:pPr>
        <w:pStyle w:val="GPSL3numberedclause"/>
      </w:pPr>
      <w:r w:rsidRPr="00E74E6B">
        <w:t xml:space="preserve">The Authority may require the Supplier to meet with it to discuss the variation proposed </w:t>
      </w:r>
      <w:r w:rsidR="0055740A">
        <w:t>pursuant to</w:t>
      </w:r>
      <w:r w:rsidRPr="00E74E6B">
        <w:t xml:space="preserve"> </w:t>
      </w:r>
      <w:r w:rsidR="0055740A">
        <w:t xml:space="preserve">Clause </w:t>
      </w:r>
      <w:r w:rsidRPr="00E74E6B">
        <w:t>16.</w:t>
      </w:r>
      <w:r w:rsidR="0055740A">
        <w:t>2.1</w:t>
      </w:r>
      <w:r w:rsidRPr="00E74E6B">
        <w:t>.</w:t>
      </w:r>
    </w:p>
    <w:p w:rsidR="00E74E6B" w:rsidRPr="00E74E6B" w:rsidRDefault="00E74E6B" w:rsidP="007C3B77">
      <w:pPr>
        <w:pStyle w:val="GPSL3numberedclause"/>
      </w:pPr>
      <w:r w:rsidRPr="00E74E6B">
        <w:tab/>
        <w:t>Where a proposal is Approved by the Authority, the Authority shall notify the Supplier of its Approval of the change to the Service Catalogue by signing and returning the Service Catalogue Variation Form to the Supplier.</w:t>
      </w:r>
    </w:p>
    <w:p w:rsidR="00E74E6B" w:rsidRPr="00E74E6B" w:rsidRDefault="00E74E6B" w:rsidP="007C3B77">
      <w:pPr>
        <w:pStyle w:val="GPSL3numberedclause"/>
      </w:pPr>
      <w:r w:rsidRPr="00E74E6B">
        <w:tab/>
        <w:t>In the event that the Authority does not Approve the proposal, the Authority will notify the Supplier in writing.</w:t>
      </w:r>
    </w:p>
    <w:p w:rsidR="00D81DAD" w:rsidRDefault="00DA14AD" w:rsidP="002E61F2">
      <w:pPr>
        <w:pStyle w:val="GPSL2NumberedBoldHeading"/>
      </w:pPr>
      <w:bookmarkStart w:id="256" w:name="_Ref378412387"/>
      <w:r w:rsidRPr="00E74744">
        <w:t xml:space="preserve">Legislative </w:t>
      </w:r>
      <w:r w:rsidRPr="009876AE">
        <w:t>Change</w:t>
      </w:r>
      <w:bookmarkEnd w:id="255"/>
      <w:bookmarkEnd w:id="256"/>
    </w:p>
    <w:p w:rsidR="00D81DAD" w:rsidRDefault="00DA14AD" w:rsidP="002E61F2">
      <w:pPr>
        <w:pStyle w:val="GPSL3numberedclause"/>
      </w:pPr>
      <w:r w:rsidRPr="006875AD">
        <w:t>The Supplier shall neither be relieved of its obligations under this Framework Agreement nor be entitled to an increase the Framework Prices as the result of:</w:t>
      </w:r>
    </w:p>
    <w:p w:rsidR="00D81DAD" w:rsidRDefault="00DA14AD" w:rsidP="007E2634">
      <w:pPr>
        <w:pStyle w:val="GPSL4numberedclause"/>
      </w:pPr>
      <w:r w:rsidRPr="006875AD">
        <w:t>a General Change in Law; or</w:t>
      </w:r>
    </w:p>
    <w:p w:rsidR="00D81DAD" w:rsidRDefault="00DA14AD" w:rsidP="007E2634">
      <w:pPr>
        <w:pStyle w:val="GPSL4numberedclause"/>
      </w:pPr>
      <w:bookmarkStart w:id="257" w:name="_Ref364957018"/>
      <w:r w:rsidRPr="006875AD">
        <w:t xml:space="preserve">a Specific Change in Law where the effect of that Specific Change in Law on the Services is </w:t>
      </w:r>
      <w:r>
        <w:t xml:space="preserve">reasonably foreseeable </w:t>
      </w:r>
      <w:r w:rsidRPr="006875AD">
        <w:t>at the Framework Commencement Date.</w:t>
      </w:r>
      <w:bookmarkEnd w:id="257"/>
    </w:p>
    <w:p w:rsidR="00D81DAD" w:rsidRDefault="00DA14AD" w:rsidP="002E61F2">
      <w:pPr>
        <w:pStyle w:val="GPSL3numberedclause"/>
      </w:pPr>
      <w:r w:rsidRPr="00B22617">
        <w:lastRenderedPageBreak/>
        <w:t xml:space="preserve">If a Specific Change in Law occurs or will occur during the </w:t>
      </w:r>
      <w:r>
        <w:t xml:space="preserve">Framework </w:t>
      </w:r>
      <w:r w:rsidRPr="00B22617">
        <w:t xml:space="preserve"> Period (other than as referred to in Clause</w:t>
      </w:r>
      <w:r w:rsidR="003E31CB">
        <w:t xml:space="preserve"> </w:t>
      </w:r>
      <w:r w:rsidR="00F71B15">
        <w:fldChar w:fldCharType="begin"/>
      </w:r>
      <w:r w:rsidR="003E31CB">
        <w:instrText xml:space="preserve"> REF _Ref364957018 \r \h </w:instrText>
      </w:r>
      <w:r w:rsidR="00F71B15">
        <w:fldChar w:fldCharType="separate"/>
      </w:r>
      <w:r w:rsidR="00B3040B">
        <w:t>16.2.1(b)</w:t>
      </w:r>
      <w:r w:rsidR="00F71B15">
        <w:fldChar w:fldCharType="end"/>
      </w:r>
      <w:r w:rsidR="003E31CB">
        <w:t>)</w:t>
      </w:r>
      <w:r w:rsidRPr="00B22617">
        <w:t>, the Supplier shall:</w:t>
      </w:r>
    </w:p>
    <w:p w:rsidR="00D81DAD" w:rsidRDefault="00DA14AD" w:rsidP="007E26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Services, the </w:t>
      </w:r>
      <w:r>
        <w:t>Framework Prices</w:t>
      </w:r>
      <w:r w:rsidRPr="009876AE">
        <w:t xml:space="preserve"> or this </w:t>
      </w:r>
      <w:r>
        <w:t>Framework Agreement</w:t>
      </w:r>
      <w:r w:rsidRPr="009876AE">
        <w:t>; and</w:t>
      </w:r>
    </w:p>
    <w:p w:rsidR="00D81DAD" w:rsidRDefault="00DA14AD" w:rsidP="007E2634">
      <w:pPr>
        <w:pStyle w:val="GPSL4numberedclause"/>
      </w:pPr>
      <w:r w:rsidRPr="009876AE">
        <w:t xml:space="preserve">provide the </w:t>
      </w:r>
      <w:r>
        <w:t>Authority</w:t>
      </w:r>
      <w:r w:rsidRPr="009876AE">
        <w:t xml:space="preserve"> with evidence: </w:t>
      </w:r>
    </w:p>
    <w:p w:rsidR="005A0B1B" w:rsidRDefault="00DA14AD">
      <w:pPr>
        <w:pStyle w:val="GPSL5numberedclause"/>
        <w:ind w:left="3119" w:hanging="425"/>
      </w:pPr>
      <w:r w:rsidRPr="009876AE">
        <w:t>that the Supplier has minimised any increase in costs or maximised any reduction in costs, including in respect of the costs of its Sub-Contractors;</w:t>
      </w:r>
    </w:p>
    <w:p w:rsidR="005A0B1B" w:rsidRDefault="00DA14AD">
      <w:pPr>
        <w:pStyle w:val="GPSL5numberedclause"/>
        <w:ind w:left="3119" w:hanging="425"/>
      </w:pPr>
      <w:r w:rsidRPr="009876AE">
        <w:t>as to how the Specific Change in Law has affected the cost of providing the Services</w:t>
      </w:r>
      <w:r>
        <w:t>; and</w:t>
      </w:r>
    </w:p>
    <w:p w:rsidR="005A0B1B" w:rsidRDefault="00DA14AD">
      <w:pPr>
        <w:pStyle w:val="GPSL5numberedclause"/>
        <w:ind w:left="3119" w:hanging="425"/>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rsidR="00D81DAD" w:rsidRDefault="00DA14AD" w:rsidP="002E61F2">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F71B15">
        <w:fldChar w:fldCharType="begin"/>
      </w:r>
      <w:r w:rsidR="003E31CB">
        <w:instrText xml:space="preserve"> REF _Ref364957018 \r \h </w:instrText>
      </w:r>
      <w:r w:rsidR="00F71B15">
        <w:fldChar w:fldCharType="separate"/>
      </w:r>
      <w:r w:rsidR="00B3040B">
        <w:t>16.2.1(b)</w:t>
      </w:r>
      <w:r w:rsidR="00F71B15">
        <w:fldChar w:fldCharType="end"/>
      </w:r>
      <w:r w:rsidR="003E31CB">
        <w:t xml:space="preserve"> </w:t>
      </w:r>
      <w:r w:rsidRPr="000533C2">
        <w:t xml:space="preserve">shall be implemented in accordance with </w:t>
      </w:r>
      <w:r>
        <w:t xml:space="preserve">Clause </w:t>
      </w:r>
      <w:r w:rsidR="00F71B15">
        <w:fldChar w:fldCharType="begin"/>
      </w:r>
      <w:r w:rsidR="003E31CB">
        <w:instrText xml:space="preserve"> REF _Ref364957128 \r \h </w:instrText>
      </w:r>
      <w:r w:rsidR="00F71B15">
        <w:fldChar w:fldCharType="separate"/>
      </w:r>
      <w:r w:rsidR="00B3040B">
        <w:t>16.1</w:t>
      </w:r>
      <w:r w:rsidR="00F71B15">
        <w:fldChar w:fldCharType="end"/>
      </w:r>
      <w:r>
        <w:t>(Variation Procedure)</w:t>
      </w:r>
      <w:r w:rsidRPr="000533C2">
        <w:t>.</w:t>
      </w:r>
    </w:p>
    <w:p w:rsidR="00D81DAD" w:rsidRDefault="00820631" w:rsidP="002E61F2">
      <w:pPr>
        <w:pStyle w:val="GPSSectionHeading"/>
      </w:pPr>
      <w:bookmarkStart w:id="258" w:name="_Toc366085143"/>
      <w:bookmarkStart w:id="259" w:name="_Toc379488036"/>
      <w:bookmarkStart w:id="260" w:name="_Toc380052140"/>
      <w:bookmarkStart w:id="261" w:name="_Toc380052650"/>
      <w:bookmarkStart w:id="262" w:name="_Toc391545335"/>
      <w:r>
        <w:t xml:space="preserve">MANAGEMENT CHARGE, </w:t>
      </w:r>
      <w:r w:rsidR="00DA14AD">
        <w:t>TAXATION AND VALUE FOR MONEY PROVISIONS</w:t>
      </w:r>
      <w:bookmarkEnd w:id="258"/>
      <w:bookmarkEnd w:id="259"/>
      <w:bookmarkEnd w:id="260"/>
      <w:bookmarkEnd w:id="261"/>
      <w:bookmarkEnd w:id="262"/>
      <w:r w:rsidR="00044569">
        <w:t xml:space="preserve">    </w:t>
      </w:r>
    </w:p>
    <w:p w:rsidR="00D81DAD" w:rsidRDefault="001827DA" w:rsidP="002E61F2">
      <w:pPr>
        <w:pStyle w:val="GPSL1CLAUSEHEADING"/>
      </w:pPr>
      <w:bookmarkStart w:id="263" w:name="_Ref365013560"/>
      <w:bookmarkStart w:id="264" w:name="_Toc366085144"/>
      <w:bookmarkStart w:id="265" w:name="_Toc379488037"/>
      <w:bookmarkStart w:id="266" w:name="_Toc380052141"/>
      <w:bookmarkStart w:id="267" w:name="_Toc380052651"/>
      <w:bookmarkStart w:id="268" w:name="_Toc391545336"/>
      <w:r w:rsidRPr="001827DA">
        <w:t>MANAGEMENT CHARGE</w:t>
      </w:r>
      <w:bookmarkEnd w:id="263"/>
      <w:bookmarkEnd w:id="264"/>
      <w:bookmarkEnd w:id="265"/>
      <w:bookmarkEnd w:id="266"/>
      <w:bookmarkEnd w:id="267"/>
      <w:bookmarkEnd w:id="268"/>
    </w:p>
    <w:p w:rsidR="00D81DAD" w:rsidRDefault="00820631" w:rsidP="002E61F2">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F71B15">
        <w:fldChar w:fldCharType="begin"/>
      </w:r>
      <w:r w:rsidR="00344201">
        <w:instrText xml:space="preserve"> REF _Ref365013560 \r \h </w:instrText>
      </w:r>
      <w:r w:rsidR="00F71B15">
        <w:fldChar w:fldCharType="separate"/>
      </w:r>
      <w:r w:rsidR="00B3040B">
        <w:t>17</w:t>
      </w:r>
      <w:r w:rsidR="00F71B15">
        <w:fldChar w:fldCharType="end"/>
      </w:r>
      <w:r w:rsidRPr="006875AD">
        <w:t>.</w:t>
      </w:r>
    </w:p>
    <w:p w:rsidR="00D81DAD" w:rsidRDefault="00820631" w:rsidP="002E61F2">
      <w:pPr>
        <w:pStyle w:val="GPSL2Numbered"/>
      </w:pPr>
      <w:bookmarkStart w:id="26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9"/>
    </w:p>
    <w:p w:rsidR="00D81DAD" w:rsidRDefault="00820631" w:rsidP="002E61F2">
      <w:pPr>
        <w:pStyle w:val="GPSL3numberedclause"/>
      </w:pPr>
      <w:r w:rsidRPr="006875AD">
        <w:t>in accordance with paragraph</w:t>
      </w:r>
      <w:r w:rsidR="00706C7C">
        <w:t xml:space="preserve">s </w:t>
      </w:r>
      <w:r w:rsidR="00F71B15">
        <w:fldChar w:fldCharType="begin"/>
      </w:r>
      <w:r w:rsidR="00706C7C">
        <w:instrText xml:space="preserve"> REF _Ref365984073 \r \h </w:instrText>
      </w:r>
      <w:r w:rsidR="00F71B15">
        <w:fldChar w:fldCharType="separate"/>
      </w:r>
      <w:r w:rsidR="00B3040B">
        <w:t>5.4</w:t>
      </w:r>
      <w:r w:rsidR="00F71B15">
        <w:fldChar w:fldCharType="end"/>
      </w:r>
      <w:r w:rsidR="00706C7C">
        <w:t xml:space="preserve"> to </w:t>
      </w:r>
      <w:r w:rsidR="00F71B15">
        <w:fldChar w:fldCharType="begin"/>
      </w:r>
      <w:r w:rsidR="00706C7C">
        <w:instrText xml:space="preserve"> REF _Ref366090069 \r \h </w:instrText>
      </w:r>
      <w:r w:rsidR="00F71B15">
        <w:fldChar w:fldCharType="separate"/>
      </w:r>
      <w:r w:rsidR="00B3040B">
        <w:t>5.7</w:t>
      </w:r>
      <w:r w:rsidR="00F71B15">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rsidR="00D81DAD" w:rsidRDefault="00706C7C" w:rsidP="002E61F2">
      <w:pPr>
        <w:pStyle w:val="GPSL3numberedclause"/>
      </w:pPr>
      <w:r w:rsidRPr="006875AD">
        <w:t>in accordance with paragraph</w:t>
      </w:r>
      <w:r>
        <w:t xml:space="preserve"> </w:t>
      </w:r>
      <w:r w:rsidR="00F71B15">
        <w:fldChar w:fldCharType="begin"/>
      </w:r>
      <w:r>
        <w:instrText xml:space="preserve"> REF _Ref366090287 \r \h </w:instrText>
      </w:r>
      <w:r w:rsidR="00F71B15">
        <w:fldChar w:fldCharType="separate"/>
      </w:r>
      <w:r w:rsidR="00B3040B">
        <w:t>6</w:t>
      </w:r>
      <w:r w:rsidR="00F71B15">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rsidR="00D81DAD" w:rsidRDefault="00820631" w:rsidP="002E61F2">
      <w:pPr>
        <w:pStyle w:val="GPSL2Numbered"/>
      </w:pPr>
      <w:r w:rsidRPr="006875AD">
        <w:t xml:space="preserve">Unless otherwise agreed in writing, the Supplier shall pay by </w:t>
      </w:r>
      <w:r w:rsidR="00653669" w:rsidRPr="006875AD">
        <w:t>BACS (</w:t>
      </w:r>
      <w:r w:rsidRPr="006875AD">
        <w:t>or by such other means as the Authority may from time to time reasonably require)) the amount stated in any invoice submitted under</w:t>
      </w:r>
      <w:r w:rsidR="008E21B6">
        <w:t xml:space="preserve"> Clause </w:t>
      </w:r>
      <w:r w:rsidR="00F71B15">
        <w:fldChar w:fldCharType="begin"/>
      </w:r>
      <w:r w:rsidR="008E21B6">
        <w:instrText xml:space="preserve"> REF _Ref365014469 \r \h </w:instrText>
      </w:r>
      <w:r w:rsidR="00F71B15">
        <w:fldChar w:fldCharType="separate"/>
      </w:r>
      <w:r w:rsidR="00B3040B">
        <w:t>17.2</w:t>
      </w:r>
      <w:r w:rsidR="00F71B15">
        <w:fldChar w:fldCharType="end"/>
      </w:r>
      <w:r w:rsidRPr="006875AD">
        <w:t xml:space="preserve">  to such account as shall be stated in the invoice (or otherwise notified from time to time by the </w:t>
      </w:r>
      <w:r w:rsidRPr="006875AD">
        <w:lastRenderedPageBreak/>
        <w:t>Authority to the Supplier) within thirty (30) calendar days of the date of issue of the invoice.</w:t>
      </w:r>
    </w:p>
    <w:p w:rsidR="00D81DAD" w:rsidRDefault="00820631" w:rsidP="002E61F2">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rsidR="00D81DAD" w:rsidRDefault="00820631" w:rsidP="002E61F2">
      <w:pPr>
        <w:pStyle w:val="GPSL2Numbered"/>
      </w:pPr>
      <w:r w:rsidRPr="006875AD">
        <w:t>The Supplier shall not pass through or recharge to, or otherwise recover from any Contracting Body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D81DAD" w:rsidRDefault="00820631" w:rsidP="002E61F2">
      <w:pPr>
        <w:pStyle w:val="GPSL2Numbered"/>
      </w:pPr>
      <w:r w:rsidRPr="006875AD">
        <w:t>Interest shall be payable on any late payments of the Management Charge under this Framework Agreement in accordance with the Late Payment of Commercial Debts</w:t>
      </w:r>
      <w:r>
        <w:t xml:space="preserve"> (Interest) Act 1998.</w:t>
      </w:r>
    </w:p>
    <w:p w:rsidR="00811FC3" w:rsidRDefault="00811FC3" w:rsidP="002E61F2">
      <w:pPr>
        <w:pStyle w:val="GPSL2Numbered"/>
      </w:pPr>
      <w:r>
        <w:t>The Parties shall comply with Framework Schedule 3 (Framework Prices).</w:t>
      </w:r>
    </w:p>
    <w:p w:rsidR="00D81DAD" w:rsidRDefault="001827DA" w:rsidP="002E61F2">
      <w:pPr>
        <w:pStyle w:val="GPSL1CLAUSEHEADING"/>
      </w:pPr>
      <w:bookmarkStart w:id="270" w:name="_Ref359935341"/>
      <w:bookmarkStart w:id="271" w:name="_Toc366085145"/>
      <w:bookmarkStart w:id="272" w:name="_Toc379488038"/>
      <w:bookmarkStart w:id="273" w:name="_Toc380052142"/>
      <w:bookmarkStart w:id="274" w:name="_Toc380052652"/>
      <w:bookmarkStart w:id="275" w:name="_Toc391545337"/>
      <w:r w:rsidRPr="001827DA">
        <w:t>PROMOTING TAX COMPLIANCE</w:t>
      </w:r>
      <w:bookmarkEnd w:id="270"/>
      <w:bookmarkEnd w:id="271"/>
      <w:bookmarkEnd w:id="272"/>
      <w:bookmarkEnd w:id="273"/>
      <w:bookmarkEnd w:id="274"/>
      <w:bookmarkEnd w:id="275"/>
    </w:p>
    <w:p w:rsidR="00D81DAD" w:rsidRDefault="00DA14AD" w:rsidP="002E61F2">
      <w:pPr>
        <w:pStyle w:val="GPSL2Numbered"/>
      </w:pPr>
      <w:r>
        <w:t>If, at any point during the Framework Period, an Occasion of Tax Non-Compliance occurs</w:t>
      </w:r>
      <w:r w:rsidRPr="00F65D50">
        <w:t>, the Supplier shall</w:t>
      </w:r>
      <w:r>
        <w:t>:</w:t>
      </w:r>
    </w:p>
    <w:p w:rsidR="00D81DAD" w:rsidRDefault="00DA14AD" w:rsidP="002E61F2">
      <w:pPr>
        <w:pStyle w:val="GPSL3numberedclause"/>
      </w:pPr>
      <w:r>
        <w:t>notify the Authority</w:t>
      </w:r>
      <w:r w:rsidRPr="00387167">
        <w:t xml:space="preserve"> in writing </w:t>
      </w:r>
      <w:r>
        <w:t>of such fact within five (</w:t>
      </w:r>
      <w:r w:rsidRPr="009F582A">
        <w:t>5</w:t>
      </w:r>
      <w:r>
        <w:t>) Working Days of its occurrence; and</w:t>
      </w:r>
    </w:p>
    <w:p w:rsidR="00D81DAD" w:rsidRDefault="00DA14AD" w:rsidP="002E61F2">
      <w:pPr>
        <w:pStyle w:val="GPSL3numberedclause"/>
      </w:pPr>
      <w:r>
        <w:t>promptly provide to the Authority:</w:t>
      </w:r>
    </w:p>
    <w:p w:rsidR="00D81DAD" w:rsidRDefault="00DA14AD" w:rsidP="007E26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rsidR="00D81DAD" w:rsidRDefault="00DA14AD" w:rsidP="007E26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rsidR="00D81DAD" w:rsidRDefault="001827DA" w:rsidP="002E61F2">
      <w:pPr>
        <w:pStyle w:val="GPSL1CLAUSEHEADING"/>
      </w:pPr>
      <w:bookmarkStart w:id="276" w:name="_Toc366085146"/>
      <w:bookmarkStart w:id="277" w:name="_Toc379488039"/>
      <w:bookmarkStart w:id="278" w:name="_Toc380052143"/>
      <w:bookmarkStart w:id="279" w:name="_Toc380052653"/>
      <w:bookmarkStart w:id="280" w:name="_Toc391545338"/>
      <w:r w:rsidRPr="001827DA">
        <w:t>BENCHMARKING</w:t>
      </w:r>
      <w:bookmarkEnd w:id="276"/>
      <w:bookmarkEnd w:id="277"/>
      <w:bookmarkEnd w:id="278"/>
      <w:bookmarkEnd w:id="279"/>
      <w:bookmarkEnd w:id="280"/>
    </w:p>
    <w:p w:rsidR="00D81DAD" w:rsidRDefault="00820631" w:rsidP="002E61F2">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Services.</w:t>
      </w:r>
    </w:p>
    <w:p w:rsidR="008C0063" w:rsidRPr="00BC0123" w:rsidRDefault="00BC0123">
      <w:pPr>
        <w:pStyle w:val="GPSL1CLAUSEHEADING"/>
      </w:pPr>
      <w:bookmarkStart w:id="281" w:name="_Ref365044467"/>
      <w:bookmarkStart w:id="282" w:name="_Ref365044511"/>
      <w:bookmarkStart w:id="283" w:name="_Toc366085147"/>
      <w:bookmarkStart w:id="284" w:name="_Toc379488040"/>
      <w:bookmarkStart w:id="285" w:name="_Toc380052144"/>
      <w:bookmarkStart w:id="286" w:name="_Toc380052654"/>
      <w:bookmarkStart w:id="287" w:name="_Toc391545339"/>
      <w:r>
        <w:t>NOT USED</w:t>
      </w:r>
      <w:bookmarkEnd w:id="281"/>
      <w:bookmarkEnd w:id="282"/>
      <w:bookmarkEnd w:id="283"/>
      <w:bookmarkEnd w:id="284"/>
      <w:bookmarkEnd w:id="285"/>
      <w:bookmarkEnd w:id="286"/>
      <w:bookmarkEnd w:id="287"/>
    </w:p>
    <w:p w:rsidR="00D81DAD" w:rsidRDefault="00CB63F2" w:rsidP="002E61F2">
      <w:pPr>
        <w:pStyle w:val="GPSSectionHeading"/>
      </w:pPr>
      <w:bookmarkStart w:id="288" w:name="_Toc378236981"/>
      <w:bookmarkStart w:id="289" w:name="_Toc378237150"/>
      <w:bookmarkStart w:id="290" w:name="_Toc378237243"/>
      <w:bookmarkStart w:id="291" w:name="_Toc378409302"/>
      <w:bookmarkStart w:id="292" w:name="_Toc378236982"/>
      <w:bookmarkStart w:id="293" w:name="_Toc378237151"/>
      <w:bookmarkStart w:id="294" w:name="_Toc378237244"/>
      <w:bookmarkStart w:id="295" w:name="_Toc378409303"/>
      <w:bookmarkStart w:id="296" w:name="_Toc366085148"/>
      <w:bookmarkStart w:id="297" w:name="_Toc379488041"/>
      <w:bookmarkStart w:id="298" w:name="_Toc380052145"/>
      <w:bookmarkStart w:id="299" w:name="_Toc380052655"/>
      <w:bookmarkStart w:id="300" w:name="_Toc391545340"/>
      <w:bookmarkEnd w:id="288"/>
      <w:bookmarkEnd w:id="289"/>
      <w:bookmarkEnd w:id="290"/>
      <w:bookmarkEnd w:id="291"/>
      <w:bookmarkEnd w:id="292"/>
      <w:bookmarkEnd w:id="293"/>
      <w:bookmarkEnd w:id="294"/>
      <w:bookmarkEnd w:id="295"/>
      <w:r>
        <w:t>SUPPLIER PERSONNEL AND SUPPLY CHAIN MATTERS</w:t>
      </w:r>
      <w:bookmarkEnd w:id="296"/>
      <w:bookmarkEnd w:id="297"/>
      <w:bookmarkEnd w:id="298"/>
      <w:bookmarkEnd w:id="299"/>
      <w:bookmarkEnd w:id="300"/>
    </w:p>
    <w:p w:rsidR="008C0063" w:rsidRPr="008D0FD1" w:rsidRDefault="004B6F3F">
      <w:pPr>
        <w:pStyle w:val="GPSL1CLAUSEHEADING"/>
      </w:pPr>
      <w:bookmarkStart w:id="301" w:name="_Ref364942714"/>
      <w:bookmarkStart w:id="302" w:name="_Toc366085149"/>
      <w:bookmarkStart w:id="303" w:name="_Toc379488042"/>
      <w:bookmarkStart w:id="304" w:name="_Toc380052146"/>
      <w:bookmarkStart w:id="305" w:name="_Toc380052656"/>
      <w:bookmarkStart w:id="306" w:name="_Toc391545341"/>
      <w:r w:rsidRPr="008D0FD1">
        <w:t>NOT USED</w:t>
      </w:r>
      <w:bookmarkEnd w:id="301"/>
      <w:bookmarkEnd w:id="302"/>
      <w:bookmarkEnd w:id="303"/>
      <w:bookmarkEnd w:id="304"/>
      <w:bookmarkEnd w:id="305"/>
      <w:bookmarkEnd w:id="306"/>
    </w:p>
    <w:p w:rsidR="00D81DAD" w:rsidRDefault="001827DA" w:rsidP="002E61F2">
      <w:pPr>
        <w:pStyle w:val="GPSL1CLAUSEHEADING"/>
      </w:pPr>
      <w:bookmarkStart w:id="307" w:name="_Toc378236985"/>
      <w:bookmarkStart w:id="308" w:name="_Toc378237154"/>
      <w:bookmarkStart w:id="309" w:name="_Toc378237247"/>
      <w:bookmarkStart w:id="310" w:name="_Toc378409306"/>
      <w:bookmarkStart w:id="311" w:name="_Toc375149277"/>
      <w:bookmarkStart w:id="312" w:name="_Toc375149364"/>
      <w:bookmarkStart w:id="313" w:name="_Ref365039988"/>
      <w:bookmarkStart w:id="314" w:name="_Ref365039993"/>
      <w:bookmarkStart w:id="315" w:name="_Toc366085150"/>
      <w:bookmarkStart w:id="316" w:name="_Toc379488043"/>
      <w:bookmarkStart w:id="317" w:name="_Toc380052147"/>
      <w:bookmarkStart w:id="318" w:name="_Toc380052657"/>
      <w:bookmarkStart w:id="319" w:name="_Toc391545342"/>
      <w:bookmarkEnd w:id="307"/>
      <w:bookmarkEnd w:id="308"/>
      <w:bookmarkEnd w:id="309"/>
      <w:bookmarkEnd w:id="310"/>
      <w:bookmarkEnd w:id="311"/>
      <w:bookmarkEnd w:id="312"/>
      <w:r w:rsidRPr="001827DA">
        <w:t>SUPPLY CHAIN RIGHTS AND PROTECTION</w:t>
      </w:r>
      <w:bookmarkEnd w:id="313"/>
      <w:bookmarkEnd w:id="314"/>
      <w:bookmarkEnd w:id="315"/>
      <w:bookmarkEnd w:id="316"/>
      <w:bookmarkEnd w:id="317"/>
      <w:bookmarkEnd w:id="318"/>
      <w:bookmarkEnd w:id="319"/>
    </w:p>
    <w:p w:rsidR="00D81DAD" w:rsidRDefault="00CB63F2" w:rsidP="002E61F2">
      <w:pPr>
        <w:pStyle w:val="GPSL2NumberedBoldHeading"/>
      </w:pPr>
      <w:bookmarkStart w:id="320" w:name="_Ref365980203"/>
      <w:r>
        <w:t xml:space="preserve">Appointment of </w:t>
      </w:r>
      <w:r w:rsidR="00DF7C7B">
        <w:t xml:space="preserve">Sub-Contractors and </w:t>
      </w:r>
      <w:r>
        <w:t xml:space="preserve">Key </w:t>
      </w:r>
      <w:r w:rsidRPr="009876AE">
        <w:t>Sub-Contract</w:t>
      </w:r>
      <w:r>
        <w:t>ors</w:t>
      </w:r>
      <w:bookmarkEnd w:id="320"/>
    </w:p>
    <w:p w:rsidR="00D81DAD" w:rsidRDefault="00DF7C7B" w:rsidP="002E61F2">
      <w:pPr>
        <w:pStyle w:val="GPSL3numberedclause"/>
      </w:pPr>
      <w:bookmarkStart w:id="321" w:name="_Ref365014715"/>
      <w:r>
        <w:t xml:space="preserve">Subject to Clause </w:t>
      </w:r>
      <w:r w:rsidR="00F71B15">
        <w:fldChar w:fldCharType="begin"/>
      </w:r>
      <w:r w:rsidR="00A47550">
        <w:instrText xml:space="preserve"> REF _Ref378673514 \r \h </w:instrText>
      </w:r>
      <w:r w:rsidR="00F71B15">
        <w:fldChar w:fldCharType="separate"/>
      </w:r>
      <w:r w:rsidR="00A47550">
        <w:t>22.3</w:t>
      </w:r>
      <w:r w:rsidR="00F71B15">
        <w:fldChar w:fldCharType="end"/>
      </w:r>
      <w:r>
        <w:t xml:space="preserve"> (Termination of Sub-Contracts and Key Sub-Contracts), t</w:t>
      </w:r>
      <w:r w:rsidRPr="00B7667C">
        <w:t xml:space="preserve">he </w:t>
      </w:r>
      <w:r>
        <w:t xml:space="preserve">Supplier may Sub-Contract the Services (or part thereof) to Sub-Contractors, provided that the Supplier may not appoint or remove a Key-Sub-Contractor except in accordance with this Clause </w:t>
      </w:r>
      <w:r w:rsidR="00F71B15">
        <w:fldChar w:fldCharType="begin"/>
      </w:r>
      <w:r>
        <w:instrText xml:space="preserve"> REF _Ref365039988 \r \h </w:instrText>
      </w:r>
      <w:r w:rsidR="00F71B15">
        <w:fldChar w:fldCharType="separate"/>
      </w:r>
      <w:r>
        <w:t>22</w:t>
      </w:r>
      <w:r w:rsidR="00F71B15">
        <w:fldChar w:fldCharType="end"/>
      </w:r>
      <w:r>
        <w:t xml:space="preserve"> (Supply Chain Rights and Protection). For the </w:t>
      </w:r>
      <w:r>
        <w:lastRenderedPageBreak/>
        <w:t>avoidance of doubt, the</w:t>
      </w:r>
      <w:r w:rsidR="00CB63F2" w:rsidRPr="00B7667C">
        <w:t xml:space="preserve"> </w:t>
      </w:r>
      <w:r w:rsidR="00CB63F2">
        <w:t>Authority</w:t>
      </w:r>
      <w:r w:rsidR="00CB63F2" w:rsidRPr="00B7667C">
        <w:t xml:space="preserve"> has consented to the engagement of the </w:t>
      </w:r>
      <w:r w:rsidR="00CB63F2">
        <w:t xml:space="preserve">Key </w:t>
      </w:r>
      <w:r w:rsidR="00CB63F2" w:rsidRPr="00B7667C">
        <w:t xml:space="preserve">Sub-Contractors listed in Framework Schedule </w:t>
      </w:r>
      <w:r w:rsidR="00EA6CAB">
        <w:t>7</w:t>
      </w:r>
      <w:r w:rsidR="00CB63F2" w:rsidRPr="00B7667C">
        <w:t xml:space="preserve"> (</w:t>
      </w:r>
      <w:r w:rsidR="00CB63F2">
        <w:t xml:space="preserve">Key </w:t>
      </w:r>
      <w:r w:rsidR="00CB63F2" w:rsidRPr="00B7667C">
        <w:t>Sub-Contractors).</w:t>
      </w:r>
      <w:bookmarkEnd w:id="321"/>
    </w:p>
    <w:p w:rsidR="00360CAF" w:rsidRDefault="00360CAF" w:rsidP="00360CAF">
      <w:pPr>
        <w:pStyle w:val="GPSL3numberedclause"/>
      </w:pPr>
      <w:bookmarkStart w:id="322" w:name="_Ref375056422"/>
      <w:bookmarkStart w:id="323" w:name="_Ref364871032"/>
      <w:r>
        <w:t>T</w:t>
      </w:r>
      <w:r w:rsidRPr="00F65D50">
        <w:t xml:space="preserve">he Supplier </w:t>
      </w:r>
      <w:r>
        <w:t xml:space="preserve">shall </w:t>
      </w:r>
      <w:r w:rsidR="004B6DDD">
        <w:t xml:space="preserve">use all reasonable endeavours to </w:t>
      </w:r>
      <w:r>
        <w:t xml:space="preserve">ensure that each Key Sub-Contract </w:t>
      </w:r>
      <w:r w:rsidRPr="00893741">
        <w:t>shall include</w:t>
      </w:r>
      <w:r w:rsidRPr="00B7667C">
        <w:t>:</w:t>
      </w:r>
      <w:bookmarkEnd w:id="322"/>
      <w:r w:rsidRPr="00B7667C">
        <w:t xml:space="preserve"> </w:t>
      </w:r>
    </w:p>
    <w:p w:rsidR="00360CAF" w:rsidRDefault="00360CAF" w:rsidP="00360CAF">
      <w:pPr>
        <w:pStyle w:val="GPSL4numberedclause"/>
      </w:pPr>
      <w:r w:rsidRPr="009876AE">
        <w:t xml:space="preserve">provisions which will enable the Supplier to discharge its obligations under this </w:t>
      </w:r>
      <w:r>
        <w:t>Framework Agreement</w:t>
      </w:r>
      <w:r w:rsidRPr="009876AE">
        <w:t>;</w:t>
      </w:r>
    </w:p>
    <w:p w:rsidR="00360CAF" w:rsidRDefault="00360CAF" w:rsidP="00360CAF">
      <w:pPr>
        <w:pStyle w:val="GPSL4numberedclause"/>
      </w:pPr>
      <w:r w:rsidRPr="009876AE">
        <w:t xml:space="preserve">a right under CRTPA for the </w:t>
      </w:r>
      <w:r>
        <w:t>Authority</w:t>
      </w:r>
      <w:r w:rsidRPr="009876AE">
        <w:t xml:space="preserve"> to enforce any provisions </w:t>
      </w:r>
      <w:r w:rsidR="00BB44FB">
        <w:t>in</w:t>
      </w:r>
      <w:r w:rsidRPr="009876AE">
        <w:t xml:space="preserve"> </w:t>
      </w:r>
      <w:r w:rsidR="00BB44FB">
        <w:t>such</w:t>
      </w:r>
      <w:r w:rsidRPr="009876AE">
        <w:t xml:space="preserve"> </w:t>
      </w:r>
      <w:r>
        <w:t>Key Sub-C</w:t>
      </w:r>
      <w:r w:rsidRPr="009876AE">
        <w:t xml:space="preserve">ontract which confer a benefit upon the </w:t>
      </w:r>
      <w:r>
        <w:t>Authority</w:t>
      </w:r>
      <w:r w:rsidRPr="009876AE">
        <w:t>;</w:t>
      </w:r>
    </w:p>
    <w:p w:rsidR="00360CAF" w:rsidRDefault="00360CAF" w:rsidP="00360CAF">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rsidR="00360CAF" w:rsidRDefault="00360CAF" w:rsidP="00360CAF">
      <w:pPr>
        <w:pStyle w:val="GPSL4numberedclause"/>
      </w:pPr>
      <w:r w:rsidRPr="009876AE">
        <w:t xml:space="preserve">a provision enabling the Supplier to assign, </w:t>
      </w:r>
      <w:proofErr w:type="spellStart"/>
      <w:r w:rsidRPr="009876AE">
        <w:t>novate</w:t>
      </w:r>
      <w:proofErr w:type="spellEnd"/>
      <w:r w:rsidRPr="009876AE">
        <w:t xml:space="preserve"> or otherwise transfer any of its rights and/or obligations under the </w:t>
      </w:r>
      <w:r>
        <w:t xml:space="preserve">Key </w:t>
      </w:r>
      <w:r w:rsidRPr="009876AE">
        <w:t xml:space="preserve">Sub-Contract to the </w:t>
      </w:r>
      <w:r>
        <w:t>Authority</w:t>
      </w:r>
      <w:r w:rsidRPr="009876AE">
        <w:t xml:space="preserve">; </w:t>
      </w:r>
    </w:p>
    <w:p w:rsidR="00360CAF" w:rsidRDefault="00360CAF" w:rsidP="00360CAF">
      <w:pPr>
        <w:pStyle w:val="GPSL4numberedclause"/>
      </w:pPr>
      <w:r w:rsidRPr="009876AE">
        <w:t>obligati</w:t>
      </w:r>
      <w:r>
        <w:t>ons no less onerous on the Key Sub-C</w:t>
      </w:r>
      <w:r w:rsidRPr="009876AE">
        <w:t xml:space="preserve">ontractor than those imposed on the Supplier under this </w:t>
      </w:r>
      <w:r>
        <w:t>Framework Agreement</w:t>
      </w:r>
      <w:r w:rsidRPr="009876AE">
        <w:t xml:space="preserve"> in respect of:</w:t>
      </w:r>
    </w:p>
    <w:p w:rsidR="005A0B1B" w:rsidRDefault="00360CAF">
      <w:pPr>
        <w:pStyle w:val="GPSL5numberedclause"/>
        <w:ind w:left="3119" w:hanging="425"/>
      </w:pPr>
      <w:r>
        <w:t xml:space="preserve">the </w:t>
      </w:r>
      <w:r w:rsidRPr="009876AE">
        <w:t xml:space="preserve">data protection requirements set out in </w:t>
      </w:r>
      <w:r>
        <w:t xml:space="preserve">Clause </w:t>
      </w:r>
      <w:r w:rsidR="000822F5">
        <w:fldChar w:fldCharType="begin"/>
      </w:r>
      <w:r w:rsidR="000822F5">
        <w:instrText xml:space="preserve"> REF _Ref365017837 \r \h  \* MERGEFORMAT </w:instrText>
      </w:r>
      <w:r w:rsidR="000822F5">
        <w:fldChar w:fldCharType="separate"/>
      </w:r>
      <w:r>
        <w:t>24.5</w:t>
      </w:r>
      <w:r w:rsidR="000822F5">
        <w:fldChar w:fldCharType="end"/>
      </w:r>
      <w:r>
        <w:t xml:space="preserve"> (Protection of Personal Data)</w:t>
      </w:r>
      <w:r w:rsidRPr="009876AE">
        <w:t>;</w:t>
      </w:r>
    </w:p>
    <w:p w:rsidR="005A0B1B" w:rsidRDefault="00360CAF">
      <w:pPr>
        <w:pStyle w:val="GPSL5numberedclause"/>
        <w:ind w:left="3119" w:hanging="425"/>
      </w:pPr>
      <w:r>
        <w:t xml:space="preserve">the </w:t>
      </w:r>
      <w:r w:rsidRPr="009876AE">
        <w:t xml:space="preserve">FOIA requirements set out in </w:t>
      </w:r>
      <w:r w:rsidRPr="00C339A0">
        <w:t xml:space="preserve">Clause </w:t>
      </w:r>
      <w:r w:rsidR="000822F5">
        <w:fldChar w:fldCharType="begin"/>
      </w:r>
      <w:r w:rsidR="000822F5">
        <w:instrText xml:space="preserve"> REF _Ref365035521 \w \h  \* MERGEFORMAT </w:instrText>
      </w:r>
      <w:r w:rsidR="000822F5">
        <w:fldChar w:fldCharType="separate"/>
      </w:r>
      <w:r>
        <w:t>24.4</w:t>
      </w:r>
      <w:r w:rsidR="000822F5">
        <w:fldChar w:fldCharType="end"/>
      </w:r>
      <w:r>
        <w:t xml:space="preserve"> </w:t>
      </w:r>
      <w:r w:rsidRPr="00C339A0">
        <w:t xml:space="preserve"> (Freedom of Information)</w:t>
      </w:r>
      <w:r w:rsidRPr="009876AE">
        <w:t>;</w:t>
      </w:r>
    </w:p>
    <w:p w:rsidR="005A0B1B" w:rsidRDefault="00360CAF">
      <w:pPr>
        <w:pStyle w:val="GPSL5numberedclause"/>
        <w:ind w:left="3119" w:hanging="425"/>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 xml:space="preserve">Authority into disrepute set out in Clause </w:t>
      </w:r>
      <w:r w:rsidR="00F71B15">
        <w:fldChar w:fldCharType="begin"/>
      </w:r>
      <w:r w:rsidR="00BB44FB">
        <w:instrText xml:space="preserve"> REF _Ref377481856 \r \h </w:instrText>
      </w:r>
      <w:r w:rsidR="00F71B15">
        <w:fldChar w:fldCharType="separate"/>
      </w:r>
      <w:r w:rsidR="00BB44FB">
        <w:t>25.4</w:t>
      </w:r>
      <w:r w:rsidR="00F71B15">
        <w:fldChar w:fldCharType="end"/>
      </w:r>
      <w:r>
        <w:t xml:space="preserve">(Publicity and Branding); </w:t>
      </w:r>
    </w:p>
    <w:p w:rsidR="005A0B1B" w:rsidRDefault="00360CAF">
      <w:pPr>
        <w:pStyle w:val="GPSL5numberedclause"/>
        <w:ind w:left="3119" w:hanging="425"/>
      </w:pPr>
      <w:r w:rsidRPr="009876AE">
        <w:t xml:space="preserve">the keeping of records in respect of the services being provided under the </w:t>
      </w:r>
      <w:r>
        <w:t xml:space="preserve">Key </w:t>
      </w:r>
      <w:r w:rsidRPr="009876AE">
        <w:t xml:space="preserve">Sub-Contract, including the maintenance of Open Book Data; </w:t>
      </w:r>
    </w:p>
    <w:p w:rsidR="005A0B1B" w:rsidRDefault="00360CAF">
      <w:pPr>
        <w:pStyle w:val="GPSL5numberedclause"/>
        <w:ind w:left="3119" w:hanging="425"/>
      </w:pPr>
      <w:r w:rsidRPr="009876AE">
        <w:t>the conduct of audits set out in Clause</w:t>
      </w:r>
      <w:r>
        <w:t xml:space="preserve"> </w:t>
      </w:r>
      <w:r w:rsidR="000822F5">
        <w:fldChar w:fldCharType="begin"/>
      </w:r>
      <w:r w:rsidR="000822F5">
        <w:instrText xml:space="preserve"> REF _Ref365017299 \r \h  \* MERGEFORMAT </w:instrText>
      </w:r>
      <w:r w:rsidR="000822F5">
        <w:fldChar w:fldCharType="separate"/>
      </w:r>
      <w:r>
        <w:t>15</w:t>
      </w:r>
      <w:r w:rsidR="000822F5">
        <w:fldChar w:fldCharType="end"/>
      </w:r>
      <w:r>
        <w:t xml:space="preserve"> </w:t>
      </w:r>
      <w:r w:rsidRPr="009876AE">
        <w:t>(</w:t>
      </w:r>
      <w:r>
        <w:t>Records, Audit Access and Open Book Data</w:t>
      </w:r>
      <w:r w:rsidRPr="009876AE">
        <w:t>);</w:t>
      </w:r>
      <w:r w:rsidR="00BB44FB" w:rsidRPr="00BB44FB">
        <w:t xml:space="preserve"> </w:t>
      </w:r>
      <w:r w:rsidR="00BB44FB" w:rsidRPr="009876AE">
        <w:t>and</w:t>
      </w:r>
    </w:p>
    <w:p w:rsidR="005A0B1B" w:rsidRDefault="00360CAF">
      <w:pPr>
        <w:pStyle w:val="GPSL5numberedclause"/>
        <w:ind w:left="3119" w:hanging="425"/>
      </w:pPr>
      <w:r w:rsidRPr="009876AE">
        <w:t xml:space="preserve">provisions enabling the Supplier to terminate the </w:t>
      </w:r>
      <w:r>
        <w:t xml:space="preserve">Key </w:t>
      </w:r>
      <w:r w:rsidRPr="009876AE">
        <w:t xml:space="preserve">Sub-Contract on notice on terms no more onerous on the Supplier than those on the </w:t>
      </w:r>
      <w:r>
        <w:t>Authority</w:t>
      </w:r>
      <w:r w:rsidRPr="009876AE">
        <w:t xml:space="preserve"> under Clauses</w:t>
      </w:r>
      <w:r>
        <w:t xml:space="preserve"> </w:t>
      </w:r>
      <w:r w:rsidR="000822F5">
        <w:fldChar w:fldCharType="begin"/>
      </w:r>
      <w:r w:rsidR="000822F5">
        <w:instrText xml:space="preserve"> REF _Ref365018401 \r \h  \* MERGEFORMAT </w:instrText>
      </w:r>
      <w:r w:rsidR="000822F5">
        <w:fldChar w:fldCharType="separate"/>
      </w:r>
      <w:r>
        <w:t>30</w:t>
      </w:r>
      <w:r w:rsidR="000822F5">
        <w:fldChar w:fldCharType="end"/>
      </w:r>
      <w:r>
        <w:t xml:space="preserve"> (Authority Termination Rights)</w:t>
      </w:r>
      <w:r w:rsidRPr="009876AE">
        <w:t> </w:t>
      </w:r>
      <w:r>
        <w:t>and</w:t>
      </w:r>
      <w:r w:rsidRPr="009876AE">
        <w:t xml:space="preserve"> </w:t>
      </w:r>
      <w:r w:rsidR="00F71B15">
        <w:fldChar w:fldCharType="begin"/>
      </w:r>
      <w:r>
        <w:instrText xml:space="preserve"> REF _Ref365018931 \r \h </w:instrText>
      </w:r>
      <w:r w:rsidR="00F71B15">
        <w:fldChar w:fldCharType="separate"/>
      </w:r>
      <w:r>
        <w:t>32</w:t>
      </w:r>
      <w:r w:rsidR="00F71B15">
        <w:fldChar w:fldCharType="end"/>
      </w:r>
      <w:r w:rsidRPr="009876AE">
        <w:t xml:space="preserve"> (Consequences of Expiry </w:t>
      </w:r>
      <w:r>
        <w:t xml:space="preserve">or </w:t>
      </w:r>
      <w:r w:rsidRPr="009876AE">
        <w:t xml:space="preserve">Termination) of this </w:t>
      </w:r>
      <w:r>
        <w:t>Framework Agreement</w:t>
      </w:r>
      <w:r w:rsidRPr="009876AE">
        <w:t xml:space="preserve">; </w:t>
      </w:r>
      <w:r w:rsidR="008C3E48">
        <w:t>and</w:t>
      </w:r>
    </w:p>
    <w:p w:rsidR="005A0B1B" w:rsidRDefault="00360CAF">
      <w:pPr>
        <w:pStyle w:val="GPSL4numberedclause"/>
      </w:pPr>
      <w:r w:rsidRPr="009876AE">
        <w:t xml:space="preserve">a provision restricting the ability of the </w:t>
      </w:r>
      <w:r>
        <w:t xml:space="preserve">Key </w:t>
      </w:r>
      <w:r w:rsidRPr="009876AE">
        <w:t xml:space="preserve">Sub-Contractor to Sub-Contract all or any part of the provision of the Services provided to the Supplier under the </w:t>
      </w:r>
      <w:r>
        <w:t xml:space="preserve">Key </w:t>
      </w:r>
      <w:r w:rsidRPr="009876AE">
        <w:t xml:space="preserve">Sub-Contract without first seeking the written consent of the </w:t>
      </w:r>
      <w:r>
        <w:t>Authority</w:t>
      </w:r>
      <w:r w:rsidRPr="009876AE">
        <w:t xml:space="preserve">; </w:t>
      </w:r>
    </w:p>
    <w:p w:rsidR="00D81DAD" w:rsidRDefault="00CB63F2" w:rsidP="00360CAF">
      <w:pPr>
        <w:pStyle w:val="GPSL3numberedclause"/>
      </w:pPr>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 xml:space="preserve">ontractor, it </w:t>
      </w:r>
      <w:r w:rsidR="00DF7C7B">
        <w:t>shall</w:t>
      </w:r>
      <w:r w:rsidR="00DF7C7B" w:rsidRPr="00F65D50">
        <w:t xml:space="preserve"> </w:t>
      </w:r>
      <w:r w:rsidR="00DF7C7B">
        <w:t>seek</w:t>
      </w:r>
      <w:r w:rsidR="00DF7C7B" w:rsidRPr="00F65D50">
        <w:t xml:space="preserve"> </w:t>
      </w:r>
      <w:r w:rsidRPr="00F65D50">
        <w:t xml:space="preserve">the </w:t>
      </w:r>
      <w:r w:rsidR="00DF7C7B">
        <w:t>Approval</w:t>
      </w:r>
      <w:r w:rsidRPr="00F65D50">
        <w:t xml:space="preserve"> of the Authority</w:t>
      </w:r>
      <w:r>
        <w:t xml:space="preserve"> </w:t>
      </w:r>
      <w:r w:rsidR="00DF7C7B">
        <w:t xml:space="preserve">by completing and submitting the Appointment of Key Sub-Contractors Form set out in Annex 1 of </w:t>
      </w:r>
      <w:r w:rsidR="00DF7C7B" w:rsidRPr="00B7667C">
        <w:t xml:space="preserve">Framework Schedule </w:t>
      </w:r>
      <w:r w:rsidR="00DF7C7B">
        <w:t>7</w:t>
      </w:r>
      <w:r w:rsidR="00DF7C7B" w:rsidRPr="00B7667C">
        <w:t xml:space="preserve"> (</w:t>
      </w:r>
      <w:r w:rsidR="00DF7C7B">
        <w:t xml:space="preserve">Key Sub-Contractors) </w:t>
      </w:r>
      <w:r w:rsidR="006A5BA2">
        <w:t xml:space="preserve">and shall at the time of requesting such consent, provide the Authority with </w:t>
      </w:r>
      <w:r w:rsidR="006A5BA2">
        <w:lastRenderedPageBreak/>
        <w:t xml:space="preserve">the information detailed in Clause </w:t>
      </w:r>
      <w:r w:rsidR="00F71B15">
        <w:fldChar w:fldCharType="begin"/>
      </w:r>
      <w:r w:rsidR="00DF7C7B">
        <w:instrText xml:space="preserve"> REF _Ref365014689 \r \h </w:instrText>
      </w:r>
      <w:r w:rsidR="00F71B15">
        <w:fldChar w:fldCharType="separate"/>
      </w:r>
      <w:r w:rsidR="00DF7C7B">
        <w:t>22.1.4</w:t>
      </w:r>
      <w:r w:rsidR="00F71B15">
        <w:fldChar w:fldCharType="end"/>
      </w:r>
      <w:r w:rsidR="006A5BA2">
        <w:t xml:space="preserve">. </w:t>
      </w:r>
      <w:r w:rsidR="00DF7C7B">
        <w:t xml:space="preserve"> Without prejudice to the scope of this discretion, circumstances in which the Authority may deny its Approval include where the Authority </w:t>
      </w:r>
      <w:r w:rsidRPr="00F65D50">
        <w:t xml:space="preserve"> considers that</w:t>
      </w:r>
      <w:r>
        <w:t>:</w:t>
      </w:r>
      <w:bookmarkEnd w:id="323"/>
    </w:p>
    <w:p w:rsidR="00DF7C7B" w:rsidRDefault="00DF7C7B" w:rsidP="00DF7C7B">
      <w:pPr>
        <w:pStyle w:val="GPSL4numberedclause"/>
      </w:pPr>
      <w:r>
        <w:t>the removal of a Key Sub-Contractor may prejudice the provision of the Services or may be contrary to the Authority’s interests;</w:t>
      </w:r>
    </w:p>
    <w:p w:rsidR="00D81DAD" w:rsidRDefault="00CB63F2" w:rsidP="007E2634">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Services or may be contrary t</w:t>
      </w:r>
      <w:r>
        <w:t xml:space="preserve">o </w:t>
      </w:r>
      <w:r w:rsidR="00DF7C7B">
        <w:t xml:space="preserve">the Authority’s </w:t>
      </w:r>
      <w:r>
        <w:t>interests</w:t>
      </w:r>
      <w:r w:rsidRPr="00A02D3F">
        <w:t>;</w:t>
      </w:r>
    </w:p>
    <w:p w:rsidR="00D81DAD" w:rsidRDefault="00CB63F2" w:rsidP="007E2634">
      <w:pPr>
        <w:pStyle w:val="GPSL4numberedclause"/>
      </w:pPr>
      <w:r w:rsidRPr="00A02D3F">
        <w:t xml:space="preserve">the proposed </w:t>
      </w:r>
      <w:r>
        <w:t>Key Sub-C</w:t>
      </w:r>
      <w:r w:rsidRPr="00A02D3F">
        <w:t xml:space="preserve">ontractor is unreliable and/or has not provided reasonable services to its other customers; </w:t>
      </w:r>
    </w:p>
    <w:p w:rsidR="00E34159" w:rsidRPr="00E34159" w:rsidRDefault="00CB63F2" w:rsidP="007E2634">
      <w:pPr>
        <w:pStyle w:val="GPSL4numberedclause"/>
      </w:pPr>
      <w:r w:rsidRPr="00A02D3F">
        <w:t xml:space="preserve">the proposed </w:t>
      </w:r>
      <w:r>
        <w:t>Key Sub-C</w:t>
      </w:r>
      <w:r w:rsidRPr="00A02D3F">
        <w:t>ontractor</w:t>
      </w:r>
      <w:r w:rsidRPr="00CB2C80">
        <w:rPr>
          <w:spacing w:val="-3"/>
          <w:lang w:val="en-US"/>
        </w:rPr>
        <w:t xml:space="preserve"> employs unfit persons</w:t>
      </w:r>
      <w:r w:rsidR="00E34159">
        <w:rPr>
          <w:spacing w:val="-3"/>
          <w:lang w:val="en-US"/>
        </w:rPr>
        <w:t>;</w:t>
      </w:r>
      <w:r w:rsidR="00E34159" w:rsidRPr="00E34159">
        <w:t xml:space="preserve"> </w:t>
      </w:r>
      <w:r w:rsidR="00E34159" w:rsidRPr="00A02D3F">
        <w:t>and/or</w:t>
      </w:r>
    </w:p>
    <w:p w:rsidR="00D81DAD" w:rsidRDefault="00E34159" w:rsidP="007E2634">
      <w:pPr>
        <w:pStyle w:val="GPSL4numberedclause"/>
      </w:pPr>
      <w:r>
        <w:rPr>
          <w:spacing w:val="-3"/>
          <w:lang w:val="en-US"/>
        </w:rPr>
        <w:t>the appointment of a proposed Key Sub-Contractor would be unlawful under the law governing public procurement</w:t>
      </w:r>
      <w:r w:rsidR="00CB63F2" w:rsidRPr="00CB2C80">
        <w:rPr>
          <w:spacing w:val="-3"/>
          <w:lang w:val="en-US"/>
        </w:rPr>
        <w:t>.</w:t>
      </w:r>
    </w:p>
    <w:p w:rsidR="00D81DAD" w:rsidRDefault="00CB63F2" w:rsidP="002E61F2">
      <w:pPr>
        <w:pStyle w:val="GPSL3numberedclause"/>
      </w:pPr>
      <w:bookmarkStart w:id="324" w:name="_Ref365014689"/>
      <w:r>
        <w:t>T</w:t>
      </w:r>
      <w:r w:rsidRPr="00B7667C">
        <w:t>he Supplier shall provide the Authority with</w:t>
      </w:r>
      <w:r>
        <w:t xml:space="preserve"> the following information in respect of the proposed Key Sub-Contractor</w:t>
      </w:r>
      <w:r w:rsidRPr="00B7667C">
        <w:t>:</w:t>
      </w:r>
      <w:bookmarkEnd w:id="324"/>
    </w:p>
    <w:p w:rsidR="00D81DAD" w:rsidRDefault="00CB63F2" w:rsidP="007E2634">
      <w:pPr>
        <w:pStyle w:val="GPSL4numberedclause"/>
      </w:pPr>
      <w:r>
        <w:t>the proposed Key Sub-Contractor’s</w:t>
      </w:r>
      <w:r w:rsidRPr="00A02D3F">
        <w:t xml:space="preserve"> name</w:t>
      </w:r>
      <w:r>
        <w:t>, registered office and</w:t>
      </w:r>
      <w:r w:rsidRPr="00A02D3F">
        <w:t xml:space="preserve"> company registration number;</w:t>
      </w:r>
    </w:p>
    <w:p w:rsidR="00D81DAD" w:rsidRDefault="00CB63F2" w:rsidP="007E2634">
      <w:pPr>
        <w:pStyle w:val="GPSL4numberedclause"/>
      </w:pPr>
      <w:r>
        <w:t>the scope</w:t>
      </w:r>
      <w:r w:rsidR="007E48FD">
        <w:t>/description</w:t>
      </w:r>
      <w:r>
        <w:t xml:space="preserve"> of any Services</w:t>
      </w:r>
      <w:r w:rsidRPr="00A02D3F">
        <w:t xml:space="preserve"> to b</w:t>
      </w:r>
      <w:r>
        <w:t>e provided by the proposed Key Sub-C</w:t>
      </w:r>
      <w:r w:rsidRPr="00A02D3F">
        <w:t>ontractor;</w:t>
      </w:r>
      <w:r>
        <w:t xml:space="preserve"> </w:t>
      </w:r>
    </w:p>
    <w:p w:rsidR="00D81DAD" w:rsidRDefault="00CB63F2" w:rsidP="007E26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r w:rsidR="00DF7C7B">
        <w:t xml:space="preserve"> </w:t>
      </w:r>
    </w:p>
    <w:p w:rsidR="00220B87" w:rsidRDefault="007E48FD" w:rsidP="007E2634">
      <w:pPr>
        <w:pStyle w:val="GPSL4numberedclause"/>
      </w:pPr>
      <w:r>
        <w:t>Key Sub-Contract price expressed as a percentage of the total projected Framework Price over the Framework Period</w:t>
      </w:r>
      <w:r w:rsidR="00386132">
        <w:t xml:space="preserve">; </w:t>
      </w:r>
      <w:r w:rsidR="00386132" w:rsidRPr="00386132">
        <w:t xml:space="preserve"> </w:t>
      </w:r>
      <w:r w:rsidR="00386132">
        <w:t>and</w:t>
      </w:r>
    </w:p>
    <w:p w:rsidR="00D81DAD" w:rsidRDefault="00CB63F2" w:rsidP="002E61F2">
      <w:pPr>
        <w:pStyle w:val="GPSL3numberedclause"/>
      </w:pPr>
      <w:r w:rsidRPr="00B7667C">
        <w:t>If requested by the Authority</w:t>
      </w:r>
      <w:r>
        <w:t xml:space="preserve">, </w:t>
      </w:r>
      <w:r w:rsidRPr="00B7667C">
        <w:t xml:space="preserve">within ten (10) Working Days of receipt of the </w:t>
      </w:r>
      <w:r w:rsidR="00757F41">
        <w:t xml:space="preserve">information provided by the </w:t>
      </w:r>
      <w:r w:rsidRPr="00B7667C">
        <w:t>Supplier  pursuant to Clause </w:t>
      </w:r>
      <w:r w:rsidR="00F71B15">
        <w:fldChar w:fldCharType="begin"/>
      </w:r>
      <w:r w:rsidR="00DF7C7B">
        <w:instrText xml:space="preserve"> REF _Ref365014689 \r \h </w:instrText>
      </w:r>
      <w:r w:rsidR="00F71B15">
        <w:fldChar w:fldCharType="separate"/>
      </w:r>
      <w:r w:rsidR="00DF7C7B">
        <w:t>22.1.4</w:t>
      </w:r>
      <w:r w:rsidR="00F71B15">
        <w:fldChar w:fldCharType="end"/>
      </w:r>
      <w:r w:rsidRPr="00B7667C">
        <w:t>, the Supplier shall also provide:</w:t>
      </w:r>
    </w:p>
    <w:p w:rsidR="00D81DAD" w:rsidRDefault="00CB63F2" w:rsidP="007E2634">
      <w:pPr>
        <w:pStyle w:val="GPSL4numberedclause"/>
      </w:pPr>
      <w:r w:rsidRPr="009876AE">
        <w:t xml:space="preserve">a copy of the proposed </w:t>
      </w:r>
      <w:r>
        <w:t xml:space="preserve">Key </w:t>
      </w:r>
      <w:r w:rsidRPr="009876AE">
        <w:t xml:space="preserve">Sub-Contract; and </w:t>
      </w:r>
    </w:p>
    <w:p w:rsidR="00D81DAD" w:rsidRDefault="00CB63F2" w:rsidP="007E2634">
      <w:pPr>
        <w:pStyle w:val="GPSL4numberedclause"/>
      </w:pPr>
      <w:r w:rsidRPr="009876AE">
        <w:t>any further information reasonably requested by the Authority.</w:t>
      </w:r>
    </w:p>
    <w:p w:rsidR="00D81DAD" w:rsidRDefault="000071DE" w:rsidP="002E61F2">
      <w:pPr>
        <w:pStyle w:val="GPSL3numberedclause"/>
      </w:pPr>
      <w:r>
        <w:t>T</w:t>
      </w:r>
      <w:r w:rsidR="00CB63F2" w:rsidRPr="00F65D50">
        <w:t xml:space="preserve">he Supplier </w:t>
      </w:r>
      <w:r w:rsidR="00CB63F2">
        <w:t xml:space="preserve">shall </w:t>
      </w:r>
      <w:r w:rsidR="00D46FA6">
        <w:t xml:space="preserve">use all reasonable endeavours to </w:t>
      </w:r>
      <w:r w:rsidR="00CB63F2">
        <w:t xml:space="preserve">ensure that each </w:t>
      </w:r>
      <w:r>
        <w:t xml:space="preserve">new or replacement </w:t>
      </w:r>
      <w:r w:rsidR="00CB63F2">
        <w:t xml:space="preserve">Key Sub-Contract </w:t>
      </w:r>
      <w:r w:rsidR="00CB63F2" w:rsidRPr="00893741">
        <w:t>shall include</w:t>
      </w:r>
      <w:r w:rsidR="00360CAF">
        <w:t xml:space="preserve"> the provisions listed in </w:t>
      </w:r>
      <w:r w:rsidR="00F71B15">
        <w:fldChar w:fldCharType="begin"/>
      </w:r>
      <w:r w:rsidR="00DF7C7B">
        <w:instrText xml:space="preserve"> REF _Ref375056422 \r \h </w:instrText>
      </w:r>
      <w:r w:rsidR="00F71B15">
        <w:fldChar w:fldCharType="separate"/>
      </w:r>
      <w:r w:rsidR="00DF7C7B">
        <w:t>22.1.2</w:t>
      </w:r>
      <w:r w:rsidR="00F71B15">
        <w:fldChar w:fldCharType="end"/>
      </w:r>
      <w:r w:rsidR="00CB63F2" w:rsidRPr="00B7667C">
        <w:t xml:space="preserve">: </w:t>
      </w:r>
    </w:p>
    <w:p w:rsidR="002B49ED" w:rsidRDefault="00360CAF" w:rsidP="007E2634">
      <w:pPr>
        <w:pStyle w:val="GPSL4Guidance"/>
        <w:rPr>
          <w:highlight w:val="cyan"/>
        </w:rPr>
      </w:pPr>
      <w:r w:rsidRPr="009876AE" w:rsidDel="00360CAF">
        <w:t xml:space="preserve"> </w:t>
      </w:r>
    </w:p>
    <w:p w:rsidR="00D81DAD" w:rsidRDefault="00CB63F2" w:rsidP="002E61F2">
      <w:pPr>
        <w:pStyle w:val="GPSL2NumberedBoldHeading"/>
      </w:pPr>
      <w:r w:rsidRPr="009876AE">
        <w:t>Supply Chain Protection</w:t>
      </w:r>
    </w:p>
    <w:p w:rsidR="00D81DAD" w:rsidRDefault="00CB63F2" w:rsidP="002E61F2">
      <w:pPr>
        <w:pStyle w:val="GPSL3numberedclause"/>
      </w:pPr>
      <w:r w:rsidRPr="00B7667C">
        <w:t xml:space="preserve">The Supplier shall ensure that all Sub-Contracts </w:t>
      </w:r>
      <w:r w:rsidR="00DF7C7B">
        <w:t xml:space="preserve">and Key Sub-Contracts </w:t>
      </w:r>
      <w:r w:rsidRPr="00B7667C">
        <w:t>contain a provision:</w:t>
      </w:r>
    </w:p>
    <w:p w:rsidR="00D81DAD" w:rsidRDefault="00CB63F2" w:rsidP="007E2634">
      <w:pPr>
        <w:pStyle w:val="GPSL4numberedclause"/>
      </w:pPr>
      <w:r w:rsidRPr="009876AE">
        <w:t xml:space="preserve">requiring the Supplier to pay any undisputed sums which are due from </w:t>
      </w:r>
      <w:r>
        <w:t>the Supplier</w:t>
      </w:r>
      <w:r w:rsidRPr="009876AE">
        <w:t xml:space="preserve"> to the Sub-Contractor </w:t>
      </w:r>
      <w:r w:rsidR="00DF7C7B">
        <w:t xml:space="preserve">or Key </w:t>
      </w:r>
      <w:r w:rsidR="00DF7C7B">
        <w:lastRenderedPageBreak/>
        <w:t xml:space="preserve">Sub-Contractor </w:t>
      </w:r>
      <w:r w:rsidRPr="009876AE">
        <w:t xml:space="preserve">within a specified period not exceeding thirty (30) days from the receipt of a valid invoice; and </w:t>
      </w:r>
    </w:p>
    <w:p w:rsidR="00D81DAD" w:rsidRDefault="00CB63F2" w:rsidP="007E2634">
      <w:pPr>
        <w:pStyle w:val="GPSL4numberedclause"/>
      </w:pPr>
      <w:r w:rsidRPr="009876AE">
        <w:t xml:space="preserve">a right for the </w:t>
      </w:r>
      <w:r>
        <w:t>Autho</w:t>
      </w:r>
      <w:r w:rsidRPr="009876AE">
        <w:t>r</w:t>
      </w:r>
      <w:r>
        <w:t>ity</w:t>
      </w:r>
      <w:r w:rsidRPr="009876AE">
        <w:t xml:space="preserve"> to publish </w:t>
      </w:r>
      <w:r w:rsidR="00DF7C7B">
        <w:t xml:space="preserve">details of </w:t>
      </w:r>
      <w:r w:rsidRPr="009876AE">
        <w:t>the Supplier’s compliance with its obligation</w:t>
      </w:r>
      <w:r w:rsidR="00DF7C7B">
        <w:t>s</w:t>
      </w:r>
      <w:r w:rsidRPr="009876AE">
        <w:t xml:space="preserve"> to pay undisputed invoices within the specified payment period.</w:t>
      </w:r>
    </w:p>
    <w:p w:rsidR="00D81DAD" w:rsidRDefault="00CB63F2" w:rsidP="002E61F2">
      <w:pPr>
        <w:pStyle w:val="GPSL3numberedclause"/>
      </w:pPr>
      <w:r w:rsidRPr="00B7667C">
        <w:t>The Supplier shall</w:t>
      </w:r>
      <w:r>
        <w:t xml:space="preserve"> </w:t>
      </w:r>
      <w:r w:rsidRPr="009876AE">
        <w:t xml:space="preserve">pay any undisputed sums which are due from </w:t>
      </w:r>
      <w:r>
        <w:t xml:space="preserve">the Supplier </w:t>
      </w:r>
      <w:r w:rsidRPr="009876AE">
        <w:t xml:space="preserve">to a Sub-Contractor </w:t>
      </w:r>
      <w:r w:rsidR="00DF7C7B">
        <w:t xml:space="preserve">or Key Sub-Contractor </w:t>
      </w:r>
      <w:r w:rsidRPr="009876AE">
        <w:t>within thirty (30) days from the receipt of a valid invoice;</w:t>
      </w:r>
    </w:p>
    <w:p w:rsidR="00D81DAD" w:rsidRDefault="00CB63F2" w:rsidP="002E61F2">
      <w:pPr>
        <w:pStyle w:val="GPSL3numberedclause"/>
      </w:pPr>
      <w:r w:rsidRPr="00B7667C">
        <w:t>Notwithstanding any provision of Clauses  </w:t>
      </w:r>
      <w:r w:rsidR="00F71B15">
        <w:fldChar w:fldCharType="begin"/>
      </w:r>
      <w:r w:rsidR="00875BC1">
        <w:instrText xml:space="preserve"> REF _Ref365018045 \r \h </w:instrText>
      </w:r>
      <w:r w:rsidR="00F71B15">
        <w:fldChar w:fldCharType="separate"/>
      </w:r>
      <w:r w:rsidR="00B3040B">
        <w:t>24.2</w:t>
      </w:r>
      <w:r w:rsidR="00F71B15">
        <w:fldChar w:fldCharType="end"/>
      </w:r>
      <w:r w:rsidR="00875BC1">
        <w:t xml:space="preserve"> </w:t>
      </w:r>
      <w:r w:rsidRPr="00B7667C">
        <w:t xml:space="preserve">(Confidentiality) and </w:t>
      </w:r>
      <w:r w:rsidR="00875BC1">
        <w:t xml:space="preserve"> </w:t>
      </w:r>
      <w:r w:rsidR="00F71B15">
        <w:fldChar w:fldCharType="begin"/>
      </w:r>
      <w:r w:rsidR="00875BC1">
        <w:instrText xml:space="preserve"> REF _Ref365018138 \r \h </w:instrText>
      </w:r>
      <w:r w:rsidR="00F71B15">
        <w:fldChar w:fldCharType="separate"/>
      </w:r>
      <w:r w:rsidR="00B3040B">
        <w:t>25</w:t>
      </w:r>
      <w:r w:rsidR="00F71B15">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rsidR="00D81DAD" w:rsidRDefault="00CB63F2" w:rsidP="002E61F2">
      <w:pPr>
        <w:pStyle w:val="GPSL2NumberedBoldHeading"/>
      </w:pPr>
      <w:bookmarkStart w:id="325" w:name="_Ref365019323"/>
      <w:bookmarkStart w:id="326" w:name="_Ref378673514"/>
      <w:r w:rsidRPr="009876AE">
        <w:t>Termination of Sub-Contracts</w:t>
      </w:r>
      <w:bookmarkEnd w:id="325"/>
      <w:r w:rsidR="00DF7C7B">
        <w:t xml:space="preserve"> and Key Sub-Contracts</w:t>
      </w:r>
      <w:bookmarkEnd w:id="326"/>
    </w:p>
    <w:p w:rsidR="00D81DAD" w:rsidRDefault="00CB63F2" w:rsidP="002E61F2">
      <w:pPr>
        <w:pStyle w:val="GPSL3numberedclause"/>
      </w:pPr>
      <w:bookmarkStart w:id="327" w:name="_Ref366087030"/>
      <w:r w:rsidRPr="00B7667C">
        <w:t xml:space="preserve">The </w:t>
      </w:r>
      <w:r>
        <w:t xml:space="preserve">Authority </w:t>
      </w:r>
      <w:r w:rsidRPr="00B7667C">
        <w:t>may re</w:t>
      </w:r>
      <w:r>
        <w:t>quire the Supplier to terminate:</w:t>
      </w:r>
      <w:bookmarkEnd w:id="327"/>
    </w:p>
    <w:p w:rsidR="00D81DAD" w:rsidRDefault="00CB63F2" w:rsidP="007E2634">
      <w:pPr>
        <w:pStyle w:val="GPSL4numberedclause"/>
      </w:pPr>
      <w:r w:rsidRPr="009876AE">
        <w:t>a Sub-</w:t>
      </w:r>
      <w:r>
        <w:t>C</w:t>
      </w:r>
      <w:r w:rsidRPr="009876AE">
        <w:t xml:space="preserve">ontract </w:t>
      </w:r>
      <w:r w:rsidR="00DF7C7B">
        <w:t xml:space="preserve">and/or a Key Sub-Contract </w:t>
      </w:r>
      <w:r w:rsidRPr="009876AE">
        <w:t>where:</w:t>
      </w:r>
    </w:p>
    <w:p w:rsidR="00D81DAD" w:rsidRDefault="00CB63F2" w:rsidP="007E2634">
      <w:pPr>
        <w:pStyle w:val="GPSL5numberedclause"/>
      </w:pPr>
      <w:r w:rsidRPr="009876AE">
        <w:t>the acts or omissions of the relevant Sub-</w:t>
      </w:r>
      <w:r w:rsidR="007E48FD">
        <w:t>C</w:t>
      </w:r>
      <w:r w:rsidR="007E48FD" w:rsidRPr="009876AE">
        <w:t xml:space="preserve">ontractor </w:t>
      </w:r>
      <w:r w:rsidR="00DF7C7B">
        <w:t xml:space="preserve">and/or Key Sub-Contractor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F71B15">
        <w:fldChar w:fldCharType="begin"/>
      </w:r>
      <w:r w:rsidR="0004095B">
        <w:instrText xml:space="preserve"> REF _Ref365018401 \r \h </w:instrText>
      </w:r>
      <w:r w:rsidR="00F71B15">
        <w:fldChar w:fldCharType="separate"/>
      </w:r>
      <w:r w:rsidR="00B3040B">
        <w:t>30</w:t>
      </w:r>
      <w:r w:rsidR="00F71B15">
        <w:fldChar w:fldCharType="end"/>
      </w:r>
      <w:r w:rsidRPr="009876AE">
        <w:t xml:space="preserve"> </w:t>
      </w:r>
      <w:r w:rsidR="0004095B">
        <w:t xml:space="preserve">(Authority Termination Rights) </w:t>
      </w:r>
      <w:r w:rsidRPr="009876AE">
        <w:t xml:space="preserve">except Clause </w:t>
      </w:r>
      <w:r w:rsidR="00F71B15">
        <w:fldChar w:fldCharType="begin"/>
      </w:r>
      <w:r w:rsidR="0004095B">
        <w:instrText xml:space="preserve"> REF _Ref365019164 \r \h </w:instrText>
      </w:r>
      <w:r w:rsidR="00F71B15">
        <w:fldChar w:fldCharType="separate"/>
      </w:r>
      <w:r w:rsidR="00B3040B">
        <w:t>30.6</w:t>
      </w:r>
      <w:r w:rsidR="00F71B15">
        <w:fldChar w:fldCharType="end"/>
      </w:r>
      <w:r w:rsidRPr="009876AE">
        <w:t xml:space="preserve"> (Termination Without Cause); and/or</w:t>
      </w:r>
    </w:p>
    <w:p w:rsidR="00D81DAD" w:rsidRDefault="00CB63F2" w:rsidP="007E2634">
      <w:pPr>
        <w:pStyle w:val="GPSL5numberedclause"/>
      </w:pPr>
      <w:r w:rsidRPr="009876AE">
        <w:t xml:space="preserve">the relevant Sub-Contractor </w:t>
      </w:r>
      <w:r w:rsidR="00DF7C7B">
        <w:t xml:space="preserve">and/or Key Sub-Contractor </w:t>
      </w:r>
      <w:r w:rsidRPr="009876AE">
        <w:t xml:space="preserve">or its Affiliates </w:t>
      </w:r>
      <w:r w:rsidR="00DF7C7B">
        <w:t xml:space="preserve">have </w:t>
      </w:r>
      <w:r w:rsidRPr="009876AE">
        <w:t>embarrassed the </w:t>
      </w:r>
      <w:r>
        <w:t>Authority</w:t>
      </w:r>
      <w:r w:rsidR="00DF7C7B">
        <w:t>,</w:t>
      </w:r>
      <w:r w:rsidRPr="009876AE">
        <w:t xml:space="preserve"> </w:t>
      </w:r>
      <w:r w:rsidR="00DF7C7B" w:rsidRPr="00DF7C7B">
        <w:t xml:space="preserve"> </w:t>
      </w:r>
      <w:r w:rsidR="00DF7C7B">
        <w:t xml:space="preserve">have caused, generated contributed to or otherwise been involved in material adverse publicity relating to or involving the Authority, </w:t>
      </w:r>
      <w:r w:rsidRPr="009876AE">
        <w:t xml:space="preserve">or otherwise brought the </w:t>
      </w:r>
      <w:r>
        <w:t>Authority</w:t>
      </w:r>
      <w:r w:rsidRPr="009876AE">
        <w:t xml:space="preserve"> into disrepute by engaging in</w:t>
      </w:r>
      <w:r w:rsidR="00BB44FB">
        <w:t>, enabling or allowing</w:t>
      </w:r>
      <w:r w:rsidRPr="009876AE">
        <w:t xml:space="preserve"> any act or omission which is reasonably likely to diminish the trust that the public places in the </w:t>
      </w:r>
      <w:r>
        <w:t>Authority</w:t>
      </w:r>
      <w:r w:rsidRPr="009876AE">
        <w:t xml:space="preserve">, regardless of whether or not such act or omission is related to the Sub-Contractor’s </w:t>
      </w:r>
      <w:r w:rsidR="00DF7C7B">
        <w:t xml:space="preserve">or Key Sub-Contractor’s </w:t>
      </w:r>
      <w:r w:rsidRPr="009876AE">
        <w:t>obligations in relation to the Services or otherwise; and/or</w:t>
      </w:r>
    </w:p>
    <w:p w:rsidR="00D81DAD" w:rsidRDefault="00CB63F2" w:rsidP="007E26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rsidR="00D81DAD" w:rsidRDefault="00CB63F2" w:rsidP="007E2634">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rsidR="00D81DAD" w:rsidRDefault="00CB63F2" w:rsidP="007E2634">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rsidR="00CF7116" w:rsidRDefault="00CF7116" w:rsidP="00CF7116">
      <w:pPr>
        <w:pStyle w:val="GPSL4numberedclause"/>
      </w:pPr>
      <w:r>
        <w:lastRenderedPageBreak/>
        <w:t>A Sub-Contract where 22.4.1 applies.</w:t>
      </w:r>
    </w:p>
    <w:p w:rsidR="002B49ED" w:rsidRDefault="000F0DD5" w:rsidP="002E61F2">
      <w:pPr>
        <w:pStyle w:val="GPSL3numberedclause"/>
      </w:pPr>
      <w:r>
        <w:t xml:space="preserve">Where the Authority requires the Supplier to terminate a Sub-Contract or a Key Sub-Contract pursuant to Clause </w:t>
      </w:r>
      <w:r w:rsidR="00F71B15">
        <w:fldChar w:fldCharType="begin"/>
      </w:r>
      <w:r>
        <w:instrText xml:space="preserve"> REF _Ref366087030 \r \h </w:instrText>
      </w:r>
      <w:r w:rsidR="00F71B15">
        <w:fldChar w:fldCharType="separate"/>
      </w:r>
      <w:r w:rsidR="00B3040B">
        <w:t>22.3.1</w:t>
      </w:r>
      <w:r w:rsidR="00F71B15">
        <w:fldChar w:fldCharType="end"/>
      </w:r>
      <w:r>
        <w:t xml:space="preserve"> above, the Supplier shall remain responsible for fulfilling all its obligations under this Framework Agreement including the provision of the Services. </w:t>
      </w:r>
    </w:p>
    <w:p w:rsidR="00D81DAD" w:rsidRDefault="00CB63F2" w:rsidP="002E61F2">
      <w:pPr>
        <w:pStyle w:val="GPSL2NumberedBoldHeading"/>
      </w:pPr>
      <w:bookmarkStart w:id="328" w:name="_Ref365019383"/>
      <w:r w:rsidRPr="009876AE">
        <w:t>Competitive Terms</w:t>
      </w:r>
      <w:bookmarkEnd w:id="328"/>
    </w:p>
    <w:p w:rsidR="00D81DAD" w:rsidRDefault="00CB63F2" w:rsidP="002E61F2">
      <w:pPr>
        <w:pStyle w:val="GPSL3numberedclause"/>
      </w:pPr>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Services, then the </w:t>
      </w:r>
      <w:r>
        <w:t>Authority</w:t>
      </w:r>
      <w:r w:rsidRPr="00B7667C">
        <w:t xml:space="preserve"> may:</w:t>
      </w:r>
    </w:p>
    <w:p w:rsidR="00D81DAD" w:rsidRDefault="00CB63F2" w:rsidP="007E26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rsidR="00D81DAD" w:rsidRDefault="00CF7116" w:rsidP="007E2634">
      <w:pPr>
        <w:pStyle w:val="GPSL4numberedclause"/>
      </w:pPr>
      <w:r>
        <w:t xml:space="preserve">further </w:t>
      </w:r>
      <w:r w:rsidR="00CB63F2" w:rsidRPr="009876AE">
        <w:t>to Clause</w:t>
      </w:r>
      <w:r w:rsidR="0004095B">
        <w:t xml:space="preserve"> </w:t>
      </w:r>
      <w:r w:rsidR="00F71B15">
        <w:fldChar w:fldCharType="begin"/>
      </w:r>
      <w:r w:rsidR="0004095B">
        <w:instrText xml:space="preserve"> REF _Ref365019323 \r \h </w:instrText>
      </w:r>
      <w:r w:rsidR="00F71B15">
        <w:fldChar w:fldCharType="separate"/>
      </w:r>
      <w:r w:rsidR="00B3040B">
        <w:t>22.3</w:t>
      </w:r>
      <w:r w:rsidR="00F71B15">
        <w:fldChar w:fldCharType="end"/>
      </w:r>
      <w:r w:rsidR="0004095B">
        <w:t xml:space="preserve"> </w:t>
      </w:r>
      <w:r w:rsidR="00CB63F2" w:rsidRPr="009876AE">
        <w:t>(Termination of Sub-Contracts), enter into a direct agreement with that Sub-Contractor or third party in respect of the relevant item.</w:t>
      </w:r>
    </w:p>
    <w:p w:rsidR="00D81DAD" w:rsidRDefault="00CB63F2" w:rsidP="002E61F2">
      <w:pPr>
        <w:pStyle w:val="GPSL3numberedclause"/>
      </w:pPr>
      <w:r w:rsidRPr="00B7667C">
        <w:t xml:space="preserve">If the </w:t>
      </w:r>
      <w:r>
        <w:t xml:space="preserve">Authority </w:t>
      </w:r>
      <w:r w:rsidRPr="00B7667C">
        <w:t>exercises the option pursuant to Clause</w:t>
      </w:r>
      <w:r w:rsidR="0004095B">
        <w:t xml:space="preserve"> </w:t>
      </w:r>
      <w:r w:rsidR="00F71B15">
        <w:fldChar w:fldCharType="begin"/>
      </w:r>
      <w:r w:rsidR="0004095B">
        <w:instrText xml:space="preserve"> REF _Ref365019383 \r \h </w:instrText>
      </w:r>
      <w:r w:rsidR="00F71B15">
        <w:fldChar w:fldCharType="separate"/>
      </w:r>
      <w:r w:rsidR="00B3040B">
        <w:t>22.4</w:t>
      </w:r>
      <w:r w:rsidR="00F71B15">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F71B15">
        <w:fldChar w:fldCharType="begin"/>
      </w:r>
      <w:r w:rsidR="0004095B">
        <w:instrText xml:space="preserve"> REF _Ref364957128 \r \h </w:instrText>
      </w:r>
      <w:r w:rsidR="00F71B15">
        <w:fldChar w:fldCharType="separate"/>
      </w:r>
      <w:r w:rsidR="00B3040B">
        <w:t>16.1</w:t>
      </w:r>
      <w:r w:rsidR="00F71B15">
        <w:fldChar w:fldCharType="end"/>
      </w:r>
      <w:r w:rsidR="0004095B">
        <w:t xml:space="preserve"> (Variation Procedure)</w:t>
      </w:r>
      <w:r w:rsidRPr="00B7667C">
        <w:t>.</w:t>
      </w:r>
    </w:p>
    <w:p w:rsidR="00D81DAD" w:rsidRDefault="00CB63F2" w:rsidP="002E61F2">
      <w:pPr>
        <w:pStyle w:val="GPSL3numberedclause"/>
      </w:pPr>
      <w:r w:rsidRPr="00B7667C">
        <w:t xml:space="preserve">The </w:t>
      </w:r>
      <w:r>
        <w:t>Authority</w:t>
      </w:r>
      <w:r w:rsidRPr="00B7667C">
        <w:t>'s right to enter into a direct agreement for the supply of the relevant items is subject to:</w:t>
      </w:r>
    </w:p>
    <w:p w:rsidR="00D81DAD" w:rsidRDefault="00CB63F2" w:rsidP="007E2634">
      <w:pPr>
        <w:pStyle w:val="GPSL4numberedclause"/>
      </w:pPr>
      <w:r w:rsidRPr="009876AE">
        <w:t xml:space="preserve">the </w:t>
      </w:r>
      <w:r>
        <w:t>Authority</w:t>
      </w:r>
      <w:r w:rsidRPr="009876AE">
        <w:t xml:space="preserve"> shall make the relevant item available to the Supplier where this is necessary for the Supplier to provide the Services; and</w:t>
      </w:r>
    </w:p>
    <w:p w:rsidR="00D81DAD" w:rsidRDefault="00CB63F2" w:rsidP="007E26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2E61F2">
      <w:pPr>
        <w:pStyle w:val="GPSL2NumberedBoldHeading"/>
      </w:pPr>
      <w:r w:rsidRPr="00B7667C">
        <w:t>Retention of Legal Obligations</w:t>
      </w:r>
    </w:p>
    <w:p w:rsidR="00F55A57" w:rsidRPr="00F55A57" w:rsidRDefault="00CB63F2" w:rsidP="002E61F2">
      <w:pPr>
        <w:pStyle w:val="GPSL3numberedclause"/>
        <w:rPr>
          <w:b/>
        </w:rPr>
      </w:pPr>
      <w:r w:rsidRPr="00B7667C">
        <w:rPr>
          <w:lang w:val="en-US"/>
        </w:rPr>
        <w:t>Notwithstanding the Supplier's right to sub-contract pursuant to this Clause </w:t>
      </w:r>
      <w:r w:rsidR="005B3562">
        <w:rPr>
          <w:lang w:val="en-US"/>
        </w:rPr>
        <w:t>22</w:t>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as if they were its own.</w:t>
      </w:r>
    </w:p>
    <w:p w:rsidR="00D81DAD" w:rsidRDefault="00F55A57" w:rsidP="002E61F2">
      <w:pPr>
        <w:pStyle w:val="GPSL3numberedclause"/>
        <w:rPr>
          <w:b/>
        </w:rPr>
      </w:pPr>
      <w:r w:rsidRPr="00CD7612">
        <w:rPr>
          <w:iCs/>
        </w:rPr>
        <w:t>An obligation on the Supplier to do, or refrain from doing, any act or thing shall include an obligation upon the Supplier to procure that the Supplier Personnel also do, or refrain from doing, such act or thing</w:t>
      </w:r>
      <w:r w:rsidR="00CB63F2" w:rsidRPr="00B7667C">
        <w:rPr>
          <w:lang w:val="en-US"/>
        </w:rPr>
        <w:t xml:space="preserve"> </w:t>
      </w:r>
      <w:r w:rsidR="00CB63F2" w:rsidRPr="00B7667C" w:rsidDel="00AB79F8">
        <w:t xml:space="preserve"> </w:t>
      </w:r>
    </w:p>
    <w:p w:rsidR="00D81DAD" w:rsidRDefault="003E6594" w:rsidP="002E61F2">
      <w:pPr>
        <w:pStyle w:val="GPSSectionHeading"/>
      </w:pPr>
      <w:bookmarkStart w:id="329" w:name="_Toc366085151"/>
      <w:bookmarkStart w:id="330" w:name="_Toc379488044"/>
      <w:bookmarkStart w:id="331" w:name="_Toc380052148"/>
      <w:bookmarkStart w:id="332" w:name="_Toc380052658"/>
      <w:bookmarkStart w:id="333" w:name="_Toc391545343"/>
      <w:r>
        <w:t>INTELLECTUAL PROPERTY AND INFORMATION</w:t>
      </w:r>
      <w:bookmarkEnd w:id="329"/>
      <w:bookmarkEnd w:id="330"/>
      <w:bookmarkEnd w:id="331"/>
      <w:bookmarkEnd w:id="332"/>
      <w:bookmarkEnd w:id="333"/>
    </w:p>
    <w:p w:rsidR="00D81DAD" w:rsidRDefault="001827DA" w:rsidP="002E61F2">
      <w:pPr>
        <w:pStyle w:val="GPSL1CLAUSEHEADING"/>
      </w:pPr>
      <w:bookmarkStart w:id="334" w:name="_Ref365043936"/>
      <w:bookmarkStart w:id="335" w:name="_Toc366085152"/>
      <w:bookmarkStart w:id="336" w:name="_Toc379488045"/>
      <w:bookmarkStart w:id="337" w:name="_Toc380052149"/>
      <w:bookmarkStart w:id="338" w:name="_Toc380052659"/>
      <w:bookmarkStart w:id="339" w:name="_Toc391545344"/>
      <w:r w:rsidRPr="001827DA">
        <w:t>INTELLECTUAL PROPERTY RIGHTS</w:t>
      </w:r>
      <w:bookmarkEnd w:id="334"/>
      <w:bookmarkEnd w:id="335"/>
      <w:bookmarkEnd w:id="336"/>
      <w:bookmarkEnd w:id="337"/>
      <w:bookmarkEnd w:id="338"/>
      <w:bookmarkEnd w:id="339"/>
    </w:p>
    <w:p w:rsidR="00D81DAD" w:rsidRDefault="00F006F5" w:rsidP="002E61F2">
      <w:pPr>
        <w:pStyle w:val="GPSL2NumberedBoldHeading"/>
      </w:pPr>
      <w:r>
        <w:t>Allocation of title to IPR</w:t>
      </w:r>
    </w:p>
    <w:p w:rsidR="00D81DAD" w:rsidRDefault="00F006F5" w:rsidP="002E61F2">
      <w:pPr>
        <w:pStyle w:val="GPSL3numberedclause"/>
      </w:pPr>
      <w:bookmarkStart w:id="340" w:name="_Ref365034973"/>
      <w:r w:rsidRPr="00F659DA">
        <w:lastRenderedPageBreak/>
        <w:t>Save as granted under this Framework Agreement, neither Party shall acquire any right, title or interest in or to the Intellectual Property Rights of the other Part</w:t>
      </w:r>
      <w:r w:rsidR="005B3562">
        <w:t>y</w:t>
      </w:r>
      <w:r w:rsidRPr="00F659DA">
        <w:t>.</w:t>
      </w:r>
      <w:bookmarkEnd w:id="340"/>
    </w:p>
    <w:p w:rsidR="00D81DAD" w:rsidRDefault="00F006F5" w:rsidP="002E61F2">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F71B15">
        <w:fldChar w:fldCharType="begin"/>
      </w:r>
      <w:r w:rsidR="00962D44">
        <w:instrText xml:space="preserve"> REF _Ref365034973 \r \h </w:instrText>
      </w:r>
      <w:r w:rsidR="00F71B15">
        <w:fldChar w:fldCharType="separate"/>
      </w:r>
      <w:r w:rsidR="00B3040B">
        <w:t>23.1.1</w:t>
      </w:r>
      <w:r w:rsidR="00F71B15">
        <w:fldChar w:fldCharType="end"/>
      </w:r>
      <w:r w:rsidRPr="00F659DA">
        <w:t>, it shall assign in writing such Intellectual Property Rights as it has acquired to the other Party on the request of the other Party (whenever made).</w:t>
      </w:r>
    </w:p>
    <w:p w:rsidR="00D81DAD" w:rsidRDefault="00F006F5" w:rsidP="002E61F2">
      <w:pPr>
        <w:pStyle w:val="GPSL3numberedclause"/>
      </w:pPr>
      <w:bookmarkStart w:id="341" w:name="_Ref365035435"/>
      <w:r>
        <w:t xml:space="preserve">Subject to Clauses </w:t>
      </w:r>
      <w:r w:rsidR="00F71B15">
        <w:fldChar w:fldCharType="begin"/>
      </w:r>
      <w:r w:rsidR="001827DA">
        <w:instrText xml:space="preserve"> REF _Ref364936361 \r \h </w:instrText>
      </w:r>
      <w:r w:rsidR="00F71B15">
        <w:fldChar w:fldCharType="separate"/>
      </w:r>
      <w:r w:rsidR="00B3040B">
        <w:t>23.1.4</w:t>
      </w:r>
      <w:r w:rsidR="00F71B15">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41"/>
      <w:r>
        <w:t xml:space="preserve"> </w:t>
      </w:r>
    </w:p>
    <w:p w:rsidR="00D81DAD" w:rsidRDefault="00F006F5" w:rsidP="002E61F2">
      <w:pPr>
        <w:pStyle w:val="GPSL3numberedclause"/>
      </w:pPr>
      <w:bookmarkStart w:id="342"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Services during the Framework Period and for no other purpose</w:t>
      </w:r>
      <w:bookmarkEnd w:id="342"/>
      <w:r>
        <w:t>.</w:t>
      </w:r>
    </w:p>
    <w:p w:rsidR="00901F45" w:rsidRDefault="00901F45" w:rsidP="002E61F2">
      <w:pPr>
        <w:pStyle w:val="GPSL3numberedclause"/>
      </w:pPr>
      <w:r>
        <w:t>Subject to Clause 23.1.6, w</w:t>
      </w:r>
      <w:r w:rsidR="00AB7CCC">
        <w:t>ithout prejudice to any other provision under this Framework Agreement the Parties acknowledge and agree that all IPRs in any materials, documents and / or data created or generated by the Supplier or otherwise arising pursuant to the Supplier’s performance of its obligations hereunder shall be assigned to the Authority as a present assignment of future rights, unless otherwise agreed by the Parties</w:t>
      </w:r>
      <w:r>
        <w:t>.</w:t>
      </w:r>
      <w:r w:rsidR="005E2916">
        <w:t xml:space="preserve"> </w:t>
      </w:r>
      <w:r w:rsidR="005E2916" w:rsidRPr="005E2916">
        <w:t>The Authority hereby grants to the Supplier a perpetual, royalty-free and non-exclusive licence to use, copy, modify, amend and distribute the relevant items for any purpose relating to the exercise of the Supplier’s business or function</w:t>
      </w:r>
      <w:r w:rsidR="005E2916">
        <w:t>.</w:t>
      </w:r>
    </w:p>
    <w:p w:rsidR="00AB7CCC" w:rsidRPr="00901F45" w:rsidRDefault="00901F45" w:rsidP="002E61F2">
      <w:pPr>
        <w:pStyle w:val="GPSL3numberedclause"/>
      </w:pPr>
      <w:r>
        <w:t>C</w:t>
      </w:r>
      <w:r w:rsidRPr="00901F45">
        <w:t>lause 23.1.5 shall not apply in respect of any materials created by the Supplie</w:t>
      </w:r>
      <w:r>
        <w:t xml:space="preserve">r in respect of a specific Call </w:t>
      </w:r>
      <w:r w:rsidRPr="00901F45">
        <w:t>Off</w:t>
      </w:r>
      <w:r>
        <w:t xml:space="preserve"> Agreement</w:t>
      </w:r>
      <w:r w:rsidRPr="00901F45">
        <w:t>, the licensing or assignment of which shall be dealt with in acc</w:t>
      </w:r>
      <w:r>
        <w:t xml:space="preserve">ordance with the provisions of </w:t>
      </w:r>
      <w:r w:rsidR="00222E09">
        <w:t>paragraph 2.14 of the Order Form for Further Competition.</w:t>
      </w:r>
    </w:p>
    <w:p w:rsidR="00D81DAD" w:rsidRDefault="00F006F5" w:rsidP="002E61F2">
      <w:pPr>
        <w:pStyle w:val="GPSL2NumberedBoldHeading"/>
      </w:pPr>
      <w:bookmarkStart w:id="343" w:name="_Ref364937725"/>
      <w:r>
        <w:t>IPR Indemnity</w:t>
      </w:r>
      <w:bookmarkEnd w:id="343"/>
    </w:p>
    <w:p w:rsidR="00D81DAD" w:rsidRDefault="00F006F5" w:rsidP="002E61F2">
      <w:pPr>
        <w:pStyle w:val="GPSL3numberedclause"/>
      </w:pPr>
      <w:bookmarkStart w:id="344" w:name="_Ref365035225"/>
      <w:r w:rsidRPr="00F659DA">
        <w:t>The Supplier shall ensure and procure that the availability, provision and use of the Services and the performance of the Supplier's responsibilities and obligations hereunder shall not infringe any Intellectual Property Rights of any third party</w:t>
      </w:r>
      <w:r>
        <w:t>.</w:t>
      </w:r>
      <w:bookmarkEnd w:id="344"/>
    </w:p>
    <w:p w:rsidR="00D81DAD" w:rsidRDefault="00F006F5" w:rsidP="002E61F2">
      <w:pPr>
        <w:pStyle w:val="GPSL3numberedclause"/>
      </w:pPr>
      <w:bookmarkStart w:id="345"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345"/>
      <w:r w:rsidRPr="00893741">
        <w:t xml:space="preserve"> </w:t>
      </w:r>
    </w:p>
    <w:p w:rsidR="00D81DAD" w:rsidRDefault="00F006F5" w:rsidP="002E61F2">
      <w:pPr>
        <w:pStyle w:val="GPSL3numberedclause"/>
      </w:pPr>
      <w:r w:rsidRPr="00893741">
        <w:t>If an IPR Claim is made, or the Supplier anticipates that an IPR Claim might be made, the Supplier may, at its own expense and sole option, either:</w:t>
      </w:r>
    </w:p>
    <w:p w:rsidR="00D81DAD" w:rsidRDefault="00F006F5" w:rsidP="007E2634">
      <w:pPr>
        <w:pStyle w:val="GPSL4numberedclause"/>
      </w:pPr>
      <w:bookmarkStart w:id="346" w:name="_Ref365035064"/>
      <w:r w:rsidRPr="009876AE">
        <w:t xml:space="preserve">procure for the </w:t>
      </w:r>
      <w:r>
        <w:t>Authority</w:t>
      </w:r>
      <w:r w:rsidRPr="009876AE">
        <w:t xml:space="preserve"> the right to continue using the relevant item which is subject to the IPR Claim; or</w:t>
      </w:r>
      <w:bookmarkEnd w:id="346"/>
    </w:p>
    <w:p w:rsidR="00D81DAD" w:rsidRDefault="00F006F5" w:rsidP="007E2634">
      <w:pPr>
        <w:pStyle w:val="GPSL4numberedclause"/>
      </w:pPr>
      <w:bookmarkStart w:id="347" w:name="_Ref365035129"/>
      <w:r w:rsidRPr="009876AE">
        <w:t>replace or modify the relevant item with non-infringing substitutes provided that:</w:t>
      </w:r>
      <w:bookmarkEnd w:id="347"/>
    </w:p>
    <w:p w:rsidR="005A0B1B" w:rsidRDefault="00F006F5">
      <w:pPr>
        <w:pStyle w:val="GPSL5numberedclause"/>
        <w:ind w:left="3119" w:hanging="425"/>
      </w:pPr>
      <w:r w:rsidRPr="009876AE">
        <w:lastRenderedPageBreak/>
        <w:t>the performance and functionality of the replaced or modified item is at least equivalent to the performance and functionality of the original item;</w:t>
      </w:r>
    </w:p>
    <w:p w:rsidR="005A0B1B" w:rsidRDefault="00F006F5">
      <w:pPr>
        <w:pStyle w:val="GPSL5numberedclause"/>
        <w:ind w:left="3119" w:hanging="425"/>
      </w:pPr>
      <w:r w:rsidRPr="009876AE">
        <w:t>the replaced or modified item does not have an adverse effect on any other Services;</w:t>
      </w:r>
    </w:p>
    <w:p w:rsidR="005A0B1B" w:rsidRDefault="00F006F5">
      <w:pPr>
        <w:pStyle w:val="GPSL5numberedclause"/>
        <w:ind w:left="3119" w:hanging="425"/>
      </w:pPr>
      <w:r w:rsidRPr="009876AE">
        <w:t xml:space="preserve">there is no additional cost to the </w:t>
      </w:r>
      <w:r>
        <w:t>Authority</w:t>
      </w:r>
      <w:r w:rsidRPr="009876AE">
        <w:t>; and</w:t>
      </w:r>
    </w:p>
    <w:p w:rsidR="005A0B1B" w:rsidRDefault="00F006F5">
      <w:pPr>
        <w:pStyle w:val="GPSL5numberedclause"/>
        <w:ind w:left="3119" w:hanging="425"/>
      </w:pPr>
      <w:r w:rsidRPr="009876AE">
        <w:t xml:space="preserve">the terms and conditions of this </w:t>
      </w:r>
      <w:r>
        <w:t>Framework Agreement</w:t>
      </w:r>
      <w:r w:rsidRPr="009876AE">
        <w:t xml:space="preserve"> shall apply to the replaced or modified Services.</w:t>
      </w:r>
    </w:p>
    <w:p w:rsidR="00D81DAD" w:rsidRDefault="00F006F5" w:rsidP="002E61F2">
      <w:pPr>
        <w:pStyle w:val="GPSL3numberedclause"/>
      </w:pPr>
      <w:r w:rsidRPr="00530C6F">
        <w:t xml:space="preserve">If the Supplier elects to procure a licence in accordance with Clause </w:t>
      </w:r>
      <w:r w:rsidR="00962D44">
        <w:t xml:space="preserve"> </w:t>
      </w:r>
      <w:r w:rsidR="00F71B15">
        <w:fldChar w:fldCharType="begin"/>
      </w:r>
      <w:r w:rsidR="00962D44">
        <w:instrText xml:space="preserve"> REF _Ref365035064 \r \h </w:instrText>
      </w:r>
      <w:r w:rsidR="00F71B15">
        <w:fldChar w:fldCharType="separate"/>
      </w:r>
      <w:r w:rsidR="00B3040B">
        <w:t>23.2.3(a)</w:t>
      </w:r>
      <w:r w:rsidR="00F71B15">
        <w:fldChar w:fldCharType="end"/>
      </w:r>
      <w:r w:rsidR="00962D44">
        <w:t xml:space="preserve"> </w:t>
      </w:r>
      <w:r w:rsidRPr="00530C6F">
        <w:t>or to modify or replace an item pursuant to Clause</w:t>
      </w:r>
      <w:r w:rsidR="00962D44">
        <w:t xml:space="preserve"> </w:t>
      </w:r>
      <w:r w:rsidR="00F71B15">
        <w:fldChar w:fldCharType="begin"/>
      </w:r>
      <w:r w:rsidR="00962D44">
        <w:instrText xml:space="preserve"> REF _Ref365035129 \w \h </w:instrText>
      </w:r>
      <w:r w:rsidR="00F71B15">
        <w:fldChar w:fldCharType="separate"/>
      </w:r>
      <w:r w:rsidR="00B3040B">
        <w:t>23.2.3(b)</w:t>
      </w:r>
      <w:r w:rsidR="00F71B15">
        <w:fldChar w:fldCharType="end"/>
      </w:r>
      <w:r w:rsidRPr="00530C6F">
        <w:t>, but this has not avoided or resolved the IPR Claim, then:</w:t>
      </w:r>
    </w:p>
    <w:p w:rsidR="00D81DAD" w:rsidRDefault="00F006F5" w:rsidP="007E2634">
      <w:pPr>
        <w:pStyle w:val="GPSL4numberedclause"/>
      </w:pPr>
      <w:r w:rsidRPr="00F659DA">
        <w:t>the Authority may terminate this Framework Agreement by written notice with immediate effect; and</w:t>
      </w:r>
    </w:p>
    <w:p w:rsidR="00D81DAD" w:rsidRDefault="00F006F5" w:rsidP="007E2634">
      <w:pPr>
        <w:pStyle w:val="GPSL4numberedclause"/>
      </w:pPr>
      <w:r w:rsidRPr="00F659DA">
        <w:t>without prejudice to the indemnity set out in Clause</w:t>
      </w:r>
      <w:r w:rsidR="00962D44">
        <w:t xml:space="preserve"> </w:t>
      </w:r>
      <w:r w:rsidR="00F71B15">
        <w:fldChar w:fldCharType="begin"/>
      </w:r>
      <w:r w:rsidR="00962D44">
        <w:instrText xml:space="preserve"> REF _Ref365035284 \w \h </w:instrText>
      </w:r>
      <w:r w:rsidR="00F71B15">
        <w:fldChar w:fldCharType="separate"/>
      </w:r>
      <w:r w:rsidR="00B3040B">
        <w:t>23.2.2</w:t>
      </w:r>
      <w:r w:rsidR="00F71B15">
        <w:fldChar w:fldCharType="end"/>
      </w:r>
      <w:r w:rsidRPr="009876AE">
        <w:t>, the Supplier shall be liable for all reasonable and unavoidable costs of the substitute items and/or services including the additional costs of procuring, implementing and maintaining the substitute items.</w:t>
      </w:r>
    </w:p>
    <w:p w:rsidR="00D60E2C" w:rsidRDefault="00D60E2C" w:rsidP="00D60E2C">
      <w:pPr>
        <w:pStyle w:val="GPSL3numberedclause"/>
      </w:pPr>
      <w:bookmarkStart w:id="348" w:name="_Ref77485310"/>
      <w:r w:rsidRPr="00FB1107">
        <w:t xml:space="preserve">The </w:t>
      </w:r>
      <w:r>
        <w:t>Supplier</w:t>
      </w:r>
      <w:r w:rsidRPr="00FB1107">
        <w:t xml:space="preserve"> shall promptly notify the Authority (in writing) of any IPR Claim.</w:t>
      </w:r>
    </w:p>
    <w:p w:rsidR="00D60E2C" w:rsidRDefault="00D60E2C" w:rsidP="00D60E2C">
      <w:pPr>
        <w:pStyle w:val="GPSL3numberedclause"/>
      </w:pPr>
      <w:r w:rsidRPr="00FB1107">
        <w:t>The Authority shall:</w:t>
      </w:r>
      <w:bookmarkEnd w:id="348"/>
      <w:r w:rsidRPr="00FB1107">
        <w:t xml:space="preserve"> </w:t>
      </w:r>
      <w:bookmarkStart w:id="349" w:name="_Toc139080413"/>
    </w:p>
    <w:p w:rsidR="00D60E2C" w:rsidRDefault="00D60E2C" w:rsidP="00D60E2C">
      <w:pPr>
        <w:pStyle w:val="GPSL4numberedclause"/>
      </w:pPr>
      <w:r w:rsidRPr="00FB1107">
        <w:t xml:space="preserve">notify the </w:t>
      </w:r>
      <w:r>
        <w:t>Supplier</w:t>
      </w:r>
      <w:r w:rsidRPr="00FB1107">
        <w:t xml:space="preserve"> in writing of any IPR Claim of which it is aware;</w:t>
      </w:r>
      <w:bookmarkEnd w:id="349"/>
    </w:p>
    <w:p w:rsidR="00D60E2C" w:rsidRDefault="00D60E2C" w:rsidP="00D60E2C">
      <w:pPr>
        <w:pStyle w:val="GPSL4numberedclause"/>
      </w:pPr>
      <w:bookmarkStart w:id="350" w:name="_Toc139080414"/>
      <w:r w:rsidRPr="00FB1107">
        <w:t xml:space="preserve">allow (subject to Clause </w:t>
      </w:r>
      <w:r w:rsidR="00F71B15">
        <w:fldChar w:fldCharType="begin"/>
      </w:r>
      <w:r>
        <w:instrText xml:space="preserve"> REF _Ref373497196 \r \h </w:instrText>
      </w:r>
      <w:r w:rsidR="00F71B15">
        <w:fldChar w:fldCharType="separate"/>
      </w:r>
      <w:r>
        <w:t>23.2.7</w:t>
      </w:r>
      <w:r w:rsidR="00F71B15">
        <w:fldChar w:fldCharType="end"/>
      </w:r>
      <w:r w:rsidRPr="00FB1107">
        <w:t xml:space="preserve">) the </w:t>
      </w:r>
      <w:r>
        <w:t>Supplier</w:t>
      </w:r>
      <w:r w:rsidRPr="00FB1107">
        <w:t xml:space="preserve"> to conduct all negotiations and proceedings and provide the </w:t>
      </w:r>
      <w:r>
        <w:t>Supplier</w:t>
      </w:r>
      <w:r w:rsidRPr="00FB1107">
        <w:t xml:space="preserve"> with such reasonable assistance required by the </w:t>
      </w:r>
      <w:r>
        <w:t>Supplier</w:t>
      </w:r>
      <w:r w:rsidRPr="00FB1107">
        <w:t xml:space="preserve">, each at the </w:t>
      </w:r>
      <w:r>
        <w:t>Supplier</w:t>
      </w:r>
      <w:r w:rsidRPr="00FB1107">
        <w:t>'s cost, regarding the IPR Claim; and</w:t>
      </w:r>
      <w:bookmarkEnd w:id="350"/>
    </w:p>
    <w:p w:rsidR="00D60E2C" w:rsidRDefault="00D60E2C" w:rsidP="00D60E2C">
      <w:pPr>
        <w:pStyle w:val="GPSL4numberedclause"/>
      </w:pPr>
      <w:bookmarkStart w:id="351" w:name="_Toc139080415"/>
      <w:r w:rsidRPr="00FB1107">
        <w:t xml:space="preserve">not, without first consulting with the </w:t>
      </w:r>
      <w:r>
        <w:t>Supplier</w:t>
      </w:r>
      <w:r w:rsidRPr="00FB1107">
        <w:t>, make an admission relating to the IPR Claim.</w:t>
      </w:r>
      <w:bookmarkEnd w:id="351"/>
    </w:p>
    <w:p w:rsidR="00D60E2C" w:rsidRDefault="00D60E2C" w:rsidP="00D60E2C">
      <w:pPr>
        <w:pStyle w:val="GPSL3numberedclause"/>
      </w:pPr>
      <w:bookmarkStart w:id="352" w:name="_Toc139080416"/>
      <w:bookmarkStart w:id="353" w:name="_Ref256173319"/>
      <w:bookmarkStart w:id="354" w:name="_Ref273426620"/>
      <w:bookmarkStart w:id="355" w:name="_Ref373497196"/>
      <w:r w:rsidRPr="00FB1107">
        <w:t xml:space="preserve">The </w:t>
      </w:r>
      <w:r>
        <w:t>Supplier</w:t>
      </w:r>
      <w:r w:rsidRPr="00FB1107">
        <w:t xml:space="preserve"> shall consider and defend the IPR Claim diligently using competent counsel and in such a way as not to bring the Authority into disrepute.</w:t>
      </w:r>
      <w:bookmarkEnd w:id="352"/>
      <w:bookmarkEnd w:id="353"/>
      <w:bookmarkEnd w:id="354"/>
      <w:bookmarkEnd w:id="355"/>
    </w:p>
    <w:p w:rsidR="00D81DAD" w:rsidRDefault="001827DA" w:rsidP="002E61F2">
      <w:pPr>
        <w:pStyle w:val="GPSL1CLAUSEHEADING"/>
      </w:pPr>
      <w:bookmarkStart w:id="356" w:name="_Toc366085153"/>
      <w:bookmarkStart w:id="357" w:name="_Toc379488046"/>
      <w:bookmarkStart w:id="358" w:name="_Toc380052150"/>
      <w:bookmarkStart w:id="359" w:name="_Toc380052660"/>
      <w:bookmarkStart w:id="360" w:name="_Toc391545345"/>
      <w:r w:rsidRPr="001827DA">
        <w:t>PROVISION AND PROTECTION OF INFORMATION</w:t>
      </w:r>
      <w:bookmarkEnd w:id="356"/>
      <w:bookmarkEnd w:id="357"/>
      <w:bookmarkEnd w:id="358"/>
      <w:bookmarkEnd w:id="359"/>
      <w:bookmarkEnd w:id="360"/>
    </w:p>
    <w:p w:rsidR="00D81DAD" w:rsidRDefault="00F006F5" w:rsidP="002E61F2">
      <w:pPr>
        <w:pStyle w:val="GPSL2NumberedBoldHeading"/>
      </w:pPr>
      <w:bookmarkStart w:id="361" w:name="_Ref365039341"/>
      <w:r w:rsidRPr="00976BE3">
        <w:t>P</w:t>
      </w:r>
      <w:r>
        <w:t>rovision of Management Information</w:t>
      </w:r>
      <w:bookmarkEnd w:id="361"/>
    </w:p>
    <w:p w:rsidR="00D81DAD" w:rsidRDefault="00F006F5" w:rsidP="002E61F2">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rsidR="00D81DAD" w:rsidRDefault="00F006F5" w:rsidP="002E61F2">
      <w:pPr>
        <w:pStyle w:val="GPSL3numberedclause"/>
      </w:pPr>
      <w:r w:rsidRPr="006D398D">
        <w:t xml:space="preserve">The Supplier grants the Authority a non-exclusive, transferable, perpetual, irrevocable, royalty free licence to: </w:t>
      </w:r>
    </w:p>
    <w:p w:rsidR="00D81DAD" w:rsidRDefault="00F006F5" w:rsidP="007E2634">
      <w:pPr>
        <w:pStyle w:val="GPSL4numberedclause"/>
      </w:pPr>
      <w:r w:rsidRPr="006875AD">
        <w:t>use and to share with any Other Contracting Body and Relevant Person; and/or</w:t>
      </w:r>
    </w:p>
    <w:p w:rsidR="00D81DAD" w:rsidRDefault="00F006F5" w:rsidP="007E2634">
      <w:pPr>
        <w:pStyle w:val="GPSL4numberedclause"/>
      </w:pPr>
      <w:r w:rsidRPr="006875AD">
        <w:lastRenderedPageBreak/>
        <w:t>publish (subject to any information that is exempt from disclosure in accordance with the provisions of FOIA being redacted),</w:t>
      </w:r>
    </w:p>
    <w:p w:rsidR="00D81DAD" w:rsidRDefault="00F006F5" w:rsidP="007E2634">
      <w:pPr>
        <w:pStyle w:val="GPSL3Indent"/>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rsidR="00D81DAD" w:rsidRDefault="00F006F5" w:rsidP="002E61F2">
      <w:pPr>
        <w:pStyle w:val="GPSL3numberedclause"/>
      </w:pPr>
      <w:bookmarkStart w:id="36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62"/>
    </w:p>
    <w:p w:rsidR="00D81DAD" w:rsidRDefault="00F006F5" w:rsidP="002E61F2">
      <w:pPr>
        <w:pStyle w:val="GPSL3numberedclause"/>
      </w:pPr>
      <w:r w:rsidRPr="006875AD">
        <w:t xml:space="preserve">The Authority may consult with the Supplier to help with its decision regarding any exemptions under Clause </w:t>
      </w:r>
      <w:r w:rsidR="00F71B15">
        <w:fldChar w:fldCharType="begin"/>
      </w:r>
      <w:r w:rsidR="00153E00">
        <w:instrText xml:space="preserve"> REF _Ref365638295 \r \h </w:instrText>
      </w:r>
      <w:r w:rsidR="00F71B15">
        <w:fldChar w:fldCharType="separate"/>
      </w:r>
      <w:r w:rsidR="00B3040B">
        <w:t>24.1.3</w:t>
      </w:r>
      <w:r w:rsidR="00F71B15">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rsidR="00D81DAD" w:rsidRDefault="00F006F5" w:rsidP="002E61F2">
      <w:pPr>
        <w:pStyle w:val="GPSL2NumberedBoldHeading"/>
      </w:pPr>
      <w:bookmarkStart w:id="363" w:name="_Ref365018045"/>
      <w:r>
        <w:t>Confidentiality</w:t>
      </w:r>
      <w:bookmarkEnd w:id="363"/>
    </w:p>
    <w:p w:rsidR="00D81DAD" w:rsidRDefault="00F006F5" w:rsidP="002E61F2">
      <w:pPr>
        <w:pStyle w:val="GPSL3numberedclause"/>
      </w:pPr>
      <w:r w:rsidRPr="005328E8">
        <w:t>For the purposes of this Clause </w:t>
      </w:r>
      <w:r w:rsidR="00F71B15">
        <w:fldChar w:fldCharType="begin"/>
      </w:r>
      <w:r w:rsidR="00153E00">
        <w:instrText xml:space="preserve"> REF _Ref365018045 \r \h </w:instrText>
      </w:r>
      <w:r w:rsidR="00F71B15">
        <w:fldChar w:fldCharType="separate"/>
      </w:r>
      <w:r w:rsidR="00B3040B">
        <w:t>24.2</w:t>
      </w:r>
      <w:r w:rsidR="00F71B15">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2E61F2">
      <w:pPr>
        <w:pStyle w:val="GPSL3numberedclause"/>
      </w:pPr>
      <w:bookmarkStart w:id="364" w:name="_Ref365035647"/>
      <w:r w:rsidRPr="005328E8">
        <w:t xml:space="preserve">Except to the extent set out in this Clause </w:t>
      </w:r>
      <w:r w:rsidR="00F71B15">
        <w:fldChar w:fldCharType="begin"/>
      </w:r>
      <w:r w:rsidR="00153E00">
        <w:instrText xml:space="preserve"> REF _Ref365018045 \r \h </w:instrText>
      </w:r>
      <w:r w:rsidR="00F71B15">
        <w:fldChar w:fldCharType="separate"/>
      </w:r>
      <w:r w:rsidR="00B3040B">
        <w:t>24.2</w:t>
      </w:r>
      <w:r w:rsidR="00F71B15">
        <w:fldChar w:fldCharType="end"/>
      </w:r>
      <w:r w:rsidRPr="005328E8">
        <w:t xml:space="preserve"> or where disclosure is expressly permitted elsewhere in this </w:t>
      </w:r>
      <w:r>
        <w:t>Framework Agreement</w:t>
      </w:r>
      <w:r w:rsidRPr="005328E8">
        <w:t>, the Recipient shall:</w:t>
      </w:r>
      <w:bookmarkEnd w:id="364"/>
    </w:p>
    <w:p w:rsidR="00D81DAD" w:rsidRDefault="00F006F5" w:rsidP="007E26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7E26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7E26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rsidR="00D81DAD" w:rsidRDefault="00F006F5" w:rsidP="007E2634">
      <w:pPr>
        <w:pStyle w:val="GPSL4numberedclause"/>
      </w:pPr>
      <w:r w:rsidRPr="005328E8">
        <w:t>immediately notify the Disclosing Party if it suspects or becomes aware of any unauthorised access, copying, use or disclosure in any form of any of the Disclosing Party’s Confidential Information.</w:t>
      </w:r>
    </w:p>
    <w:p w:rsidR="00D81DAD" w:rsidRDefault="00F006F5" w:rsidP="002E61F2">
      <w:pPr>
        <w:pStyle w:val="GPSL3numberedclause"/>
      </w:pPr>
      <w:bookmarkStart w:id="365" w:name="_Ref365642233"/>
      <w:r w:rsidRPr="005328E8">
        <w:t>The Recipient shall be entitled to disclose the Confidential Information of the Disclosing Party where:</w:t>
      </w:r>
      <w:bookmarkEnd w:id="365"/>
    </w:p>
    <w:p w:rsidR="00D81DAD" w:rsidRDefault="00F006F5" w:rsidP="007E2634">
      <w:pPr>
        <w:pStyle w:val="GPSL4numberedclause"/>
      </w:pPr>
      <w:r w:rsidRPr="00AA679E">
        <w:t>the Recipient is required to disclose the Confidential Information by Law, provided that Clause</w:t>
      </w:r>
      <w:r>
        <w:t xml:space="preserve"> </w:t>
      </w:r>
      <w:r w:rsidR="00F71B15">
        <w:fldChar w:fldCharType="begin"/>
      </w:r>
      <w:r w:rsidR="00962D44">
        <w:instrText xml:space="preserve"> REF _Ref365035521 \w \h </w:instrText>
      </w:r>
      <w:r w:rsidR="00F71B15">
        <w:fldChar w:fldCharType="separate"/>
      </w:r>
      <w:r w:rsidR="00B3040B">
        <w:t>24.4</w:t>
      </w:r>
      <w:r w:rsidR="00F71B15">
        <w:fldChar w:fldCharType="end"/>
      </w:r>
      <w:r w:rsidR="00962D44">
        <w:t xml:space="preserve"> </w:t>
      </w:r>
      <w:r w:rsidRPr="00AA679E">
        <w:t>(Freedom of Information) shall apply to disclosures required under the FOIA or the EIRs;</w:t>
      </w:r>
    </w:p>
    <w:p w:rsidR="00D81DAD" w:rsidRDefault="00F006F5" w:rsidP="007E2634">
      <w:pPr>
        <w:pStyle w:val="GPSL4numberedclause"/>
      </w:pPr>
      <w:r w:rsidRPr="00AA679E">
        <w:lastRenderedPageBreak/>
        <w:t>the need for such disclosure arises out of or in connection with:</w:t>
      </w:r>
    </w:p>
    <w:p w:rsidR="005A0B1B" w:rsidRDefault="00F006F5">
      <w:pPr>
        <w:pStyle w:val="GPSL5numberedclause"/>
        <w:ind w:left="3119" w:hanging="425"/>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rsidR="005A0B1B" w:rsidRDefault="00F006F5">
      <w:pPr>
        <w:pStyle w:val="GPSL5numberedclause"/>
        <w:ind w:left="3119" w:hanging="425"/>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rsidR="005A0B1B" w:rsidRDefault="00F006F5">
      <w:pPr>
        <w:pStyle w:val="GPSL5numberedclause"/>
        <w:ind w:left="3119" w:hanging="425"/>
      </w:pPr>
      <w:r w:rsidRPr="00AA679E">
        <w:t xml:space="preserve">the conduct of </w:t>
      </w:r>
      <w:r w:rsidRPr="00F14D22">
        <w:t>a Central Government Body</w:t>
      </w:r>
      <w:r w:rsidRPr="00AA679E">
        <w:t xml:space="preserve"> review in respect of this </w:t>
      </w:r>
      <w:r>
        <w:t>Framework Agreement</w:t>
      </w:r>
      <w:r w:rsidRPr="00AA679E">
        <w:t>; or</w:t>
      </w:r>
    </w:p>
    <w:p w:rsidR="00D81DAD" w:rsidRDefault="00F006F5" w:rsidP="007E26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rsidR="00D81DAD" w:rsidRDefault="00F006F5" w:rsidP="002E61F2">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Default="00F006F5" w:rsidP="002E61F2">
      <w:pPr>
        <w:pStyle w:val="GPSL3numberedclause"/>
      </w:pPr>
      <w:bookmarkStart w:id="366" w:name="_Ref365035699"/>
      <w:r w:rsidRPr="005328E8">
        <w:t>Subject to Clauses </w:t>
      </w:r>
      <w:r w:rsidR="00F71B15">
        <w:fldChar w:fldCharType="begin"/>
      </w:r>
      <w:r w:rsidR="00962D44">
        <w:instrText xml:space="preserve"> REF _Ref365035647 \w \h </w:instrText>
      </w:r>
      <w:r w:rsidR="00F71B15">
        <w:fldChar w:fldCharType="separate"/>
      </w:r>
      <w:r w:rsidR="00B3040B">
        <w:t>24.2.2</w:t>
      </w:r>
      <w:r w:rsidR="00F71B15">
        <w:fldChar w:fldCharType="end"/>
      </w:r>
      <w:r w:rsidRPr="005328E8">
        <w:t xml:space="preserve"> and</w:t>
      </w:r>
      <w:r w:rsidR="00962D44">
        <w:t xml:space="preserve"> </w:t>
      </w:r>
      <w:r w:rsidR="00F71B15">
        <w:fldChar w:fldCharType="begin"/>
      </w:r>
      <w:r w:rsidR="00D86437">
        <w:instrText xml:space="preserve"> REF _Ref365642233 \r \h </w:instrText>
      </w:r>
      <w:r w:rsidR="00F71B15">
        <w:fldChar w:fldCharType="separate"/>
      </w:r>
      <w:r w:rsidR="00B3040B">
        <w:t>24.2.3</w:t>
      </w:r>
      <w:r w:rsidR="00F71B15">
        <w:fldChar w:fldCharType="end"/>
      </w:r>
      <w:r w:rsidRPr="005328E8">
        <w:t xml:space="preserve">, the Supplier may only disclose the Confidential Information of the </w:t>
      </w:r>
      <w:r>
        <w:t>Authority</w:t>
      </w:r>
      <w:r w:rsidRPr="005328E8">
        <w:t xml:space="preserve"> on a confidential basis to:</w:t>
      </w:r>
      <w:bookmarkEnd w:id="366"/>
    </w:p>
    <w:p w:rsidR="00D81DAD" w:rsidRDefault="00F006F5" w:rsidP="007E2634">
      <w:pPr>
        <w:pStyle w:val="GPSL4numberedclause"/>
      </w:pPr>
      <w:r w:rsidRPr="00AA679E">
        <w:t>Supplier Personnel who are directly involved in the provision of the</w:t>
      </w:r>
      <w:r w:rsidRPr="00AA679E">
        <w:rPr>
          <w:b/>
          <w:i/>
        </w:rPr>
        <w:t xml:space="preserve">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D81DAD" w:rsidRDefault="00F006F5" w:rsidP="007E2634">
      <w:pPr>
        <w:pStyle w:val="GPSL4numberedclause"/>
      </w:pPr>
      <w:r w:rsidRPr="00AA679E">
        <w:t xml:space="preserve">its professional advisers for the purposes of obtaining advice in relation to this </w:t>
      </w:r>
      <w:r>
        <w:t>Framework Agreement</w:t>
      </w:r>
      <w:r w:rsidRPr="00AA679E">
        <w:t>.</w:t>
      </w:r>
    </w:p>
    <w:p w:rsidR="00D81DAD" w:rsidRDefault="00F006F5" w:rsidP="002E61F2">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F71B15">
        <w:fldChar w:fldCharType="begin"/>
      </w:r>
      <w:r w:rsidR="00962D44">
        <w:instrText xml:space="preserve"> REF _Ref365035699 \w \h </w:instrText>
      </w:r>
      <w:r w:rsidR="00F71B15">
        <w:fldChar w:fldCharType="separate"/>
      </w:r>
      <w:r w:rsidR="00B3040B">
        <w:t>24.2.5</w:t>
      </w:r>
      <w:r w:rsidR="00F71B15">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D81DAD" w:rsidRDefault="00F006F5" w:rsidP="002E61F2">
      <w:pPr>
        <w:pStyle w:val="GPSL3numberedclause"/>
      </w:pPr>
      <w:bookmarkStart w:id="367" w:name="_Ref365036205"/>
      <w:r w:rsidRPr="005328E8">
        <w:t xml:space="preserve">The </w:t>
      </w:r>
      <w:r>
        <w:t>Authority</w:t>
      </w:r>
      <w:r w:rsidRPr="005328E8">
        <w:t xml:space="preserve"> may disclose the Confidential Information of the Supplier:</w:t>
      </w:r>
      <w:bookmarkEnd w:id="367"/>
    </w:p>
    <w:p w:rsidR="00D81DAD" w:rsidRDefault="00F006F5" w:rsidP="007E2634">
      <w:pPr>
        <w:pStyle w:val="GPSL4numberedclause"/>
      </w:pPr>
      <w:bookmarkStart w:id="368" w:name="_Ref365035960"/>
      <w:r w:rsidRPr="00AA679E">
        <w:t>to any Central Government Body</w:t>
      </w:r>
      <w:r>
        <w:t xml:space="preserve"> or Other Contracting Body</w:t>
      </w:r>
      <w:r w:rsidRPr="00AA679E">
        <w:t xml:space="preserve"> on the basis that the information may only be further disclosed to Central Government Bodies</w:t>
      </w:r>
      <w:r>
        <w:t xml:space="preserve"> or Other Contracting Bodies</w:t>
      </w:r>
      <w:r w:rsidRPr="00AA679E">
        <w:t>;</w:t>
      </w:r>
      <w:bookmarkEnd w:id="368"/>
      <w:r w:rsidRPr="00AA679E">
        <w:t xml:space="preserve"> </w:t>
      </w:r>
    </w:p>
    <w:p w:rsidR="00D81DAD" w:rsidRDefault="00F006F5" w:rsidP="007E26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D81DAD" w:rsidRDefault="00F006F5" w:rsidP="007E2634">
      <w:pPr>
        <w:pStyle w:val="GPSL4numberedclause"/>
      </w:pPr>
      <w:r w:rsidRPr="00AA679E">
        <w:t>to the extent that the Authority (acting reasonably) deems disclosure necessary or appropriate in the course of carrying out its public functions;</w:t>
      </w:r>
    </w:p>
    <w:p w:rsidR="00D81DAD" w:rsidRDefault="00F006F5" w:rsidP="007E2634">
      <w:pPr>
        <w:pStyle w:val="GPSL4numberedclause"/>
      </w:pPr>
      <w:r w:rsidRPr="00AA679E">
        <w:t>on a confidential basis to a professional adviser, consultant, supplier or other person engaged by any of the entities described in Clause </w:t>
      </w:r>
      <w:r w:rsidR="00F71B15">
        <w:fldChar w:fldCharType="begin"/>
      </w:r>
      <w:r w:rsidR="006D55C0">
        <w:instrText xml:space="preserve"> REF _Ref365035960 \w \h </w:instrText>
      </w:r>
      <w:r w:rsidR="00F71B15">
        <w:fldChar w:fldCharType="separate"/>
      </w:r>
      <w:r w:rsidR="00B3040B">
        <w:t>24.2.7(a)</w:t>
      </w:r>
      <w:r w:rsidR="00F71B15">
        <w:fldChar w:fldCharType="end"/>
      </w:r>
      <w:r w:rsidRPr="00AA679E">
        <w:t xml:space="preserve"> (including any benchmarking organisation) for any purpose relating to or connected with this </w:t>
      </w:r>
      <w:r>
        <w:t>Framework Agreement</w:t>
      </w:r>
      <w:r w:rsidRPr="00AA679E">
        <w:t>;</w:t>
      </w:r>
    </w:p>
    <w:p w:rsidR="00D81DAD" w:rsidRDefault="00F006F5" w:rsidP="007E2634">
      <w:pPr>
        <w:pStyle w:val="GPSL4numberedclause"/>
      </w:pPr>
      <w:r w:rsidRPr="00AA679E">
        <w:t xml:space="preserve">on a confidential basis for the purpose of the exercise of its rights under this </w:t>
      </w:r>
      <w:r>
        <w:t>Framework Agreement</w:t>
      </w:r>
      <w:r w:rsidRPr="00AA679E">
        <w:t>; or</w:t>
      </w:r>
    </w:p>
    <w:p w:rsidR="00D81DAD" w:rsidRDefault="00F006F5" w:rsidP="007E2634">
      <w:pPr>
        <w:pStyle w:val="GPSL4numberedclause"/>
      </w:pPr>
      <w:r>
        <w:t>t</w:t>
      </w:r>
      <w:r w:rsidRPr="00AA679E">
        <w:t xml:space="preserve">o a proposed transferee, assignee or </w:t>
      </w:r>
      <w:proofErr w:type="spellStart"/>
      <w:r w:rsidRPr="00AA679E">
        <w:t>novat</w:t>
      </w:r>
      <w:r>
        <w:t>e</w:t>
      </w:r>
      <w:r w:rsidRPr="00AA679E">
        <w:t>e</w:t>
      </w:r>
      <w:proofErr w:type="spellEnd"/>
      <w:r w:rsidRPr="00AA679E">
        <w:t xml:space="preserve"> of, or successor in title to the </w:t>
      </w:r>
      <w:r w:rsidRPr="004B4D91">
        <w:t>Authority</w:t>
      </w:r>
      <w:r w:rsidRPr="00AA679E">
        <w:t xml:space="preserve">. </w:t>
      </w:r>
    </w:p>
    <w:p w:rsidR="00D81DAD" w:rsidRDefault="00F006F5" w:rsidP="002E61F2">
      <w:pPr>
        <w:pStyle w:val="GPSL3numberedclause"/>
      </w:pPr>
      <w:r>
        <w:t xml:space="preserve">For the avoidance of doubt, the Confidential Information that the Authority may disclose under Clause </w:t>
      </w:r>
      <w:r w:rsidR="00F71B15">
        <w:fldChar w:fldCharType="begin"/>
      </w:r>
      <w:r w:rsidR="006D55C0">
        <w:instrText xml:space="preserve"> REF _Ref365036205 \w \h </w:instrText>
      </w:r>
      <w:r w:rsidR="00F71B15">
        <w:fldChar w:fldCharType="separate"/>
      </w:r>
      <w:r w:rsidR="00B3040B">
        <w:t>24.2.7</w:t>
      </w:r>
      <w:r w:rsidR="00F71B15">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Body from time to time.  </w:t>
      </w:r>
    </w:p>
    <w:p w:rsidR="00D81DAD" w:rsidRDefault="00F006F5" w:rsidP="002E61F2">
      <w:pPr>
        <w:pStyle w:val="GPSL3numberedclause"/>
      </w:pPr>
      <w:r w:rsidRPr="005328E8">
        <w:t>Nothing in this Clause </w:t>
      </w:r>
      <w:r w:rsidR="00F71B15">
        <w:fldChar w:fldCharType="begin"/>
      </w:r>
      <w:r w:rsidR="006D55C0">
        <w:instrText xml:space="preserve"> REF _Ref365018045 \w \h </w:instrText>
      </w:r>
      <w:r w:rsidR="00F71B15">
        <w:fldChar w:fldCharType="separate"/>
      </w:r>
      <w:r w:rsidR="00B3040B">
        <w:t>24.2</w:t>
      </w:r>
      <w:r w:rsidR="00F71B15">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2E61F2">
      <w:pPr>
        <w:pStyle w:val="GPSL3numberedclause"/>
      </w:pPr>
      <w:r w:rsidRPr="005328E8">
        <w:t xml:space="preserve">In the event that the Supplier fails to comply with Clauses </w:t>
      </w:r>
      <w:r w:rsidR="00F71B15">
        <w:fldChar w:fldCharType="begin"/>
      </w:r>
      <w:r w:rsidR="006D55C0">
        <w:instrText xml:space="preserve"> REF _Ref365035647 \w \h </w:instrText>
      </w:r>
      <w:r w:rsidR="00F71B15">
        <w:fldChar w:fldCharType="separate"/>
      </w:r>
      <w:r w:rsidR="00B3040B">
        <w:t>24.2.2</w:t>
      </w:r>
      <w:r w:rsidR="00F71B15">
        <w:fldChar w:fldCharType="end"/>
      </w:r>
      <w:r w:rsidR="006D55C0">
        <w:t xml:space="preserve"> to </w:t>
      </w:r>
      <w:r w:rsidR="00F71B15">
        <w:fldChar w:fldCharType="begin"/>
      </w:r>
      <w:r w:rsidR="006D55C0">
        <w:instrText xml:space="preserve"> REF _Ref365035699 \w \h </w:instrText>
      </w:r>
      <w:r w:rsidR="00F71B15">
        <w:fldChar w:fldCharType="separate"/>
      </w:r>
      <w:r w:rsidR="00B3040B">
        <w:t>24.2.5</w:t>
      </w:r>
      <w:r w:rsidR="00F71B15">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p>
    <w:p w:rsidR="00D81DAD" w:rsidRDefault="00F006F5" w:rsidP="002E61F2">
      <w:pPr>
        <w:pStyle w:val="GPSL2NumberedBoldHeading"/>
      </w:pPr>
      <w:bookmarkStart w:id="369" w:name="_Ref365043695"/>
      <w:r>
        <w:t>Transparency</w:t>
      </w:r>
      <w:bookmarkEnd w:id="369"/>
    </w:p>
    <w:p w:rsidR="00D81DAD" w:rsidRDefault="00F006F5" w:rsidP="002E61F2">
      <w:pPr>
        <w:pStyle w:val="GPSL3numberedclause"/>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rsidR="00D81DAD" w:rsidRDefault="00F006F5" w:rsidP="002E61F2">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rsidR="00D81DAD" w:rsidRDefault="00F006F5" w:rsidP="002E61F2">
      <w:pPr>
        <w:pStyle w:val="GPSL3numberedclause"/>
      </w:pPr>
      <w:r w:rsidRPr="00893741">
        <w:lastRenderedPageBreak/>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rsidR="00D81DAD" w:rsidRDefault="00F006F5" w:rsidP="002E61F2">
      <w:pPr>
        <w:pStyle w:val="GPSL2NumberedBoldHeading"/>
      </w:pPr>
      <w:bookmarkStart w:id="370" w:name="_Ref365035521"/>
      <w:r>
        <w:t>Freedom of Information</w:t>
      </w:r>
      <w:bookmarkEnd w:id="370"/>
    </w:p>
    <w:p w:rsidR="00D81DAD" w:rsidRDefault="00F006F5" w:rsidP="002E61F2">
      <w:pPr>
        <w:pStyle w:val="GPSL3numberedclause"/>
      </w:pPr>
      <w:r w:rsidRPr="00C44E3B">
        <w:t xml:space="preserve">The Supplier acknowledges that the </w:t>
      </w:r>
      <w:r>
        <w:t>Authority</w:t>
      </w:r>
      <w:r w:rsidRPr="00C44E3B">
        <w:t xml:space="preserve"> is subject to the requirements of the FOIA and the EIRs. The Supplier shall: </w:t>
      </w:r>
    </w:p>
    <w:p w:rsidR="00D81DAD" w:rsidRDefault="00F006F5" w:rsidP="007E26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rsidR="00D81DAD" w:rsidRDefault="00F006F5" w:rsidP="007E26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D81DAD" w:rsidRDefault="00F006F5" w:rsidP="007E26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rsidR="00D81DAD" w:rsidRDefault="00F006F5" w:rsidP="007E2634">
      <w:pPr>
        <w:pStyle w:val="GPSL4numberedclause"/>
      </w:pPr>
      <w:r w:rsidRPr="009876AE">
        <w:t xml:space="preserve">not respond directly to a Request for Information unless authorised in writing to do so by the </w:t>
      </w:r>
      <w:r>
        <w:t>Authority</w:t>
      </w:r>
      <w:r w:rsidRPr="009876AE">
        <w:t>.</w:t>
      </w:r>
    </w:p>
    <w:p w:rsidR="00D81DAD" w:rsidRDefault="00F006F5" w:rsidP="002E61F2">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rsidR="00D81DAD" w:rsidRDefault="00F006F5" w:rsidP="002E61F2">
      <w:pPr>
        <w:pStyle w:val="GPSL2NumberedBoldHeading"/>
      </w:pPr>
      <w:bookmarkStart w:id="371" w:name="_Ref365017837"/>
      <w:r>
        <w:t>Protection of Personal Data</w:t>
      </w:r>
      <w:bookmarkEnd w:id="371"/>
      <w:r>
        <w:t xml:space="preserve"> </w:t>
      </w:r>
    </w:p>
    <w:p w:rsidR="00D81DAD" w:rsidRDefault="00F006F5" w:rsidP="002E61F2">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rsidR="00D81DAD" w:rsidRDefault="00F006F5" w:rsidP="002E61F2">
      <w:pPr>
        <w:pStyle w:val="GPSL3numberedclause"/>
      </w:pPr>
      <w:bookmarkStart w:id="372" w:name="_Ref365037028"/>
      <w:r w:rsidRPr="00893741">
        <w:t>The Supplier shall:</w:t>
      </w:r>
      <w:bookmarkEnd w:id="372"/>
    </w:p>
    <w:p w:rsidR="00D81DAD" w:rsidRDefault="00F006F5" w:rsidP="007E26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rsidR="00D81DAD" w:rsidRDefault="00F006F5" w:rsidP="007E2634">
      <w:pPr>
        <w:pStyle w:val="GPSL4numberedclause"/>
      </w:pPr>
      <w:r w:rsidRPr="009876AE">
        <w:t xml:space="preserve">ensure that at all times it has in place appropriate technical and organisational measures to guard against </w:t>
      </w:r>
      <w:r w:rsidRPr="009876AE">
        <w:lastRenderedPageBreak/>
        <w:t xml:space="preserve">unauthorised or unlawful Processing of the Personal Data and/or accidental loss, destruction, or damage to the Personal Data; </w:t>
      </w:r>
    </w:p>
    <w:p w:rsidR="00D81DAD" w:rsidRDefault="00F006F5" w:rsidP="007E2634">
      <w:pPr>
        <w:pStyle w:val="GPSL4numberedclause"/>
      </w:pPr>
      <w:r w:rsidRPr="009876AE">
        <w:t>not disclose or transfer the Personal Data to any third party or Supplier Personnel unless necessary for the provision of the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rsidR="00D81DAD" w:rsidRDefault="00F006F5" w:rsidP="007E2634">
      <w:pPr>
        <w:pStyle w:val="GPSL4numberedclause"/>
      </w:pPr>
      <w:r w:rsidRPr="009876AE">
        <w:t>take reasonable steps to ensure the reliability and integrity of any Supplier Personnel who have access to the Personal Data and ensure that the Supplier Personnel:</w:t>
      </w:r>
    </w:p>
    <w:p w:rsidR="005A0B1B" w:rsidRDefault="00F006F5">
      <w:pPr>
        <w:pStyle w:val="GPSL5numberedclause"/>
        <w:ind w:left="3119" w:hanging="425"/>
      </w:pPr>
      <w:r w:rsidRPr="009876AE">
        <w:t>are aware of and comply with the Supplier’s duties under this Clause</w:t>
      </w:r>
      <w:r w:rsidR="00C845F4">
        <w:t xml:space="preserve"> </w:t>
      </w:r>
      <w:r w:rsidR="000822F5">
        <w:fldChar w:fldCharType="begin"/>
      </w:r>
      <w:r w:rsidR="000822F5">
        <w:instrText xml:space="preserve"> REF _Ref365037028 \w \h  \* MERGEFORMAT </w:instrText>
      </w:r>
      <w:r w:rsidR="000822F5">
        <w:fldChar w:fldCharType="separate"/>
      </w:r>
      <w:r w:rsidR="00B3040B">
        <w:t>24.5.2</w:t>
      </w:r>
      <w:r w:rsidR="000822F5">
        <w:fldChar w:fldCharType="end"/>
      </w:r>
      <w:r w:rsidR="00C845F4">
        <w:t xml:space="preserve"> and Clause </w:t>
      </w:r>
      <w:r w:rsidR="000822F5">
        <w:fldChar w:fldCharType="begin"/>
      </w:r>
      <w:r w:rsidR="000822F5">
        <w:instrText xml:space="preserve"> REF _Ref365018045 \w \h  \* MERGEFORMAT </w:instrText>
      </w:r>
      <w:r w:rsidR="000822F5">
        <w:fldChar w:fldCharType="separate"/>
      </w:r>
      <w:r w:rsidR="00B3040B">
        <w:t>24.2</w:t>
      </w:r>
      <w:r w:rsidR="000822F5">
        <w:fldChar w:fldCharType="end"/>
      </w:r>
      <w:r w:rsidR="00C845F4">
        <w:t xml:space="preserve"> (Confidentiality)</w:t>
      </w:r>
      <w:r w:rsidRPr="009876AE">
        <w:t>;</w:t>
      </w:r>
    </w:p>
    <w:p w:rsidR="005A0B1B" w:rsidRDefault="00F006F5">
      <w:pPr>
        <w:pStyle w:val="GPSL5numberedclause"/>
        <w:ind w:left="3119" w:hanging="425"/>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rsidR="005A0B1B" w:rsidRDefault="00F006F5">
      <w:pPr>
        <w:pStyle w:val="GPSL5numberedclause"/>
        <w:ind w:left="3119" w:hanging="425"/>
      </w:pPr>
      <w:r w:rsidRPr="009876AE">
        <w:t>have undergone adequate training in the use, care, protection and handling of personal data (as defined in the DPA);</w:t>
      </w:r>
    </w:p>
    <w:p w:rsidR="005A0B1B" w:rsidRDefault="00F006F5">
      <w:pPr>
        <w:pStyle w:val="GPSL5numberedclause"/>
        <w:ind w:left="3119" w:hanging="425"/>
      </w:pPr>
      <w:bookmarkStart w:id="373" w:name="_Ref365037165"/>
      <w:r w:rsidRPr="009876AE">
        <w:t xml:space="preserve">notify the </w:t>
      </w:r>
      <w:r>
        <w:t>Authority</w:t>
      </w:r>
      <w:r w:rsidRPr="009876AE">
        <w:t xml:space="preserve"> within five (5) Working Days if it receives:</w:t>
      </w:r>
      <w:bookmarkEnd w:id="373"/>
    </w:p>
    <w:p w:rsidR="005A0B1B" w:rsidRDefault="00F006F5">
      <w:pPr>
        <w:pStyle w:val="GPSL5numberedclause"/>
        <w:ind w:left="3119" w:hanging="425"/>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rsidR="005A0B1B" w:rsidRDefault="00F006F5">
      <w:pPr>
        <w:pStyle w:val="GPSL5numberedclause"/>
        <w:ind w:left="3119" w:hanging="425"/>
      </w:pPr>
      <w:r w:rsidRPr="009876AE">
        <w:t>any communication from the Information Commissioner or any other regulatory authority in connection with Personal Data; or</w:t>
      </w:r>
    </w:p>
    <w:p w:rsidR="005A0B1B" w:rsidRDefault="00F006F5">
      <w:pPr>
        <w:pStyle w:val="GPSL5numberedclause"/>
        <w:ind w:left="3119" w:hanging="425"/>
      </w:pPr>
      <w:r w:rsidRPr="009876AE">
        <w:t>a request from any third party for disclosure of Personal Data where compliance with such request is required or purported to be required by Law;</w:t>
      </w:r>
    </w:p>
    <w:p w:rsidR="00D81DAD" w:rsidRDefault="00F006F5" w:rsidP="007E26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F71B15">
        <w:fldChar w:fldCharType="begin"/>
      </w:r>
      <w:r w:rsidR="00C845F4">
        <w:instrText xml:space="preserve"> REF _Ref365037165 \w \h </w:instrText>
      </w:r>
      <w:r w:rsidR="00F71B15">
        <w:fldChar w:fldCharType="separate"/>
      </w:r>
      <w:r w:rsidR="00B3040B">
        <w:t>24.5.2(e)</w:t>
      </w:r>
      <w:r w:rsidR="00F71B15">
        <w:fldChar w:fldCharType="end"/>
      </w:r>
      <w:r w:rsidRPr="009876AE">
        <w:t>, including by promptly providing:</w:t>
      </w:r>
    </w:p>
    <w:p w:rsidR="005A0B1B" w:rsidRDefault="00F006F5">
      <w:pPr>
        <w:pStyle w:val="GPSL5numberedclause"/>
        <w:ind w:left="3119" w:hanging="425"/>
      </w:pPr>
      <w:r w:rsidRPr="009876AE">
        <w:t xml:space="preserve">the </w:t>
      </w:r>
      <w:r>
        <w:t>Authority</w:t>
      </w:r>
      <w:r w:rsidRPr="009876AE">
        <w:t xml:space="preserve"> with full details and copies of the complaint, communication or request;</w:t>
      </w:r>
    </w:p>
    <w:p w:rsidR="005A0B1B" w:rsidRDefault="00F006F5">
      <w:pPr>
        <w:pStyle w:val="GPSL5numberedclause"/>
        <w:ind w:left="3119" w:hanging="425"/>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rsidR="005A0B1B" w:rsidRDefault="00F006F5">
      <w:pPr>
        <w:pStyle w:val="GPSL5numberedclause"/>
        <w:ind w:left="3119" w:hanging="425"/>
      </w:pPr>
      <w:r w:rsidRPr="009876AE">
        <w:lastRenderedPageBreak/>
        <w:t xml:space="preserve">the </w:t>
      </w:r>
      <w:r>
        <w:t>Authority</w:t>
      </w:r>
      <w:r w:rsidRPr="009876AE">
        <w:t xml:space="preserve">, on request by the </w:t>
      </w:r>
      <w:r>
        <w:t>Authority</w:t>
      </w:r>
      <w:r w:rsidRPr="009876AE">
        <w:t xml:space="preserve">, with any Personal Data it holds in relation to a Data Subject; </w:t>
      </w:r>
      <w:r w:rsidR="007E2634">
        <w:t>and</w:t>
      </w:r>
    </w:p>
    <w:p w:rsidR="00D81DAD" w:rsidRDefault="00F006F5" w:rsidP="007E26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F71B15">
        <w:fldChar w:fldCharType="begin"/>
      </w:r>
      <w:r w:rsidR="00C845F4">
        <w:instrText xml:space="preserve"> REF _Ref365037028 \w \h </w:instrText>
      </w:r>
      <w:r w:rsidR="00F71B15">
        <w:fldChar w:fldCharType="separate"/>
      </w:r>
      <w:r w:rsidR="00B3040B">
        <w:t>24.5.2</w:t>
      </w:r>
      <w:r w:rsidR="00F71B15">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rsidR="00D81DAD" w:rsidRDefault="004236B9" w:rsidP="002E61F2">
      <w:pPr>
        <w:pStyle w:val="GPSL3numberedclause"/>
      </w:pPr>
      <w:bookmarkStart w:id="374" w:name="_Ref378673605"/>
      <w:r>
        <w:t>A Contracting Authority may require that t</w:t>
      </w:r>
      <w:r w:rsidRPr="009876AE">
        <w:t>he Supplier shall not Process or otherwise transfer any Personal Data in or to any</w:t>
      </w:r>
      <w:r>
        <w:t xml:space="preserve"> country outside the UK. In any other case the Supplier shall not Process or otherwise Transfer any Personal Data in or to any</w:t>
      </w:r>
      <w:r w:rsidRPr="009876AE">
        <w:t xml:space="preserve"> </w:t>
      </w:r>
      <w:r w:rsidRPr="004538C7">
        <w:t>Restricted Countr</w:t>
      </w:r>
      <w:r>
        <w:t>y except in accordance with this Clause</w:t>
      </w:r>
      <w:r w:rsidR="00D55221">
        <w:t xml:space="preserve"> </w:t>
      </w:r>
      <w:r w:rsidR="00F71B15">
        <w:fldChar w:fldCharType="begin"/>
      </w:r>
      <w:r w:rsidR="00D55221">
        <w:instrText xml:space="preserve"> REF _Ref378673605 \r \h </w:instrText>
      </w:r>
      <w:r w:rsidR="00F71B15">
        <w:fldChar w:fldCharType="separate"/>
      </w:r>
      <w:r w:rsidR="00D55221">
        <w:t>24.5.3</w:t>
      </w:r>
      <w:r w:rsidR="00F71B15">
        <w:fldChar w:fldCharType="end"/>
      </w:r>
      <w:r w:rsidRPr="009876AE">
        <w:t xml:space="preserve">. </w:t>
      </w:r>
      <w:r>
        <w:t xml:space="preserve">Where </w:t>
      </w:r>
      <w:r w:rsidRPr="009876AE">
        <w:t>the Supplier or any Sub-Contractor wishes to Process and/or transfer any Personal Data in or to any</w:t>
      </w:r>
      <w:r w:rsidR="00B77041">
        <w:t xml:space="preserve"> Restricted Country </w:t>
      </w:r>
      <w:r w:rsidRPr="009876AE">
        <w:t>the following provisions shall apply</w:t>
      </w:r>
      <w:r w:rsidR="00F006F5" w:rsidRPr="009876AE">
        <w:t>:</w:t>
      </w:r>
      <w:bookmarkEnd w:id="374"/>
    </w:p>
    <w:p w:rsidR="00D81DAD" w:rsidRDefault="00F006F5" w:rsidP="007E26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F71B15">
        <w:fldChar w:fldCharType="begin"/>
      </w:r>
      <w:r w:rsidR="0004095B">
        <w:instrText xml:space="preserve"> REF _Ref364957128 \r \h </w:instrText>
      </w:r>
      <w:r w:rsidR="00F71B15">
        <w:fldChar w:fldCharType="separate"/>
      </w:r>
      <w:r w:rsidR="00B3040B">
        <w:t>16.1</w:t>
      </w:r>
      <w:r w:rsidR="00F71B15">
        <w:fldChar w:fldCharType="end"/>
      </w:r>
      <w:r w:rsidR="0004095B">
        <w:t xml:space="preserve"> (Variation Procedure)</w:t>
      </w:r>
      <w:r w:rsidR="00C845F4">
        <w:t xml:space="preserve"> and Clauses </w:t>
      </w:r>
      <w:r w:rsidR="00F71B15">
        <w:fldChar w:fldCharType="begin"/>
      </w:r>
      <w:r w:rsidR="00C845F4">
        <w:instrText xml:space="preserve"> REF _Ref365037268 \w \h </w:instrText>
      </w:r>
      <w:r w:rsidR="00F71B15">
        <w:fldChar w:fldCharType="separate"/>
      </w:r>
      <w:r w:rsidR="00B3040B">
        <w:t>24.5.3(b)</w:t>
      </w:r>
      <w:r w:rsidR="00F71B15">
        <w:fldChar w:fldCharType="end"/>
      </w:r>
      <w:r w:rsidR="00C845F4">
        <w:t xml:space="preserve"> to </w:t>
      </w:r>
      <w:r w:rsidR="00F71B15">
        <w:fldChar w:fldCharType="begin"/>
      </w:r>
      <w:r w:rsidR="00C845F4">
        <w:instrText xml:space="preserve"> REF _Ref365037281 \w \h </w:instrText>
      </w:r>
      <w:r w:rsidR="00F71B15">
        <w:fldChar w:fldCharType="separate"/>
      </w:r>
      <w:r w:rsidR="00B3040B">
        <w:t>24.5.3(d)</w:t>
      </w:r>
      <w:r w:rsidR="00F71B15">
        <w:fldChar w:fldCharType="end"/>
      </w:r>
      <w:r w:rsidRPr="009876AE">
        <w:t>;</w:t>
      </w:r>
    </w:p>
    <w:p w:rsidR="00D81DAD" w:rsidRDefault="00F006F5" w:rsidP="007E2634">
      <w:pPr>
        <w:pStyle w:val="GPSL4numberedclause"/>
      </w:pPr>
      <w:bookmarkStart w:id="375"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75"/>
    </w:p>
    <w:p w:rsidR="005A0B1B" w:rsidRDefault="00F006F5">
      <w:pPr>
        <w:pStyle w:val="GPSL5numberedclause"/>
        <w:ind w:left="3119" w:hanging="425"/>
      </w:pPr>
      <w:r w:rsidRPr="009876AE">
        <w:t>the Personal Data which will be transferred to and/or Processed in or to any Restricted Countries;</w:t>
      </w:r>
    </w:p>
    <w:p w:rsidR="005A0B1B" w:rsidRDefault="00F006F5">
      <w:pPr>
        <w:pStyle w:val="GPSL5numberedclause"/>
        <w:ind w:left="3119" w:hanging="425"/>
      </w:pPr>
      <w:r w:rsidRPr="009876AE">
        <w:t>the Restricted Countries to which the Personal Data will be transferred and/or Processed; and</w:t>
      </w:r>
    </w:p>
    <w:p w:rsidR="005A0B1B" w:rsidRDefault="00F006F5">
      <w:pPr>
        <w:pStyle w:val="GPSL5numberedclause"/>
        <w:ind w:left="3119" w:hanging="425"/>
      </w:pPr>
      <w:r w:rsidRPr="009876AE">
        <w:t>any Sub-</w:t>
      </w:r>
      <w:r>
        <w:t>C</w:t>
      </w:r>
      <w:r w:rsidRPr="009876AE">
        <w:t>ontractors or other third parties who will be Processing and/or receiving Personal Data in Restricted Countries;</w:t>
      </w:r>
    </w:p>
    <w:p w:rsidR="005A0B1B" w:rsidRDefault="00F006F5">
      <w:pPr>
        <w:pStyle w:val="GPSL5numberedclause"/>
        <w:ind w:left="3119" w:hanging="425"/>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rsidR="00D81DAD" w:rsidRDefault="00F006F5" w:rsidP="007E26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D81DAD" w:rsidRDefault="00F006F5" w:rsidP="007E2634">
      <w:pPr>
        <w:pStyle w:val="GPSL4numberedclause"/>
      </w:pPr>
      <w:bookmarkStart w:id="376"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76"/>
    </w:p>
    <w:p w:rsidR="005A0B1B" w:rsidRDefault="00F006F5">
      <w:pPr>
        <w:pStyle w:val="GPSL5numberedclause"/>
        <w:ind w:left="3119" w:hanging="425"/>
      </w:pPr>
      <w:r w:rsidRPr="009876AE">
        <w:t xml:space="preserve">incorporating standard and/or model clauses (which are approved by the European Commission as offering adequate safeguards under the  DPA) into this </w:t>
      </w:r>
      <w:r>
        <w:t xml:space="preserve">Framework </w:t>
      </w:r>
      <w:r>
        <w:lastRenderedPageBreak/>
        <w:t>Agreement</w:t>
      </w:r>
      <w:r w:rsidRPr="009876AE">
        <w:t xml:space="preserve"> or a separate data processing agreement between the Parties; and</w:t>
      </w:r>
    </w:p>
    <w:p w:rsidR="005A0B1B" w:rsidRDefault="00F006F5">
      <w:pPr>
        <w:pStyle w:val="GPSL5numberedclause"/>
        <w:ind w:left="3119" w:hanging="425"/>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F006F5" w:rsidRPr="00F20C99" w:rsidRDefault="00F006F5" w:rsidP="007E2634">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rsidR="00F006F5" w:rsidRPr="00F20C99" w:rsidRDefault="00F006F5" w:rsidP="007E2634">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rsidR="00D81DAD" w:rsidRDefault="00F006F5" w:rsidP="007E2634">
      <w:pPr>
        <w:pStyle w:val="GPSL4indent"/>
      </w:pPr>
      <w:r w:rsidRPr="009876AE">
        <w:t>and the Supplier acknowledges</w:t>
      </w:r>
      <w:r w:rsidR="00DE4487">
        <w:t xml:space="preserve"> that in each case</w:t>
      </w:r>
      <w:r>
        <w:t>, this</w:t>
      </w:r>
      <w:r w:rsidRPr="009876AE">
        <w:t xml:space="preserve"> may include the </w:t>
      </w:r>
      <w:r w:rsidRPr="007E2634">
        <w:t>incorporation</w:t>
      </w:r>
      <w:r w:rsidRPr="009876AE">
        <w:t xml:space="preserve"> of model contract provisions (which are approved by the European Commission as offering adequate safeguards under the  DPA) and technical and organisation measures which the </w:t>
      </w:r>
      <w:r>
        <w:t>Authority</w:t>
      </w:r>
      <w:r w:rsidRPr="009876AE">
        <w:t xml:space="preserve"> deems necessary for the purpose of protecting Personal Data.</w:t>
      </w:r>
    </w:p>
    <w:p w:rsidR="00D81DAD" w:rsidRDefault="00F006F5" w:rsidP="002E61F2">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 xml:space="preserve">. </w:t>
      </w:r>
    </w:p>
    <w:p w:rsidR="00D81DAD" w:rsidRDefault="001827DA" w:rsidP="002E61F2">
      <w:pPr>
        <w:pStyle w:val="GPSL1CLAUSEHEADING"/>
      </w:pPr>
      <w:bookmarkStart w:id="377" w:name="_Ref365018138"/>
      <w:bookmarkStart w:id="378" w:name="_Toc366085154"/>
      <w:bookmarkStart w:id="379" w:name="_Toc379488047"/>
      <w:bookmarkStart w:id="380" w:name="_Toc380052151"/>
      <w:bookmarkStart w:id="381" w:name="_Toc380052661"/>
      <w:bookmarkStart w:id="382" w:name="_Toc391545346"/>
      <w:r w:rsidRPr="001827DA">
        <w:t>PUBLICITY AND BRANDING</w:t>
      </w:r>
      <w:bookmarkEnd w:id="377"/>
      <w:bookmarkEnd w:id="378"/>
      <w:bookmarkEnd w:id="379"/>
      <w:bookmarkEnd w:id="380"/>
      <w:bookmarkEnd w:id="381"/>
      <w:bookmarkEnd w:id="382"/>
    </w:p>
    <w:p w:rsidR="00D81DAD" w:rsidRDefault="005D3601" w:rsidP="002E61F2">
      <w:pPr>
        <w:pStyle w:val="GPSL2Numbered"/>
      </w:pPr>
      <w:r>
        <w:t xml:space="preserve">Subject to Clause </w:t>
      </w:r>
      <w:r w:rsidR="00F71B15">
        <w:fldChar w:fldCharType="begin"/>
      </w:r>
      <w:r w:rsidR="00512989">
        <w:instrText xml:space="preserve"> REF _Ref365037536 \w \h </w:instrText>
      </w:r>
      <w:r w:rsidR="00F71B15">
        <w:fldChar w:fldCharType="separate"/>
      </w:r>
      <w:r w:rsidR="00B3040B">
        <w:t>26</w:t>
      </w:r>
      <w:r w:rsidR="00F71B15">
        <w:fldChar w:fldCharType="end"/>
      </w:r>
      <w:r>
        <w:t xml:space="preserve"> (Marketing), t</w:t>
      </w:r>
      <w:r w:rsidRPr="00893741">
        <w:t>he Supplier shall not</w:t>
      </w:r>
      <w:r>
        <w:t>:</w:t>
      </w:r>
    </w:p>
    <w:p w:rsidR="00D81DAD" w:rsidRDefault="005D3601" w:rsidP="002E61F2">
      <w:pPr>
        <w:pStyle w:val="GPSL3numberedclause"/>
      </w:pPr>
      <w:r w:rsidRPr="00893741">
        <w:t xml:space="preserve">make any press announcements or publicise this </w:t>
      </w:r>
      <w:r>
        <w:t>Framework Agreement</w:t>
      </w:r>
      <w:r w:rsidRPr="00893741">
        <w:t xml:space="preserve"> in any way</w:t>
      </w:r>
      <w:r>
        <w:t>; or</w:t>
      </w:r>
    </w:p>
    <w:p w:rsidR="00D81DAD" w:rsidRDefault="005D3601" w:rsidP="002E61F2">
      <w:pPr>
        <w:pStyle w:val="GPSL3numberedclause"/>
      </w:pPr>
      <w:r>
        <w:t>use the Authority</w:t>
      </w:r>
      <w:r w:rsidRPr="00B562D0">
        <w:t xml:space="preserve">'s name or brand in any promotion or marketing or announcement of </w:t>
      </w:r>
      <w:r>
        <w:t>O</w:t>
      </w:r>
      <w:r w:rsidRPr="00B562D0">
        <w:t>rders</w:t>
      </w:r>
      <w:r>
        <w:t xml:space="preserve">, </w:t>
      </w:r>
    </w:p>
    <w:p w:rsidR="00D81DAD" w:rsidRDefault="005D3601">
      <w:pPr>
        <w:pStyle w:val="GPSL2Indent"/>
      </w:pPr>
      <w:r w:rsidRPr="00893741">
        <w:t xml:space="preserve">without Approval </w:t>
      </w:r>
      <w:r>
        <w:t xml:space="preserve">(the decision of the Authority to Approve or not </w:t>
      </w:r>
      <w:r w:rsidRPr="00B562D0">
        <w:t>shall not be unreasonably withheld or delayed</w:t>
      </w:r>
      <w:r>
        <w:t>).</w:t>
      </w:r>
    </w:p>
    <w:p w:rsidR="00D81DAD" w:rsidRDefault="005D3601" w:rsidP="002E61F2">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DE4487">
        <w:t xml:space="preserve">approval  </w:t>
      </w:r>
      <w:r w:rsidR="009C5425">
        <w:t>and/</w:t>
      </w:r>
      <w:r w:rsidR="00DE4487">
        <w:t xml:space="preserve">or </w:t>
      </w:r>
      <w:r w:rsidRPr="00B562D0">
        <w:t xml:space="preserve">endorsement of any products or services of the other </w:t>
      </w:r>
      <w:r>
        <w:t>Party</w:t>
      </w:r>
      <w:r w:rsidRPr="00B562D0">
        <w:t xml:space="preserve"> (including the Services) and each </w:t>
      </w:r>
      <w:r>
        <w:t>Party</w:t>
      </w:r>
      <w:r w:rsidRPr="00B562D0">
        <w:t xml:space="preserve"> agrees not to conduct itself in such a way as to imply or express any such approval </w:t>
      </w:r>
      <w:r w:rsidR="009C5425">
        <w:t>and/</w:t>
      </w:r>
      <w:r w:rsidRPr="00B562D0">
        <w:t>or endorsement.</w:t>
      </w:r>
    </w:p>
    <w:p w:rsidR="00D81DAD" w:rsidRDefault="005D3601" w:rsidP="002E61F2">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BB44FB" w:rsidRDefault="00BB44FB" w:rsidP="002E61F2">
      <w:pPr>
        <w:pStyle w:val="GPSL2Numbered"/>
      </w:pPr>
      <w:bookmarkStart w:id="383" w:name="_Ref377481856"/>
      <w:r>
        <w:t xml:space="preserve">The Supplier shall not </w:t>
      </w:r>
      <w:r w:rsidRPr="009876AE">
        <w:t>embarrass the </w:t>
      </w:r>
      <w:r>
        <w:t>Authority</w:t>
      </w:r>
      <w:r w:rsidR="00443CF7">
        <w:t xml:space="preserve"> or any Other Contracting Body</w:t>
      </w:r>
      <w:r>
        <w:t>,</w:t>
      </w:r>
      <w:r w:rsidRPr="009876AE">
        <w:t xml:space="preserve"> </w:t>
      </w:r>
      <w:r w:rsidRPr="00DF7C7B">
        <w:t xml:space="preserve"> </w:t>
      </w:r>
      <w:r>
        <w:t>or cause, generate, contribute to or otherwise be involved in material adverse publicity relating to or involving the Authority</w:t>
      </w:r>
      <w:r w:rsidR="00443CF7" w:rsidRPr="00443CF7">
        <w:t xml:space="preserve"> </w:t>
      </w:r>
      <w:r w:rsidR="00443CF7">
        <w:t>or any Other Contracting Body</w:t>
      </w:r>
      <w:r>
        <w:t xml:space="preserve">, </w:t>
      </w:r>
      <w:r w:rsidRPr="009876AE">
        <w:t>or otherwise br</w:t>
      </w:r>
      <w:r>
        <w:t>ing</w:t>
      </w:r>
      <w:r w:rsidRPr="009876AE">
        <w:t xml:space="preserve"> the </w:t>
      </w:r>
      <w:r>
        <w:t>Authority</w:t>
      </w:r>
      <w:r w:rsidR="00443CF7" w:rsidRPr="00443CF7">
        <w:t xml:space="preserve"> </w:t>
      </w:r>
      <w:r w:rsidR="00443CF7">
        <w:t>or any Other Contracting Body</w:t>
      </w:r>
      <w:r w:rsidRPr="009876AE">
        <w:t xml:space="preserve"> into </w:t>
      </w:r>
      <w:r w:rsidRPr="009876AE">
        <w:lastRenderedPageBreak/>
        <w:t>disrepute by engaging in</w:t>
      </w:r>
      <w:r>
        <w:t>, enabling or allowing</w:t>
      </w:r>
      <w:r w:rsidRPr="009876AE">
        <w:t xml:space="preserve"> any act or omission which is reasonably likely to diminish the trust that the public places in the </w:t>
      </w:r>
      <w:r>
        <w:t>Authority</w:t>
      </w:r>
      <w:r w:rsidR="00443CF7" w:rsidRPr="00443CF7">
        <w:t xml:space="preserve"> </w:t>
      </w:r>
      <w:r w:rsidR="00443CF7">
        <w:t>or any Other Contracting Body</w:t>
      </w:r>
      <w:r w:rsidRPr="009876AE">
        <w:t xml:space="preserve">, regardless of whether or not such act or omission is related to the </w:t>
      </w:r>
      <w:r>
        <w:t xml:space="preserve">Supplier’s </w:t>
      </w:r>
      <w:r w:rsidRPr="009876AE">
        <w:t>obligations in relation to the Services or otherwise</w:t>
      </w:r>
      <w:r>
        <w:t>.</w:t>
      </w:r>
      <w:bookmarkEnd w:id="383"/>
    </w:p>
    <w:p w:rsidR="00D81DAD" w:rsidRDefault="001827DA" w:rsidP="002E61F2">
      <w:pPr>
        <w:pStyle w:val="GPSL1CLAUSEHEADING"/>
      </w:pPr>
      <w:bookmarkStart w:id="384" w:name="_Ref365037536"/>
      <w:bookmarkStart w:id="385" w:name="_Toc366085155"/>
      <w:bookmarkStart w:id="386" w:name="_Toc379488048"/>
      <w:bookmarkStart w:id="387" w:name="_Toc380052152"/>
      <w:bookmarkStart w:id="388" w:name="_Toc380052662"/>
      <w:bookmarkStart w:id="389" w:name="_Toc391545347"/>
      <w:r w:rsidRPr="001827DA">
        <w:t>MARKETING</w:t>
      </w:r>
      <w:bookmarkEnd w:id="384"/>
      <w:bookmarkEnd w:id="385"/>
      <w:bookmarkEnd w:id="386"/>
      <w:bookmarkEnd w:id="387"/>
      <w:bookmarkEnd w:id="388"/>
      <w:bookmarkEnd w:id="389"/>
    </w:p>
    <w:p w:rsidR="00D81DAD" w:rsidRDefault="005D3601" w:rsidP="002E61F2">
      <w:pPr>
        <w:pStyle w:val="GPSL2Numbered"/>
      </w:pPr>
      <w:r w:rsidRPr="006875AD">
        <w:t>The Supplier shall undertake marketing of this Framework Agreement and the Services on behalf of the Authority to Other Contracting Bodies in accordance with the provisions of Framework Schedule 1</w:t>
      </w:r>
      <w:r w:rsidR="00EA6CAB">
        <w:t>1</w:t>
      </w:r>
      <w:r w:rsidRPr="006875AD">
        <w:t xml:space="preserve"> (Marketing).</w:t>
      </w:r>
    </w:p>
    <w:p w:rsidR="00D81DAD" w:rsidRDefault="005D3601" w:rsidP="002E61F2">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Default="005D3601" w:rsidP="002E61F2">
      <w:pPr>
        <w:pStyle w:val="GPSSectionHeading"/>
      </w:pPr>
      <w:bookmarkStart w:id="390" w:name="_Toc366085156"/>
      <w:bookmarkStart w:id="391" w:name="_Toc379488049"/>
      <w:bookmarkStart w:id="392" w:name="_Toc380052153"/>
      <w:bookmarkStart w:id="393" w:name="_Toc380052663"/>
      <w:bookmarkStart w:id="394" w:name="_Toc391545348"/>
      <w:r>
        <w:t>LIABILITY AND INSURANCE</w:t>
      </w:r>
      <w:bookmarkEnd w:id="390"/>
      <w:bookmarkEnd w:id="391"/>
      <w:bookmarkEnd w:id="392"/>
      <w:bookmarkEnd w:id="393"/>
      <w:bookmarkEnd w:id="394"/>
    </w:p>
    <w:p w:rsidR="00D81DAD" w:rsidRDefault="001827DA" w:rsidP="002E61F2">
      <w:pPr>
        <w:pStyle w:val="GPSL1CLAUSEHEADING"/>
      </w:pPr>
      <w:bookmarkStart w:id="395" w:name="_Ref365037716"/>
      <w:bookmarkStart w:id="396" w:name="_Ref365043961"/>
      <w:bookmarkStart w:id="397" w:name="_Toc366085157"/>
      <w:bookmarkStart w:id="398" w:name="_Toc379488050"/>
      <w:bookmarkStart w:id="399" w:name="_Toc380052154"/>
      <w:bookmarkStart w:id="400" w:name="_Toc380052664"/>
      <w:bookmarkStart w:id="401" w:name="_Toc391545349"/>
      <w:r w:rsidRPr="001827DA">
        <w:t>LIABILITY</w:t>
      </w:r>
      <w:bookmarkEnd w:id="395"/>
      <w:bookmarkEnd w:id="396"/>
      <w:bookmarkEnd w:id="397"/>
      <w:bookmarkEnd w:id="398"/>
      <w:bookmarkEnd w:id="399"/>
      <w:bookmarkEnd w:id="400"/>
      <w:bookmarkEnd w:id="401"/>
      <w:r w:rsidRPr="001827DA">
        <w:t xml:space="preserve"> </w:t>
      </w:r>
    </w:p>
    <w:p w:rsidR="00D81DAD" w:rsidRDefault="005D3601" w:rsidP="002E61F2">
      <w:pPr>
        <w:pStyle w:val="GPSL2Numbered"/>
      </w:pPr>
      <w:bookmarkStart w:id="402" w:name="_Ref365037583"/>
      <w:r w:rsidRPr="006875AD">
        <w:t>Neither Party excludes or limits its liability for:</w:t>
      </w:r>
      <w:bookmarkEnd w:id="402"/>
    </w:p>
    <w:p w:rsidR="00D81DAD" w:rsidRDefault="005D3601" w:rsidP="002E61F2">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D81DAD" w:rsidRDefault="005D3601" w:rsidP="002E61F2">
      <w:pPr>
        <w:pStyle w:val="GPSL3numberedclause"/>
      </w:pPr>
      <w:r w:rsidRPr="006875AD">
        <w:t>bribery or Fraud by it or its employees; or</w:t>
      </w:r>
    </w:p>
    <w:p w:rsidR="00D81DAD" w:rsidRDefault="005D3601" w:rsidP="002E61F2">
      <w:pPr>
        <w:pStyle w:val="GPSL3numberedclause"/>
      </w:pPr>
      <w:r w:rsidRPr="006875AD">
        <w:t>any liability to the extent i</w:t>
      </w:r>
      <w:r>
        <w:t>t</w:t>
      </w:r>
      <w:r w:rsidRPr="006875AD">
        <w:t xml:space="preserve"> cannot be excluded or limited by Law.</w:t>
      </w:r>
    </w:p>
    <w:p w:rsidR="00D81DAD" w:rsidRDefault="005D3601" w:rsidP="002E61F2">
      <w:pPr>
        <w:pStyle w:val="GPSL2Numbered"/>
      </w:pPr>
      <w:bookmarkStart w:id="403" w:name="_Ref365037668"/>
      <w:r w:rsidRPr="006875AD">
        <w:t xml:space="preserve">Subject to Clause </w:t>
      </w:r>
      <w:r w:rsidR="00F71B15">
        <w:fldChar w:fldCharType="begin"/>
      </w:r>
      <w:r w:rsidR="00512989">
        <w:instrText xml:space="preserve"> REF _Ref365037583 \w \h </w:instrText>
      </w:r>
      <w:r w:rsidR="00F71B15">
        <w:fldChar w:fldCharType="separate"/>
      </w:r>
      <w:r w:rsidR="00B3040B">
        <w:t>27.1</w:t>
      </w:r>
      <w:r w:rsidR="00F71B15">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222E09">
        <w:t xml:space="preserve">its </w:t>
      </w:r>
      <w:r>
        <w:t>d</w:t>
      </w:r>
      <w:r w:rsidRPr="006875AD">
        <w:t>efault</w:t>
      </w:r>
      <w:r>
        <w:t>s</w:t>
      </w:r>
      <w:r w:rsidRPr="006875AD">
        <w:t xml:space="preserve"> shall </w:t>
      </w:r>
      <w:r>
        <w:t>in no event exceed</w:t>
      </w:r>
      <w:r w:rsidRPr="006875AD">
        <w:t>:</w:t>
      </w:r>
      <w:bookmarkEnd w:id="403"/>
    </w:p>
    <w:p w:rsidR="00D81DAD" w:rsidRDefault="005D3601" w:rsidP="00B93DA3">
      <w:pPr>
        <w:pStyle w:val="GPSL3numberedclause"/>
      </w:pPr>
      <w:r w:rsidRPr="006875AD">
        <w:t xml:space="preserve">in relation to </w:t>
      </w:r>
      <w:r>
        <w:t xml:space="preserve">any </w:t>
      </w:r>
      <w:r w:rsidR="00222E09">
        <w:t>d</w:t>
      </w:r>
      <w:r w:rsidRPr="006875AD">
        <w:t>efault</w:t>
      </w:r>
      <w:r>
        <w:t>s</w:t>
      </w:r>
      <w:r w:rsidRPr="006875AD">
        <w:t xml:space="preserve"> occurring </w:t>
      </w:r>
      <w:r>
        <w:t>from the Framework Commencement Date to the end of</w:t>
      </w:r>
      <w:r w:rsidRPr="006875AD">
        <w:t xml:space="preserve"> the first Contract Year</w:t>
      </w:r>
      <w:r w:rsidRPr="00B93DA3">
        <w:t>, one hundred thousand pounds (£100,000);</w:t>
      </w:r>
    </w:p>
    <w:p w:rsidR="00D81DAD" w:rsidRDefault="005D3601" w:rsidP="002E61F2">
      <w:pPr>
        <w:pStyle w:val="GPSL3numberedclause"/>
      </w:pPr>
      <w:r w:rsidRPr="006875AD">
        <w:t xml:space="preserve">in relation to </w:t>
      </w:r>
      <w:r>
        <w:t xml:space="preserve">any </w:t>
      </w:r>
      <w:r w:rsidR="00222E09">
        <w:t>d</w:t>
      </w:r>
      <w:r w:rsidRPr="006875AD">
        <w:t>efault</w:t>
      </w:r>
      <w:r>
        <w:t>s</w:t>
      </w:r>
      <w:r w:rsidRPr="006875AD">
        <w:t xml:space="preserve"> 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w:t>
      </w:r>
      <w:r>
        <w:t>high</w:t>
      </w:r>
      <w:r w:rsidRPr="006875AD">
        <w:t xml:space="preserve">er of the sum </w:t>
      </w:r>
      <w:r w:rsidRPr="00B93DA3">
        <w:t xml:space="preserve">of one hundred thousand pounds (£100,000) in each such Contract Year and a sum equal to one hundred and twenty five </w:t>
      </w:r>
      <w:proofErr w:type="spellStart"/>
      <w:r w:rsidRPr="00B93DA3">
        <w:t>percent</w:t>
      </w:r>
      <w:proofErr w:type="spellEnd"/>
      <w:r w:rsidRPr="00B93DA3">
        <w:t xml:space="preserve"> (125%)</w:t>
      </w:r>
      <w:r w:rsidRPr="006875AD">
        <w:t xml:space="preserve"> of the Management Charge payable</w:t>
      </w:r>
      <w:r>
        <w:t xml:space="preserve"> by the Supplier</w:t>
      </w:r>
      <w:r w:rsidRPr="006875AD">
        <w:t xml:space="preserve"> under this Framework Agreement in the </w:t>
      </w:r>
      <w:r>
        <w:t>previous Contract Year</w:t>
      </w:r>
      <w:r w:rsidRPr="006875AD">
        <w:t>; and</w:t>
      </w:r>
    </w:p>
    <w:p w:rsidR="00D81DAD" w:rsidRDefault="005D3601" w:rsidP="00B93DA3">
      <w:pPr>
        <w:pStyle w:val="GPSL3numberedclause"/>
      </w:pPr>
      <w:r w:rsidRPr="006875AD">
        <w:t xml:space="preserve">in relation to </w:t>
      </w:r>
      <w:r>
        <w:t>any</w:t>
      </w:r>
      <w:r w:rsidRPr="006875AD">
        <w:t xml:space="preserve"> </w:t>
      </w:r>
      <w:r w:rsidR="00222E09">
        <w:t>d</w:t>
      </w:r>
      <w:r w:rsidRPr="006875AD">
        <w:t>efault</w:t>
      </w:r>
      <w:r>
        <w:t>s</w:t>
      </w:r>
      <w:r w:rsidRPr="006875AD">
        <w:t xml:space="preserve"> occurring </w:t>
      </w:r>
      <w:r>
        <w:t xml:space="preserve">in each Contract Year that commences </w:t>
      </w:r>
      <w:r w:rsidRPr="006875AD">
        <w:t xml:space="preserve">after the end of the Framework </w:t>
      </w:r>
      <w:r w:rsidRPr="00B93DA3">
        <w:t xml:space="preserve">Period, the higher of one hundred thousand pounds (£100,000) in each such Contract Year and a sum equal to one hundred and twenty five </w:t>
      </w:r>
      <w:proofErr w:type="spellStart"/>
      <w:r w:rsidRPr="00B93DA3">
        <w:t>percent</w:t>
      </w:r>
      <w:proofErr w:type="spellEnd"/>
      <w:r w:rsidRPr="00B93DA3">
        <w:t xml:space="preserve"> (125%)</w:t>
      </w:r>
      <w:r w:rsidRPr="006875AD">
        <w:t xml:space="preserve"> of the Management Charge payable </w:t>
      </w:r>
      <w:r>
        <w:t xml:space="preserve">by the Supplier </w:t>
      </w:r>
      <w:r w:rsidRPr="006875AD">
        <w:t>under this Framework Agreement in the</w:t>
      </w:r>
      <w:r>
        <w:t xml:space="preserve"> last Contract Year commencing during the Framework Period.</w:t>
      </w:r>
    </w:p>
    <w:p w:rsidR="00D81DAD" w:rsidRDefault="005D3601" w:rsidP="002E61F2">
      <w:pPr>
        <w:pStyle w:val="GPSL2Numbered"/>
      </w:pPr>
      <w:bookmarkStart w:id="404" w:name="_Ref365037681"/>
      <w:r w:rsidRPr="006875AD">
        <w:lastRenderedPageBreak/>
        <w:t>Subject to Clause</w:t>
      </w:r>
      <w:r w:rsidR="00512989">
        <w:t xml:space="preserve"> </w:t>
      </w:r>
      <w:r w:rsidR="00F71B15">
        <w:fldChar w:fldCharType="begin"/>
      </w:r>
      <w:r w:rsidR="00512989">
        <w:instrText xml:space="preserve"> REF _Ref365037583 \w \h </w:instrText>
      </w:r>
      <w:r w:rsidR="00F71B15">
        <w:fldChar w:fldCharType="separate"/>
      </w:r>
      <w:r w:rsidR="00B3040B">
        <w:t>27.1</w:t>
      </w:r>
      <w:r w:rsidR="00F71B15">
        <w:fldChar w:fldCharType="end"/>
      </w:r>
      <w:r w:rsidRPr="006875AD">
        <w:t xml:space="preserve">, </w:t>
      </w:r>
      <w:r>
        <w:t>neither Party shall be liable to the other</w:t>
      </w:r>
      <w:r w:rsidRPr="006875AD">
        <w:t xml:space="preserve"> Party</w:t>
      </w:r>
      <w:r>
        <w:t xml:space="preserve"> </w:t>
      </w:r>
      <w:r w:rsidRPr="006875AD">
        <w:t>for any:</w:t>
      </w:r>
      <w:bookmarkEnd w:id="404"/>
    </w:p>
    <w:p w:rsidR="00D81DAD" w:rsidRDefault="005D3601" w:rsidP="002E61F2">
      <w:pPr>
        <w:pStyle w:val="GPSL3numberedclause"/>
      </w:pPr>
      <w:r w:rsidRPr="00893741">
        <w:t>indirect, special or consequential Loss</w:t>
      </w:r>
      <w:r>
        <w:t xml:space="preserve">; </w:t>
      </w:r>
    </w:p>
    <w:p w:rsidR="00D81DAD" w:rsidRDefault="005D3601" w:rsidP="002E61F2">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rsidR="00D81DAD" w:rsidRDefault="005D3601" w:rsidP="002E61F2">
      <w:pPr>
        <w:pStyle w:val="GPSL2Numbered"/>
      </w:pPr>
      <w:r>
        <w:t>Subject to Clause</w:t>
      </w:r>
      <w:r w:rsidR="00512989">
        <w:t xml:space="preserve"> </w:t>
      </w:r>
      <w:r w:rsidR="00F71B15">
        <w:fldChar w:fldCharType="begin"/>
      </w:r>
      <w:r w:rsidR="00512989">
        <w:instrText xml:space="preserve"> REF _Ref365037668 \w \h </w:instrText>
      </w:r>
      <w:r w:rsidR="00F71B15">
        <w:fldChar w:fldCharType="separate"/>
      </w:r>
      <w:r w:rsidR="00861170">
        <w:t>27.2</w:t>
      </w:r>
      <w:r w:rsidR="00F71B15">
        <w:fldChar w:fldCharType="end"/>
      </w:r>
      <w:r>
        <w:t>, and notwithstanding Clause</w:t>
      </w:r>
      <w:r w:rsidR="00512989">
        <w:t xml:space="preserve"> </w:t>
      </w:r>
      <w:r w:rsidR="00F71B15">
        <w:fldChar w:fldCharType="begin"/>
      </w:r>
      <w:r w:rsidR="00512989">
        <w:instrText xml:space="preserve"> REF _Ref365037681 \w \h </w:instrText>
      </w:r>
      <w:r w:rsidR="00F71B15">
        <w:fldChar w:fldCharType="separate"/>
      </w:r>
      <w:r w:rsidR="00861170">
        <w:t>27.3</w:t>
      </w:r>
      <w:r w:rsidR="00F71B15">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rsidR="00D81DAD" w:rsidRDefault="005D3601" w:rsidP="002E61F2">
      <w:pPr>
        <w:pStyle w:val="GPSL3numberedclause"/>
      </w:pPr>
      <w:r w:rsidRPr="006875AD">
        <w:t xml:space="preserve">any Management Charge or Default Management Charge which are due and payable to the Authority; </w:t>
      </w:r>
    </w:p>
    <w:p w:rsidR="00D81DAD" w:rsidRDefault="005D3601" w:rsidP="002E61F2">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rsidR="00D81DAD" w:rsidRDefault="005D3601" w:rsidP="002E61F2">
      <w:pPr>
        <w:pStyle w:val="GPSL3numberedclause"/>
      </w:pPr>
      <w:r w:rsidRPr="00893741">
        <w:t>any wasted expenditure or charges</w:t>
      </w:r>
      <w:r>
        <w:t>;</w:t>
      </w:r>
    </w:p>
    <w:p w:rsidR="00D81DAD" w:rsidRDefault="005D3601" w:rsidP="002E61F2">
      <w:pPr>
        <w:pStyle w:val="GPSL3numberedclause"/>
      </w:pPr>
      <w:r w:rsidRPr="00893741">
        <w:t xml:space="preserve">the additional cost of procuring Replacement </w:t>
      </w:r>
      <w:r>
        <w:t xml:space="preserve">Services </w:t>
      </w:r>
      <w:r w:rsidRPr="00893741">
        <w:t>for the re</w:t>
      </w:r>
      <w:r>
        <w:t>mainder of the Framework</w:t>
      </w:r>
      <w:r w:rsidRPr="00893741">
        <w:t xml:space="preserve"> Period, which shall include any incremental costs associated with such Replacement </w:t>
      </w:r>
      <w:r>
        <w:t xml:space="preserve">Services </w:t>
      </w:r>
      <w:r w:rsidRPr="00893741">
        <w:t xml:space="preserve">above those which would have been payable under this </w:t>
      </w:r>
      <w:r>
        <w:t>Framework Agreement;</w:t>
      </w:r>
    </w:p>
    <w:p w:rsidR="00D81DAD" w:rsidRDefault="005D3601" w:rsidP="002E61F2">
      <w:pPr>
        <w:pStyle w:val="GPSL3numberedclause"/>
      </w:pPr>
      <w:r w:rsidRPr="00893741">
        <w:t xml:space="preserve">any compensation or interest paid to a third party by the </w:t>
      </w:r>
      <w:r>
        <w:t>Authority;</w:t>
      </w:r>
    </w:p>
    <w:p w:rsidR="00D81DAD" w:rsidRDefault="005D3601" w:rsidP="002E61F2">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rsidR="00D81DAD" w:rsidRDefault="005D3601" w:rsidP="002E61F2">
      <w:pPr>
        <w:pStyle w:val="GPSL2Numbered"/>
      </w:pPr>
      <w:r w:rsidRPr="00893741">
        <w:t xml:space="preserve">A Party shall not be responsible for any Loss under this </w:t>
      </w:r>
      <w:r>
        <w:t xml:space="preserve">Framework Agreement </w:t>
      </w:r>
      <w:r w:rsidRPr="00893741">
        <w:t xml:space="preserve">if and to the extent that it is caused by the default </w:t>
      </w:r>
      <w:r w:rsidR="00A915D7" w:rsidRPr="00893741">
        <w:t>(</w:t>
      </w:r>
      <w:r w:rsidR="002E7CBD">
        <w:t>“</w:t>
      </w:r>
      <w:r w:rsidR="00A915D7" w:rsidRPr="00893741">
        <w:t>Default</w:t>
      </w:r>
      <w:r w:rsidR="00A915D7">
        <w:t xml:space="preserve">” where such a default is on </w:t>
      </w:r>
      <w:r w:rsidR="00A915D7" w:rsidRPr="00893741">
        <w:t>the part of the Supplier)</w:t>
      </w:r>
      <w:r w:rsidR="00A915D7">
        <w:t xml:space="preserve"> </w:t>
      </w:r>
      <w:r w:rsidRPr="00893741">
        <w:t>of the other</w:t>
      </w:r>
      <w:r w:rsidRPr="006875AD">
        <w:t>.</w:t>
      </w:r>
    </w:p>
    <w:p w:rsidR="00D81DAD" w:rsidRDefault="005D3601" w:rsidP="002E61F2">
      <w:pPr>
        <w:pStyle w:val="GPSL2Numbered"/>
      </w:pPr>
      <w:r w:rsidRPr="00893741">
        <w:t xml:space="preserve">Each Party shall use all reasonable endeavours to mitigate any loss or damage suffered arising out of or in connection with this </w:t>
      </w:r>
      <w:r>
        <w:t xml:space="preserve">Framework Agreement. </w:t>
      </w:r>
    </w:p>
    <w:p w:rsidR="00D81DAD" w:rsidRDefault="005D3601" w:rsidP="002E61F2">
      <w:pPr>
        <w:pStyle w:val="GPSL2Numbered"/>
      </w:pPr>
      <w:r>
        <w:t xml:space="preserve">Any Default Management Charge </w:t>
      </w:r>
      <w:r w:rsidRPr="00893741">
        <w:t>shall not be taken into consideration when calculating the Supplier’s liability under Clause</w:t>
      </w:r>
      <w:r w:rsidR="00512989">
        <w:t xml:space="preserve"> </w:t>
      </w:r>
      <w:r w:rsidR="00F71B15">
        <w:fldChar w:fldCharType="begin"/>
      </w:r>
      <w:r w:rsidR="00512989">
        <w:instrText xml:space="preserve"> REF _Ref365037668 \w \h </w:instrText>
      </w:r>
      <w:r w:rsidR="00F71B15">
        <w:fldChar w:fldCharType="separate"/>
      </w:r>
      <w:r w:rsidR="00B3040B">
        <w:t>27.3</w:t>
      </w:r>
      <w:r w:rsidR="00F71B15">
        <w:fldChar w:fldCharType="end"/>
      </w:r>
      <w:r>
        <w:t>.</w:t>
      </w:r>
    </w:p>
    <w:p w:rsidR="00D81DAD" w:rsidRDefault="005D3601" w:rsidP="002E61F2">
      <w:pPr>
        <w:pStyle w:val="GPSL2Numbered"/>
      </w:pPr>
      <w:r w:rsidRPr="006875AD">
        <w:t>For the avoidance of doubt, the Parties acknowledge and agree that this Clause </w:t>
      </w:r>
      <w:r w:rsidR="00F71B15">
        <w:fldChar w:fldCharType="begin"/>
      </w:r>
      <w:r w:rsidR="00512989">
        <w:instrText xml:space="preserve"> REF _Ref365037716 \w \h </w:instrText>
      </w:r>
      <w:r w:rsidR="00F71B15">
        <w:fldChar w:fldCharType="separate"/>
      </w:r>
      <w:r w:rsidR="00B3040B">
        <w:t>27</w:t>
      </w:r>
      <w:r w:rsidR="00F71B15">
        <w:fldChar w:fldCharType="end"/>
      </w:r>
      <w:r w:rsidRPr="006875AD">
        <w:t xml:space="preserve"> shall not limit the Supplier’s liability </w:t>
      </w:r>
      <w:r>
        <w:t>to a Contracting Body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rsidR="00D81DAD" w:rsidRDefault="001827DA" w:rsidP="002E61F2">
      <w:pPr>
        <w:pStyle w:val="GPSL1CLAUSEHEADING"/>
      </w:pPr>
      <w:bookmarkStart w:id="405" w:name="_Ref365044128"/>
      <w:bookmarkStart w:id="406" w:name="_Toc366085158"/>
      <w:bookmarkStart w:id="407" w:name="_Toc379488051"/>
      <w:bookmarkStart w:id="408" w:name="_Toc380052155"/>
      <w:bookmarkStart w:id="409" w:name="_Toc380052665"/>
      <w:bookmarkStart w:id="410" w:name="_Toc391545350"/>
      <w:r w:rsidRPr="001827DA">
        <w:t>INSURANCE</w:t>
      </w:r>
      <w:bookmarkEnd w:id="405"/>
      <w:bookmarkEnd w:id="406"/>
      <w:bookmarkEnd w:id="407"/>
      <w:bookmarkEnd w:id="408"/>
      <w:bookmarkEnd w:id="409"/>
      <w:bookmarkEnd w:id="410"/>
    </w:p>
    <w:p w:rsidR="00D81DAD" w:rsidRDefault="005D3601" w:rsidP="0024268B">
      <w:pPr>
        <w:pStyle w:val="GPSL2Numbered"/>
      </w:pPr>
      <w:r w:rsidRPr="006875AD">
        <w:t xml:space="preserve">The Supplier shall effect and maintain insurances in relation to the performance of its obligations under this Framework Agreement and shall </w:t>
      </w:r>
      <w:r w:rsidR="00876426">
        <w:t xml:space="preserve">use all reasonable endeavours to </w:t>
      </w:r>
      <w:r w:rsidRPr="006875AD">
        <w:t>procure that Sub</w:t>
      </w:r>
      <w:r w:rsidR="00861170">
        <w:t>-C</w:t>
      </w:r>
      <w:r w:rsidRPr="006875AD">
        <w:t>ontractors shall effect and maintain insurances in relation to the performance of their obligations under any Sub-Contract, in accordance with Schedule 14 (Insurance Requirements).</w:t>
      </w:r>
      <w:r w:rsidRPr="007C5849">
        <w:rPr>
          <w:b/>
          <w:i/>
        </w:rPr>
        <w:t xml:space="preserve"> </w:t>
      </w:r>
    </w:p>
    <w:p w:rsidR="00D81DAD" w:rsidRDefault="005D3601" w:rsidP="002E61F2">
      <w:pPr>
        <w:pStyle w:val="GPSL2Numbered"/>
      </w:pPr>
      <w:r w:rsidRPr="006875AD">
        <w:t>The terms of any insurance or the amount of cover shall not relieve the Contractor of any liabilities arising under this Framework Agreement or any Call Off Agreements.</w:t>
      </w:r>
    </w:p>
    <w:p w:rsidR="00D81DAD" w:rsidRDefault="00C84CE2" w:rsidP="002E61F2">
      <w:pPr>
        <w:pStyle w:val="GPSSectionHeading"/>
      </w:pPr>
      <w:bookmarkStart w:id="411" w:name="_Toc366085159"/>
      <w:bookmarkStart w:id="412" w:name="_Toc379488052"/>
      <w:bookmarkStart w:id="413" w:name="_Toc380052156"/>
      <w:bookmarkStart w:id="414" w:name="_Toc380052666"/>
      <w:bookmarkStart w:id="415" w:name="_Toc391545351"/>
      <w:r>
        <w:t>REMEDIES</w:t>
      </w:r>
      <w:bookmarkEnd w:id="411"/>
      <w:bookmarkEnd w:id="412"/>
      <w:bookmarkEnd w:id="413"/>
      <w:bookmarkEnd w:id="414"/>
      <w:bookmarkEnd w:id="415"/>
    </w:p>
    <w:p w:rsidR="00D81DAD" w:rsidRDefault="001827DA" w:rsidP="002E61F2">
      <w:pPr>
        <w:pStyle w:val="GPSL1CLAUSEHEADING"/>
      </w:pPr>
      <w:bookmarkStart w:id="416" w:name="_Toc366085160"/>
      <w:bookmarkStart w:id="417" w:name="_Toc379488053"/>
      <w:bookmarkStart w:id="418" w:name="_Toc380052157"/>
      <w:bookmarkStart w:id="419" w:name="_Toc380052667"/>
      <w:bookmarkStart w:id="420" w:name="_Toc391545352"/>
      <w:r w:rsidRPr="001827DA">
        <w:lastRenderedPageBreak/>
        <w:t>AUTHORITY REMEDIES</w:t>
      </w:r>
      <w:bookmarkEnd w:id="416"/>
      <w:bookmarkEnd w:id="417"/>
      <w:bookmarkEnd w:id="418"/>
      <w:bookmarkEnd w:id="419"/>
      <w:bookmarkEnd w:id="420"/>
      <w:r w:rsidRPr="001827DA">
        <w:t xml:space="preserve"> </w:t>
      </w:r>
    </w:p>
    <w:p w:rsidR="00D81DAD" w:rsidRDefault="005D3601" w:rsidP="002E61F2">
      <w:pPr>
        <w:pStyle w:val="GPSL2Numbered"/>
      </w:pPr>
      <w:r w:rsidRPr="00FD21E1">
        <w:t>Without prejudice to any other rights or remedies arising under this Framework Agreement</w:t>
      </w:r>
      <w:r w:rsidR="00C84CE2">
        <w:t xml:space="preserve">, including under Clause </w:t>
      </w:r>
      <w:r w:rsidR="00F71B15">
        <w:fldChar w:fldCharType="begin"/>
      </w:r>
      <w:r w:rsidR="001827DA">
        <w:instrText xml:space="preserve"> REF _Ref364947830 \r \h </w:instrText>
      </w:r>
      <w:r w:rsidR="00F71B15">
        <w:fldChar w:fldCharType="separate"/>
      </w:r>
      <w:r w:rsidR="00B3040B">
        <w:t>30.2</w:t>
      </w:r>
      <w:r w:rsidR="00F71B15">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rsidR="00D81DAD" w:rsidRDefault="005D3601" w:rsidP="002E61F2">
      <w:pPr>
        <w:pStyle w:val="GPSL3numberedclause"/>
      </w:pPr>
      <w:bookmarkStart w:id="421"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421"/>
    </w:p>
    <w:p w:rsidR="00D81DAD" w:rsidRDefault="005D3601" w:rsidP="002E61F2">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rsidR="00D81DAD" w:rsidRDefault="005D3601" w:rsidP="002E61F2">
      <w:pPr>
        <w:pStyle w:val="GPSL3numberedclause"/>
      </w:pPr>
      <w:bookmarkStart w:id="422"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422"/>
    </w:p>
    <w:p w:rsidR="00D81DAD" w:rsidRDefault="005D3601" w:rsidP="002E61F2">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rsidR="00D81DAD" w:rsidRDefault="005D3601" w:rsidP="007E26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D81DAD" w:rsidRDefault="005D3601" w:rsidP="007E26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rsidR="00F20C99" w:rsidRDefault="005D3601" w:rsidP="007E2634">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rsidR="00D81DAD" w:rsidRDefault="00C84CE2" w:rsidP="002E61F2">
      <w:pPr>
        <w:pStyle w:val="GPSSectionHeading"/>
      </w:pPr>
      <w:bookmarkStart w:id="423" w:name="_Toc365027208"/>
      <w:bookmarkStart w:id="424" w:name="_Toc365027297"/>
      <w:bookmarkStart w:id="425" w:name="_Toc365027505"/>
      <w:bookmarkStart w:id="426" w:name="_Toc365027589"/>
      <w:bookmarkStart w:id="427" w:name="_Toc365359218"/>
      <w:bookmarkStart w:id="428" w:name="_Toc365370790"/>
      <w:bookmarkStart w:id="429" w:name="_Toc365371015"/>
      <w:bookmarkStart w:id="430" w:name="_Toc365371115"/>
      <w:bookmarkStart w:id="431" w:name="_Toc365371214"/>
      <w:bookmarkStart w:id="432" w:name="_Toc365373744"/>
      <w:bookmarkStart w:id="433" w:name="_Toc365373839"/>
      <w:bookmarkStart w:id="434" w:name="_Toc365373936"/>
      <w:bookmarkStart w:id="435" w:name="_Toc366085161"/>
      <w:bookmarkStart w:id="436" w:name="_Toc379488054"/>
      <w:bookmarkStart w:id="437" w:name="_Toc380052158"/>
      <w:bookmarkStart w:id="438" w:name="_Toc380052668"/>
      <w:bookmarkStart w:id="439" w:name="_Toc391545353"/>
      <w:bookmarkEnd w:id="423"/>
      <w:bookmarkEnd w:id="424"/>
      <w:bookmarkEnd w:id="425"/>
      <w:bookmarkEnd w:id="426"/>
      <w:bookmarkEnd w:id="427"/>
      <w:bookmarkEnd w:id="428"/>
      <w:bookmarkEnd w:id="429"/>
      <w:bookmarkEnd w:id="430"/>
      <w:bookmarkEnd w:id="431"/>
      <w:bookmarkEnd w:id="432"/>
      <w:bookmarkEnd w:id="433"/>
      <w:bookmarkEnd w:id="434"/>
      <w:r>
        <w:t xml:space="preserve">TERMINATION AND </w:t>
      </w:r>
      <w:r w:rsidR="000C38A3">
        <w:t>SUSPENSION</w:t>
      </w:r>
      <w:bookmarkEnd w:id="435"/>
      <w:bookmarkEnd w:id="436"/>
      <w:bookmarkEnd w:id="437"/>
      <w:bookmarkEnd w:id="438"/>
      <w:bookmarkEnd w:id="439"/>
    </w:p>
    <w:p w:rsidR="00D81DAD" w:rsidRDefault="001827DA" w:rsidP="002E61F2">
      <w:pPr>
        <w:pStyle w:val="GPSL1CLAUSEHEADING"/>
      </w:pPr>
      <w:bookmarkStart w:id="440" w:name="_Ref365018401"/>
      <w:bookmarkStart w:id="441" w:name="_Toc366085162"/>
      <w:bookmarkStart w:id="442" w:name="_Toc379488055"/>
      <w:bookmarkStart w:id="443" w:name="_Toc380052159"/>
      <w:bookmarkStart w:id="444" w:name="_Toc380052669"/>
      <w:bookmarkStart w:id="445" w:name="_Toc391545354"/>
      <w:r w:rsidRPr="001827DA">
        <w:t>AUTHORITY TERMINATION RIGHTS</w:t>
      </w:r>
      <w:bookmarkEnd w:id="440"/>
      <w:bookmarkEnd w:id="441"/>
      <w:bookmarkEnd w:id="442"/>
      <w:bookmarkEnd w:id="443"/>
      <w:bookmarkEnd w:id="444"/>
      <w:bookmarkEnd w:id="445"/>
    </w:p>
    <w:p w:rsidR="00D81DAD" w:rsidRPr="00B6625F" w:rsidRDefault="00225C7E" w:rsidP="002E61F2">
      <w:pPr>
        <w:pStyle w:val="GPSL2NumberedBoldHeading"/>
      </w:pPr>
      <w:bookmarkStart w:id="446" w:name="_Ref364939824"/>
      <w:r w:rsidRPr="00225C7E">
        <w:t>Termination in Relation To Guarantee</w:t>
      </w:r>
      <w:bookmarkEnd w:id="446"/>
    </w:p>
    <w:p w:rsidR="00D81DAD" w:rsidRPr="00B6625F" w:rsidRDefault="00225C7E" w:rsidP="002E61F2">
      <w:pPr>
        <w:pStyle w:val="GPSL3numberedclause"/>
      </w:pPr>
      <w:r w:rsidRPr="00225C7E">
        <w:t xml:space="preserve">Where the Supplier has procured a Framework Guarantee pursuant to Clause </w:t>
      </w:r>
      <w:r w:rsidR="000822F5">
        <w:fldChar w:fldCharType="begin"/>
      </w:r>
      <w:r w:rsidR="000822F5">
        <w:instrText xml:space="preserve"> REF _Ref365037968 \w \h  \* MERGEFORMAT </w:instrText>
      </w:r>
      <w:r w:rsidR="000822F5">
        <w:fldChar w:fldCharType="separate"/>
      </w:r>
      <w:r w:rsidRPr="00225C7E">
        <w:t>7.1</w:t>
      </w:r>
      <w:r w:rsidR="000822F5">
        <w:fldChar w:fldCharType="end"/>
      </w:r>
      <w:r w:rsidRPr="00225C7E">
        <w:t xml:space="preserve"> (Guarantee), the Authority may terminate this Framework Agreement by issuing a Termination Notice to the Supplier where:</w:t>
      </w:r>
    </w:p>
    <w:p w:rsidR="00D81DAD" w:rsidRPr="00B6625F" w:rsidRDefault="00225C7E" w:rsidP="007E2634">
      <w:pPr>
        <w:pStyle w:val="GPSL4numberedclause"/>
      </w:pPr>
      <w:r w:rsidRPr="00225C7E">
        <w:t xml:space="preserve">the Framework Guarantor withdraws the Framework Guarantee for any reason whatsoever; </w:t>
      </w:r>
    </w:p>
    <w:p w:rsidR="00D81DAD" w:rsidRPr="00B6625F" w:rsidRDefault="00225C7E" w:rsidP="007E2634">
      <w:pPr>
        <w:pStyle w:val="GPSL4numberedclause"/>
      </w:pPr>
      <w:r w:rsidRPr="00225C7E">
        <w:t xml:space="preserve">the Framework Guarantor is in breach or anticipatory breach of the Framework Guarantee; </w:t>
      </w:r>
    </w:p>
    <w:p w:rsidR="00D81DAD" w:rsidRPr="00B6625F" w:rsidRDefault="00225C7E" w:rsidP="007E2634">
      <w:pPr>
        <w:pStyle w:val="GPSL4numberedclause"/>
      </w:pPr>
      <w:r w:rsidRPr="00225C7E">
        <w:lastRenderedPageBreak/>
        <w:t xml:space="preserve">an Insolvency Event occurs in respect of the Framework Guarantor; </w:t>
      </w:r>
    </w:p>
    <w:p w:rsidR="00D81DAD" w:rsidRPr="00B6625F" w:rsidRDefault="00225C7E" w:rsidP="007E2634">
      <w:pPr>
        <w:pStyle w:val="GPSL4numberedclause"/>
      </w:pPr>
      <w:r w:rsidRPr="00225C7E">
        <w:t>the Framework Guarantee becomes invalid or unenforceable for any reason whatsoever</w:t>
      </w:r>
    </w:p>
    <w:p w:rsidR="00D81DAD" w:rsidRPr="00B6625F" w:rsidRDefault="00225C7E" w:rsidP="007E2634">
      <w:pPr>
        <w:pStyle w:val="GPSL3Indent"/>
      </w:pPr>
      <w:r w:rsidRPr="00225C7E">
        <w:t>and in each case the Framework Guarantee (as applicable) is not replaced by an alternative guarantee agreement acceptable to the Authority.</w:t>
      </w:r>
    </w:p>
    <w:p w:rsidR="00D81DAD" w:rsidRPr="00B6625F" w:rsidRDefault="00225C7E" w:rsidP="002E61F2">
      <w:pPr>
        <w:pStyle w:val="GPSL3numberedclause"/>
      </w:pPr>
      <w:r w:rsidRPr="00225C7E">
        <w:t xml:space="preserve">Where the Supplier is required to procure a Call Off Guarantee pursuant to Clause </w:t>
      </w:r>
      <w:r w:rsidR="000822F5">
        <w:fldChar w:fldCharType="begin"/>
      </w:r>
      <w:r w:rsidR="000822F5">
        <w:instrText xml:space="preserve"> REF _Ref364954774 \w \h  \* MERGEFORMAT </w:instrText>
      </w:r>
      <w:r w:rsidR="000822F5">
        <w:fldChar w:fldCharType="separate"/>
      </w:r>
      <w:r w:rsidRPr="00225C7E">
        <w:t>7.2</w:t>
      </w:r>
      <w:r w:rsidR="000822F5">
        <w:fldChar w:fldCharType="end"/>
      </w:r>
      <w:r w:rsidRPr="00225C7E">
        <w:t xml:space="preserve"> (Guarantee), the Authority may terminate this Framework Agreement by issuing a Termination Notice to the Supplier where:</w:t>
      </w:r>
    </w:p>
    <w:p w:rsidR="00D81DAD" w:rsidRPr="00B6625F" w:rsidRDefault="00225C7E" w:rsidP="007E2634">
      <w:pPr>
        <w:pStyle w:val="GPSL4numberedclause"/>
      </w:pPr>
      <w:r w:rsidRPr="00225C7E">
        <w:t xml:space="preserve">the Call Off Guarantor withdraws the Call Off Guarantee for any reason whatsoever; </w:t>
      </w:r>
    </w:p>
    <w:p w:rsidR="00D81DAD" w:rsidRPr="00B6625F" w:rsidRDefault="00225C7E" w:rsidP="007E2634">
      <w:pPr>
        <w:pStyle w:val="GPSL4numberedclause"/>
      </w:pPr>
      <w:r w:rsidRPr="00225C7E">
        <w:t xml:space="preserve">the Call Off Guarantor is in breach or anticipatory breach of the Call Off Guarantee; </w:t>
      </w:r>
    </w:p>
    <w:p w:rsidR="00D81DAD" w:rsidRPr="00B6625F" w:rsidRDefault="00225C7E" w:rsidP="007E2634">
      <w:pPr>
        <w:pStyle w:val="GPSL4numberedclause"/>
      </w:pPr>
      <w:r w:rsidRPr="00225C7E">
        <w:t xml:space="preserve">an Insolvency Event occurs in respect of the Call Off Guarantor; </w:t>
      </w:r>
    </w:p>
    <w:p w:rsidR="00D81DAD" w:rsidRPr="00B6625F" w:rsidRDefault="00225C7E" w:rsidP="007E2634">
      <w:pPr>
        <w:pStyle w:val="GPSL4numberedclause"/>
      </w:pPr>
      <w:r w:rsidRPr="00225C7E">
        <w:t>the Call Off Guarantee becomes invalid or unenforceable for any reason whatsoever</w:t>
      </w:r>
    </w:p>
    <w:p w:rsidR="00D81DAD" w:rsidRDefault="00225C7E" w:rsidP="007E2634">
      <w:pPr>
        <w:pStyle w:val="GPSL3Indent"/>
      </w:pPr>
      <w:r w:rsidRPr="00225C7E">
        <w:t>and in each case the Call Off Guarantee (as applicable) is not replaced by an alternative guarantee agreement acceptable to the Authority.</w:t>
      </w:r>
    </w:p>
    <w:p w:rsidR="00D81DAD" w:rsidRDefault="00D81DAD" w:rsidP="007E2634">
      <w:pPr>
        <w:pStyle w:val="GPSL3Guidance"/>
      </w:pPr>
    </w:p>
    <w:p w:rsidR="00D81DAD" w:rsidRDefault="00C84CE2" w:rsidP="002E61F2">
      <w:pPr>
        <w:pStyle w:val="GPSL2NumberedBoldHeading"/>
      </w:pPr>
      <w:bookmarkStart w:id="447" w:name="_Ref364947830"/>
      <w:r w:rsidRPr="001D0350">
        <w:t xml:space="preserve">Termination </w:t>
      </w:r>
      <w:r>
        <w:t>on Material Default</w:t>
      </w:r>
      <w:bookmarkEnd w:id="447"/>
    </w:p>
    <w:p w:rsidR="00D81DAD" w:rsidRDefault="00C84CE2" w:rsidP="002E61F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rsidR="00D81DAD" w:rsidRDefault="00C84CE2" w:rsidP="007E2634">
      <w:pPr>
        <w:pStyle w:val="GPSL4numberedclause"/>
      </w:pPr>
      <w:r w:rsidRPr="006875AD">
        <w:t>the Supplier fails to accept a</w:t>
      </w:r>
      <w:r>
        <w:t xml:space="preserve"> Call Off Agreement</w:t>
      </w:r>
      <w:r w:rsidRPr="006875AD">
        <w:t xml:space="preserve"> pursuant to paragraph</w:t>
      </w:r>
      <w:r w:rsidR="007E48FD">
        <w:t xml:space="preserve"> </w:t>
      </w:r>
      <w:r w:rsidR="00F71B15">
        <w:fldChar w:fldCharType="begin"/>
      </w:r>
      <w:r w:rsidR="00706C7C">
        <w:instrText xml:space="preserve"> REF _Ref366090373 \r \h </w:instrText>
      </w:r>
      <w:r w:rsidR="00F71B15">
        <w:fldChar w:fldCharType="separate"/>
      </w:r>
      <w:r w:rsidR="00B3040B">
        <w:t>7.2</w:t>
      </w:r>
      <w:r w:rsidR="00F71B15">
        <w:fldChar w:fldCharType="end"/>
      </w:r>
      <w:r w:rsidR="00706C7C">
        <w:t xml:space="preserve"> </w:t>
      </w:r>
      <w:r w:rsidRPr="006875AD">
        <w:t>of Framework Schedule 5 (</w:t>
      </w:r>
      <w:r>
        <w:t>Call Off</w:t>
      </w:r>
      <w:r w:rsidRPr="006875AD">
        <w:t xml:space="preserve"> Procedure);</w:t>
      </w:r>
    </w:p>
    <w:p w:rsidR="00D81DAD" w:rsidRDefault="00C84CE2" w:rsidP="007E2634">
      <w:pPr>
        <w:pStyle w:val="GPSL4numberedclause"/>
      </w:pPr>
      <w:r w:rsidRPr="006875AD">
        <w:t xml:space="preserve">a Contracting Body terminates a </w:t>
      </w:r>
      <w:r>
        <w:t>Call Off</w:t>
      </w:r>
      <w:r w:rsidRPr="006875AD">
        <w:t xml:space="preserve"> Agreement for the Supplier’s breach of that </w:t>
      </w:r>
      <w:r>
        <w:t>Call Off</w:t>
      </w:r>
      <w:r w:rsidRPr="006875AD">
        <w:t xml:space="preserve"> Agreement;</w:t>
      </w:r>
    </w:p>
    <w:p w:rsidR="00D81DAD" w:rsidRDefault="00C84CE2" w:rsidP="007E2634">
      <w:pPr>
        <w:pStyle w:val="GPSL4numberedclause"/>
      </w:pPr>
      <w:r w:rsidRPr="006875AD">
        <w:t xml:space="preserve">an Audit reveals that the Supplier has underpaid an amount equal to or greater than five per cent (5%) of the Management Charge due; </w:t>
      </w:r>
    </w:p>
    <w:p w:rsidR="00D81DAD" w:rsidRDefault="00C84CE2" w:rsidP="007E2634">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rsidR="00D81DAD" w:rsidRDefault="00C84CE2" w:rsidP="007E2634">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825AE9">
        <w:t>E</w:t>
      </w:r>
      <w:r w:rsidR="001D02F4">
        <w:t xml:space="preserve"> </w:t>
      </w:r>
      <w:r>
        <w:t xml:space="preserve">of Framework Schedule </w:t>
      </w:r>
      <w:r w:rsidR="001D02F4">
        <w:t xml:space="preserve">2 </w:t>
      </w:r>
      <w:r>
        <w:t xml:space="preserve">(Services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rsidR="00D81DAD" w:rsidRDefault="00BE242E" w:rsidP="007E2634">
      <w:pPr>
        <w:pStyle w:val="GPSL4numberedclause"/>
      </w:pPr>
      <w:r>
        <w:lastRenderedPageBreak/>
        <w:tab/>
      </w:r>
      <w:r w:rsidR="00C84CE2" w:rsidRPr="006875AD">
        <w:t xml:space="preserve">the Authority </w:t>
      </w:r>
      <w:r w:rsidR="00C84CE2">
        <w:t xml:space="preserve">expressly reserves the right </w:t>
      </w:r>
      <w:r w:rsidR="00C84CE2" w:rsidRPr="006875AD">
        <w:t xml:space="preserve">to terminate this Framework Agreement </w:t>
      </w:r>
      <w:r w:rsidR="007E48FD">
        <w:t xml:space="preserve">for material Default including </w:t>
      </w:r>
      <w:r w:rsidR="00C84CE2" w:rsidRPr="006875AD">
        <w:t>pursuant to:</w:t>
      </w:r>
    </w:p>
    <w:p w:rsidR="005A0B1B" w:rsidRDefault="00D92C3A" w:rsidP="00BE242E">
      <w:pPr>
        <w:pStyle w:val="GPSL5numberedclause"/>
        <w:tabs>
          <w:tab w:val="clear" w:pos="3119"/>
          <w:tab w:val="left" w:pos="3828"/>
        </w:tabs>
        <w:ind w:left="3828" w:hanging="426"/>
      </w:pPr>
      <w:r w:rsidRPr="006875AD">
        <w:t>Claus</w:t>
      </w:r>
      <w:r>
        <w:t xml:space="preserve">e </w:t>
      </w:r>
      <w:r w:rsidR="000822F5">
        <w:fldChar w:fldCharType="begin"/>
      </w:r>
      <w:r w:rsidR="000822F5">
        <w:instrText xml:space="preserve"> REF _Ref365018045 \r \h  \* MERGEFORMAT </w:instrText>
      </w:r>
      <w:r w:rsidR="000822F5">
        <w:fldChar w:fldCharType="separate"/>
      </w:r>
      <w:r w:rsidR="00B3040B">
        <w:t>24.2</w:t>
      </w:r>
      <w:r w:rsidR="000822F5">
        <w:fldChar w:fldCharType="end"/>
      </w:r>
      <w:r w:rsidR="00935C15">
        <w:t>.10</w:t>
      </w:r>
      <w:r w:rsidRPr="006875AD">
        <w:t xml:space="preserve"> (Confidentiality);</w:t>
      </w:r>
    </w:p>
    <w:p w:rsidR="005A0B1B" w:rsidRDefault="00C84CE2" w:rsidP="00BE242E">
      <w:pPr>
        <w:pStyle w:val="GPSL5numberedclause"/>
        <w:tabs>
          <w:tab w:val="clear" w:pos="3119"/>
          <w:tab w:val="left" w:pos="2977"/>
          <w:tab w:val="left" w:pos="3828"/>
        </w:tabs>
        <w:ind w:left="3828" w:hanging="426"/>
      </w:pPr>
      <w:r w:rsidRPr="006875AD">
        <w:t xml:space="preserve">Clause </w:t>
      </w:r>
      <w:r w:rsidR="000822F5">
        <w:fldChar w:fldCharType="begin"/>
      </w:r>
      <w:r w:rsidR="000822F5">
        <w:instrText xml:space="preserve"> REF _Ref358669629 \r \h  \* MERGEFORMAT </w:instrText>
      </w:r>
      <w:r w:rsidR="000822F5">
        <w:fldChar w:fldCharType="separate"/>
      </w:r>
      <w:r w:rsidR="00B3040B">
        <w:t>37</w:t>
      </w:r>
      <w:r w:rsidR="000822F5">
        <w:fldChar w:fldCharType="end"/>
      </w:r>
      <w:r w:rsidR="00AA22FC">
        <w:t>.6.2</w:t>
      </w:r>
      <w:r w:rsidRPr="006875AD">
        <w:t xml:space="preserve"> (</w:t>
      </w:r>
      <w:r>
        <w:t>Prevention of Fraud and Bribery</w:t>
      </w:r>
      <w:r w:rsidRPr="006875AD">
        <w:t>);</w:t>
      </w:r>
    </w:p>
    <w:p w:rsidR="005A0B1B" w:rsidRDefault="00D92C3A" w:rsidP="00BE242E">
      <w:pPr>
        <w:pStyle w:val="GPSL5numberedclause"/>
        <w:tabs>
          <w:tab w:val="clear" w:pos="3119"/>
          <w:tab w:val="left" w:pos="2977"/>
          <w:tab w:val="left" w:pos="3828"/>
        </w:tabs>
        <w:ind w:left="3828" w:hanging="426"/>
      </w:pPr>
      <w:r w:rsidRPr="006875AD">
        <w:t>Clause</w:t>
      </w:r>
      <w:r>
        <w:t xml:space="preserve"> </w:t>
      </w:r>
      <w:r w:rsidR="000822F5">
        <w:fldChar w:fldCharType="begin"/>
      </w:r>
      <w:r w:rsidR="000822F5">
        <w:instrText xml:space="preserve"> REF _Ref365038569 \w \h  \* MERGEFORMAT </w:instrText>
      </w:r>
      <w:r w:rsidR="000822F5">
        <w:fldChar w:fldCharType="separate"/>
      </w:r>
      <w:r w:rsidR="00B3040B">
        <w:t>33</w:t>
      </w:r>
      <w:r w:rsidR="000822F5">
        <w:fldChar w:fldCharType="end"/>
      </w:r>
      <w:r w:rsidR="00AA22FC">
        <w:t>.1.2</w:t>
      </w:r>
      <w:r w:rsidRPr="006875AD">
        <w:t> (Compliance)</w:t>
      </w:r>
    </w:p>
    <w:p w:rsidR="005A0B1B" w:rsidRDefault="00C84CE2" w:rsidP="00BE242E">
      <w:pPr>
        <w:pStyle w:val="GPSL5numberedclause"/>
        <w:tabs>
          <w:tab w:val="clear" w:pos="3119"/>
          <w:tab w:val="left" w:pos="2977"/>
          <w:tab w:val="left" w:pos="3828"/>
        </w:tabs>
        <w:ind w:left="3828" w:hanging="426"/>
      </w:pPr>
      <w:r w:rsidRPr="006875AD">
        <w:t xml:space="preserve">Clause  </w:t>
      </w:r>
      <w:r w:rsidR="000822F5">
        <w:fldChar w:fldCharType="begin"/>
      </w:r>
      <w:r w:rsidR="000822F5">
        <w:instrText xml:space="preserve"> REF _Ref365038221 \w \h  \* MERGEFORMAT </w:instrText>
      </w:r>
      <w:r w:rsidR="000822F5">
        <w:fldChar w:fldCharType="separate"/>
      </w:r>
      <w:r w:rsidR="00B3040B">
        <w:t>38</w:t>
      </w:r>
      <w:r w:rsidR="000822F5">
        <w:fldChar w:fldCharType="end"/>
      </w:r>
      <w:r w:rsidR="00AA22FC">
        <w:t>.3</w:t>
      </w:r>
      <w:r w:rsidR="00512989">
        <w:t xml:space="preserve"> (</w:t>
      </w:r>
      <w:r w:rsidRPr="006875AD">
        <w:t>Conflict</w:t>
      </w:r>
      <w:r w:rsidR="00AA22FC">
        <w:t>s</w:t>
      </w:r>
      <w:r w:rsidRPr="006875AD">
        <w:t xml:space="preserve"> of Interest); </w:t>
      </w:r>
    </w:p>
    <w:p w:rsidR="005A0B1B" w:rsidRDefault="00C84CE2" w:rsidP="00BE242E">
      <w:pPr>
        <w:pStyle w:val="GPSL5numberedclause"/>
        <w:tabs>
          <w:tab w:val="clear" w:pos="3119"/>
          <w:tab w:val="left" w:pos="2977"/>
          <w:tab w:val="left" w:pos="3828"/>
        </w:tabs>
        <w:ind w:left="3828" w:hanging="426"/>
      </w:pPr>
      <w:r>
        <w:t>p</w:t>
      </w:r>
      <w:r w:rsidRPr="006875AD">
        <w:t xml:space="preserve">aragraph </w:t>
      </w:r>
      <w:r w:rsidR="000822F5">
        <w:fldChar w:fldCharType="begin"/>
      </w:r>
      <w:r w:rsidR="000822F5">
        <w:instrText xml:space="preserve"> REF _Ref366090436 \r \h  \* MERGEFORMAT </w:instrText>
      </w:r>
      <w:r w:rsidR="000822F5">
        <w:fldChar w:fldCharType="separate"/>
      </w:r>
      <w:r w:rsidR="00B3040B">
        <w:t>6.2</w:t>
      </w:r>
      <w:r w:rsidR="000822F5">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p>
    <w:p w:rsidR="005A0B1B" w:rsidRDefault="00AA22FC" w:rsidP="00BE242E">
      <w:pPr>
        <w:pStyle w:val="GPSL5numberedclause"/>
        <w:tabs>
          <w:tab w:val="clear" w:pos="3119"/>
          <w:tab w:val="left" w:pos="2977"/>
          <w:tab w:val="left" w:pos="3828"/>
        </w:tabs>
        <w:ind w:left="3828" w:hanging="426"/>
      </w:pPr>
      <w:r>
        <w:t>anywhere that is stated in this Framework Agreement that the Supplier by its act or omission will have committed a material Default;</w:t>
      </w:r>
    </w:p>
    <w:p w:rsidR="00D81DAD" w:rsidRDefault="00C84CE2" w:rsidP="007E2634">
      <w:pPr>
        <w:pStyle w:val="GPSL4numberedclause"/>
      </w:pPr>
      <w:bookmarkStart w:id="448" w:name="_Ref365040948"/>
      <w:r>
        <w:t>the Supplier commits a material Default of any of the following Clauses or Framework Schedules:</w:t>
      </w:r>
      <w:bookmarkEnd w:id="448"/>
      <w:r>
        <w:t xml:space="preserve"> </w:t>
      </w:r>
    </w:p>
    <w:p w:rsidR="005A0B1B" w:rsidRDefault="00C84CE2" w:rsidP="00BE242E">
      <w:pPr>
        <w:pStyle w:val="GPSL5numberedclause"/>
        <w:tabs>
          <w:tab w:val="clear" w:pos="3119"/>
          <w:tab w:val="left" w:pos="3828"/>
        </w:tabs>
        <w:ind w:left="3828" w:hanging="425"/>
      </w:pPr>
      <w:r w:rsidRPr="00C339A0">
        <w:t>Clause </w:t>
      </w:r>
      <w:r w:rsidR="000822F5">
        <w:fldChar w:fldCharType="begin"/>
      </w:r>
      <w:r w:rsidR="000822F5">
        <w:instrText xml:space="preserve"> REF _Ref349138490 \r \h  \* MERGEFORMAT </w:instrText>
      </w:r>
      <w:r w:rsidR="000822F5">
        <w:fldChar w:fldCharType="separate"/>
      </w:r>
      <w:r w:rsidR="00B3040B">
        <w:t>6</w:t>
      </w:r>
      <w:r w:rsidR="000822F5">
        <w:fldChar w:fldCharType="end"/>
      </w:r>
      <w:r w:rsidRPr="00C339A0">
        <w:t xml:space="preserve"> (Representations</w:t>
      </w:r>
      <w:r w:rsidR="002B4448">
        <w:t xml:space="preserve"> and Warranties</w:t>
      </w:r>
      <w:r w:rsidRPr="00C339A0">
        <w:t>);</w:t>
      </w:r>
    </w:p>
    <w:p w:rsidR="005A0B1B" w:rsidRDefault="00D92C3A" w:rsidP="00BE242E">
      <w:pPr>
        <w:pStyle w:val="GPSL5numberedclause"/>
        <w:tabs>
          <w:tab w:val="clear" w:pos="3119"/>
          <w:tab w:val="left" w:pos="3828"/>
        </w:tabs>
        <w:ind w:left="3828" w:hanging="425"/>
      </w:pPr>
      <w:r w:rsidRPr="00C339A0">
        <w:t xml:space="preserve">Clause </w:t>
      </w:r>
      <w:r w:rsidR="000822F5">
        <w:fldChar w:fldCharType="begin"/>
      </w:r>
      <w:r w:rsidR="000822F5">
        <w:instrText xml:space="preserve"> REF _Ref365039009 \w \h  \* MERGEFORMAT </w:instrText>
      </w:r>
      <w:r w:rsidR="000822F5">
        <w:fldChar w:fldCharType="separate"/>
      </w:r>
      <w:r w:rsidR="00B3040B">
        <w:t>9</w:t>
      </w:r>
      <w:r w:rsidR="000822F5">
        <w:fldChar w:fldCharType="end"/>
      </w:r>
      <w:r>
        <w:t xml:space="preserve"> </w:t>
      </w:r>
      <w:r w:rsidRPr="00C339A0">
        <w:t>(Framework Agreement Performance);</w:t>
      </w:r>
    </w:p>
    <w:p w:rsidR="005A0B1B" w:rsidRDefault="00D92C3A" w:rsidP="00BE242E">
      <w:pPr>
        <w:pStyle w:val="GPSL5numberedclause"/>
        <w:tabs>
          <w:tab w:val="clear" w:pos="3119"/>
          <w:tab w:val="left" w:pos="3828"/>
        </w:tabs>
        <w:ind w:left="3828" w:hanging="425"/>
      </w:pPr>
      <w:r w:rsidRPr="00C339A0">
        <w:t>Clause </w:t>
      </w:r>
      <w:r w:rsidR="000822F5">
        <w:fldChar w:fldCharType="begin"/>
      </w:r>
      <w:r w:rsidR="000822F5">
        <w:instrText xml:space="preserve"> REF _Ref365017299 \r \h  \* MERGEFORMAT </w:instrText>
      </w:r>
      <w:r w:rsidR="000822F5">
        <w:fldChar w:fldCharType="separate"/>
      </w:r>
      <w:r w:rsidR="00B3040B">
        <w:t>15</w:t>
      </w:r>
      <w:r w:rsidR="000822F5">
        <w:fldChar w:fldCharType="end"/>
      </w:r>
      <w:r w:rsidRPr="00C339A0">
        <w:t xml:space="preserve"> (</w:t>
      </w:r>
      <w:r>
        <w:t>Records, Audit Access and Open Book Data</w:t>
      </w:r>
      <w:r w:rsidRPr="00C339A0">
        <w:t xml:space="preserve">); </w:t>
      </w:r>
    </w:p>
    <w:p w:rsidR="005A0B1B" w:rsidRDefault="00D92C3A" w:rsidP="00BE242E">
      <w:pPr>
        <w:pStyle w:val="GPSL5numberedclause"/>
        <w:tabs>
          <w:tab w:val="clear" w:pos="3119"/>
          <w:tab w:val="left" w:pos="3828"/>
        </w:tabs>
        <w:ind w:left="3828" w:hanging="425"/>
      </w:pPr>
      <w:r w:rsidRPr="00C339A0">
        <w:t>Clause</w:t>
      </w:r>
      <w:r>
        <w:t xml:space="preserve"> </w:t>
      </w:r>
      <w:r w:rsidR="000822F5">
        <w:fldChar w:fldCharType="begin"/>
      </w:r>
      <w:r w:rsidR="000822F5">
        <w:instrText xml:space="preserve"> REF _Ref365013560 \w \h  \* MERGEFORMAT </w:instrText>
      </w:r>
      <w:r w:rsidR="000822F5">
        <w:fldChar w:fldCharType="separate"/>
      </w:r>
      <w:r w:rsidR="00B3040B">
        <w:t>17</w:t>
      </w:r>
      <w:r w:rsidR="000822F5">
        <w:fldChar w:fldCharType="end"/>
      </w:r>
      <w:r w:rsidRPr="00C339A0">
        <w:t xml:space="preserve"> (Management Charge);</w:t>
      </w:r>
    </w:p>
    <w:p w:rsidR="005A0B1B" w:rsidRDefault="00C84CE2" w:rsidP="00BE242E">
      <w:pPr>
        <w:pStyle w:val="GPSL5numberedclause"/>
        <w:tabs>
          <w:tab w:val="clear" w:pos="3119"/>
          <w:tab w:val="left" w:pos="3828"/>
        </w:tabs>
        <w:ind w:left="3828" w:hanging="425"/>
      </w:pPr>
      <w:r w:rsidRPr="00C339A0">
        <w:t xml:space="preserve">Clause </w:t>
      </w:r>
      <w:r w:rsidR="000822F5">
        <w:fldChar w:fldCharType="begin"/>
      </w:r>
      <w:r w:rsidR="000822F5">
        <w:instrText xml:space="preserve"> REF _Ref359935341 \r \h  \* MERGEFORMAT </w:instrText>
      </w:r>
      <w:r w:rsidR="000822F5">
        <w:fldChar w:fldCharType="separate"/>
      </w:r>
      <w:r w:rsidR="00B3040B">
        <w:t>18</w:t>
      </w:r>
      <w:r w:rsidR="000822F5">
        <w:fldChar w:fldCharType="end"/>
      </w:r>
      <w:r w:rsidRPr="00C339A0">
        <w:t xml:space="preserve"> (Promoting Tax Compliance);</w:t>
      </w:r>
    </w:p>
    <w:p w:rsidR="005A0B1B" w:rsidRDefault="00D92C3A" w:rsidP="00BE242E">
      <w:pPr>
        <w:pStyle w:val="GPSL5numberedclause"/>
        <w:tabs>
          <w:tab w:val="clear" w:pos="3119"/>
          <w:tab w:val="left" w:pos="3828"/>
        </w:tabs>
        <w:ind w:left="3828" w:hanging="425"/>
      </w:pPr>
      <w:r>
        <w:t xml:space="preserve">Clause </w:t>
      </w:r>
      <w:r w:rsidR="000822F5">
        <w:fldChar w:fldCharType="begin"/>
      </w:r>
      <w:r w:rsidR="000822F5">
        <w:instrText xml:space="preserve"> REF _Ref365039988 \w \h  \* MERGEFORMAT </w:instrText>
      </w:r>
      <w:r w:rsidR="000822F5">
        <w:fldChar w:fldCharType="separate"/>
      </w:r>
      <w:r w:rsidR="00B3040B">
        <w:t>22</w:t>
      </w:r>
      <w:r w:rsidR="000822F5">
        <w:fldChar w:fldCharType="end"/>
      </w:r>
      <w:r>
        <w:t xml:space="preserve"> (Supply Chain Rights and Protection);</w:t>
      </w:r>
    </w:p>
    <w:p w:rsidR="005A0B1B" w:rsidRDefault="00C84CE2" w:rsidP="00BE242E">
      <w:pPr>
        <w:pStyle w:val="GPSL5numberedclause"/>
        <w:tabs>
          <w:tab w:val="clear" w:pos="3119"/>
          <w:tab w:val="left" w:pos="3828"/>
        </w:tabs>
        <w:ind w:left="3828" w:hanging="425"/>
      </w:pPr>
      <w:r w:rsidRPr="00C339A0">
        <w:t>Clause </w:t>
      </w:r>
      <w:r w:rsidR="000822F5">
        <w:fldChar w:fldCharType="begin"/>
      </w:r>
      <w:r w:rsidR="000822F5">
        <w:instrText xml:space="preserve"> REF _Ref365039341 \w \h  \* MERGEFORMAT </w:instrText>
      </w:r>
      <w:r w:rsidR="000822F5">
        <w:fldChar w:fldCharType="separate"/>
      </w:r>
      <w:r w:rsidR="00B3040B">
        <w:t>24.1</w:t>
      </w:r>
      <w:r w:rsidR="000822F5">
        <w:fldChar w:fldCharType="end"/>
      </w:r>
      <w:r>
        <w:t xml:space="preserve"> </w:t>
      </w:r>
      <w:r w:rsidRPr="00C339A0">
        <w:t>(Provision of Management Information);</w:t>
      </w:r>
    </w:p>
    <w:p w:rsidR="005A0B1B" w:rsidRDefault="00D92C3A" w:rsidP="00BE242E">
      <w:pPr>
        <w:pStyle w:val="GPSL5numberedclause"/>
        <w:tabs>
          <w:tab w:val="clear" w:pos="3119"/>
          <w:tab w:val="left" w:pos="3828"/>
        </w:tabs>
        <w:ind w:left="3828" w:hanging="425"/>
      </w:pPr>
      <w:r w:rsidRPr="00C339A0">
        <w:t xml:space="preserve">Clause </w:t>
      </w:r>
      <w:r w:rsidR="000822F5">
        <w:fldChar w:fldCharType="begin"/>
      </w:r>
      <w:r w:rsidR="000822F5">
        <w:instrText xml:space="preserve"> REF _Ref365035521 \w \h  \* MERGEFORMAT </w:instrText>
      </w:r>
      <w:r w:rsidR="000822F5">
        <w:fldChar w:fldCharType="separate"/>
      </w:r>
      <w:r w:rsidR="00B3040B">
        <w:t>24.4</w:t>
      </w:r>
      <w:r w:rsidR="000822F5">
        <w:fldChar w:fldCharType="end"/>
      </w:r>
      <w:r>
        <w:t xml:space="preserve"> </w:t>
      </w:r>
      <w:r w:rsidRPr="00C339A0">
        <w:t xml:space="preserve"> (Freedom of Information);</w:t>
      </w:r>
    </w:p>
    <w:p w:rsidR="005A0B1B" w:rsidRDefault="00C84CE2" w:rsidP="00BE242E">
      <w:pPr>
        <w:pStyle w:val="GPSL5numberedclause"/>
        <w:tabs>
          <w:tab w:val="clear" w:pos="3119"/>
          <w:tab w:val="left" w:pos="3828"/>
        </w:tabs>
        <w:ind w:left="3828" w:hanging="425"/>
      </w:pPr>
      <w:r w:rsidRPr="00C339A0">
        <w:t>Clause </w:t>
      </w:r>
      <w:r w:rsidR="000822F5">
        <w:fldChar w:fldCharType="begin"/>
      </w:r>
      <w:r w:rsidR="000822F5">
        <w:instrText xml:space="preserve"> REF _Ref365017837 \r \h  \* MERGEFORMAT </w:instrText>
      </w:r>
      <w:r w:rsidR="000822F5">
        <w:fldChar w:fldCharType="separate"/>
      </w:r>
      <w:r w:rsidR="00B3040B">
        <w:t>24.5</w:t>
      </w:r>
      <w:r w:rsidR="000822F5">
        <w:fldChar w:fldCharType="end"/>
      </w:r>
      <w:r w:rsidRPr="00C339A0">
        <w:t xml:space="preserve"> (</w:t>
      </w:r>
      <w:r w:rsidR="00875BC1">
        <w:t>Protection of Personal Data</w:t>
      </w:r>
      <w:r w:rsidRPr="00C339A0">
        <w:t>);</w:t>
      </w:r>
      <w:r w:rsidR="002B4448">
        <w:t xml:space="preserve"> </w:t>
      </w:r>
      <w:r w:rsidR="00ED5703" w:rsidRPr="00ED5703">
        <w:t>[and/or]</w:t>
      </w:r>
    </w:p>
    <w:p w:rsidR="005A0B1B" w:rsidRDefault="00D92C3A" w:rsidP="00BE242E">
      <w:pPr>
        <w:pStyle w:val="GPSL5numberedclause"/>
        <w:tabs>
          <w:tab w:val="clear" w:pos="3119"/>
          <w:tab w:val="left" w:pos="3828"/>
        </w:tabs>
        <w:ind w:left="3828" w:hanging="425"/>
      </w:pPr>
      <w:r>
        <w:t xml:space="preserve">paragraph 1.2 of Part </w:t>
      </w:r>
      <w:r w:rsidR="00825AE9">
        <w:t>E</w:t>
      </w:r>
      <w:r>
        <w:t xml:space="preserve"> of </w:t>
      </w:r>
      <w:r w:rsidR="00C84CE2" w:rsidRPr="00C339A0">
        <w:t xml:space="preserve">Framework Schedule </w:t>
      </w:r>
      <w:r w:rsidR="00364D4F">
        <w:t>2</w:t>
      </w:r>
      <w:r w:rsidR="00364D4F" w:rsidRPr="00C339A0">
        <w:t xml:space="preserve"> </w:t>
      </w:r>
      <w:r w:rsidR="00C84CE2" w:rsidRPr="00C339A0">
        <w:t>(Services and Key Performance Indicators);</w:t>
      </w:r>
    </w:p>
    <w:p w:rsidR="005A0B1B" w:rsidRDefault="00422402" w:rsidP="00BE242E">
      <w:pPr>
        <w:pStyle w:val="GPSL5numberedclause"/>
        <w:tabs>
          <w:tab w:val="clear" w:pos="3119"/>
          <w:tab w:val="left" w:pos="3828"/>
        </w:tabs>
        <w:ind w:left="3828" w:hanging="425"/>
      </w:pPr>
      <w:r>
        <w:t xml:space="preserve">Framework Schedule </w:t>
      </w:r>
      <w:r w:rsidR="002B2EA4">
        <w:t>21</w:t>
      </w:r>
      <w:r>
        <w:t xml:space="preserve"> (PSN Compliance)</w:t>
      </w:r>
      <w:r w:rsidR="00C84CE2" w:rsidRPr="00C339A0">
        <w:t xml:space="preserve"> </w:t>
      </w:r>
      <w:r w:rsidR="00ED5703" w:rsidRPr="00ED5703">
        <w:t>[and/or]</w:t>
      </w:r>
    </w:p>
    <w:p w:rsidR="00D81DAD" w:rsidRDefault="00C84CE2" w:rsidP="007E2634">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rsidR="00D81DAD" w:rsidRDefault="00C84CE2" w:rsidP="00BE242E">
      <w:pPr>
        <w:pStyle w:val="GPSL4numberedclause"/>
        <w:tabs>
          <w:tab w:val="clear" w:pos="2694"/>
          <w:tab w:val="left" w:pos="3828"/>
        </w:tabs>
        <w:ind w:left="3828" w:hanging="426"/>
      </w:pPr>
      <w:r>
        <w:t xml:space="preserve">the Supplier commits a Default, including a material Default, which in the opinion of the Authority is remediable but has not remedied such </w:t>
      </w:r>
      <w:r w:rsidRPr="006875AD">
        <w:t xml:space="preserve">Default to the satisfaction of the Authority 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rsidR="00392BB3" w:rsidRDefault="00E17EE1" w:rsidP="002E61F2">
      <w:pPr>
        <w:pStyle w:val="GPSL2NumberedBoldHeading"/>
      </w:pPr>
      <w:bookmarkStart w:id="449" w:name="_Ref365040980"/>
      <w:r>
        <w:t xml:space="preserve">Termination on Failure to Agree </w:t>
      </w:r>
      <w:r w:rsidR="00F101CF">
        <w:t xml:space="preserve">a </w:t>
      </w:r>
      <w:r>
        <w:t>Variation</w:t>
      </w:r>
    </w:p>
    <w:p w:rsidR="00E17EE1" w:rsidRDefault="00E17EE1" w:rsidP="00E17EE1">
      <w:pPr>
        <w:pStyle w:val="GPSL3numberedclause"/>
      </w:pPr>
      <w:r w:rsidRPr="00580DCB">
        <w:lastRenderedPageBreak/>
        <w:t xml:space="preserve">In the event that the Supplier is unable to agree to </w:t>
      </w:r>
      <w:r w:rsidR="00F101CF">
        <w:t>a</w:t>
      </w:r>
      <w:r w:rsidRPr="00580DCB">
        <w:t xml:space="preserve"> Variation the Authority</w:t>
      </w:r>
      <w:r w:rsidRPr="00893741">
        <w:t xml:space="preserve"> may terminate this </w:t>
      </w:r>
      <w:r>
        <w:t>Framework Agreement b</w:t>
      </w:r>
      <w:r w:rsidRPr="00A50BD9">
        <w:t>y issuing a Termination Notice to the Supplier</w:t>
      </w:r>
      <w:r>
        <w:t>.</w:t>
      </w:r>
    </w:p>
    <w:p w:rsidR="00D81DAD" w:rsidRDefault="00E17EE1" w:rsidP="002E61F2">
      <w:pPr>
        <w:pStyle w:val="GPSL2NumberedBoldHeading"/>
      </w:pPr>
      <w:r w:rsidDel="00392BB3">
        <w:t xml:space="preserve"> </w:t>
      </w:r>
      <w:bookmarkStart w:id="450" w:name="_Ref365046076"/>
      <w:bookmarkEnd w:id="449"/>
      <w:r w:rsidR="00C84CE2" w:rsidRPr="009876AE">
        <w:t>Termination on Insolvency</w:t>
      </w:r>
      <w:bookmarkEnd w:id="450"/>
    </w:p>
    <w:p w:rsidR="00D81DAD" w:rsidRDefault="00C84CE2" w:rsidP="002E61F2">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rsidR="00D81DAD" w:rsidRDefault="00C84CE2" w:rsidP="002E61F2">
      <w:pPr>
        <w:pStyle w:val="GPSL2NumberedBoldHeading"/>
      </w:pPr>
      <w:r w:rsidRPr="006875AD">
        <w:t xml:space="preserve">Termination on Change of Control </w:t>
      </w:r>
    </w:p>
    <w:p w:rsidR="00D81DAD" w:rsidRDefault="00C84CE2" w:rsidP="002E61F2">
      <w:pPr>
        <w:pStyle w:val="GPSL3numberedclause"/>
      </w:pPr>
      <w:r w:rsidRPr="00893741">
        <w:t xml:space="preserve">The Supplier shall notify the </w:t>
      </w:r>
      <w:r>
        <w:t>Authority</w:t>
      </w:r>
      <w:r w:rsidRPr="00893741">
        <w:t xml:space="preserve"> immediately the Supplier undergoes 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any circumstances suggesting that a Change of Control is planned or in contemplation.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rsidR="00D81DAD" w:rsidRDefault="00C84CE2" w:rsidP="007E2634">
      <w:pPr>
        <w:pStyle w:val="GPSL4numberedclause"/>
      </w:pPr>
      <w:r w:rsidRPr="009876AE">
        <w:t>being notified in writing that a Change of Control has occurred or is planned or in contemplation; or</w:t>
      </w:r>
    </w:p>
    <w:p w:rsidR="00D81DAD" w:rsidRDefault="00C84CE2" w:rsidP="007E2634">
      <w:pPr>
        <w:pStyle w:val="GPSL4numberedclause"/>
      </w:pPr>
      <w:r w:rsidRPr="009876AE">
        <w:t xml:space="preserve">where no notification has been made, the date that the </w:t>
      </w:r>
      <w:r>
        <w:t xml:space="preserve">Authority </w:t>
      </w:r>
      <w:r w:rsidRPr="009876AE">
        <w:t>becomes aware of the Change of Control,</w:t>
      </w:r>
    </w:p>
    <w:p w:rsidR="00D81DAD" w:rsidRDefault="00C84CE2" w:rsidP="007E2634">
      <w:pPr>
        <w:pStyle w:val="GPSL3Indent"/>
      </w:pPr>
      <w:r w:rsidRPr="00FF1C7F">
        <w:t>but shall not be permitted to terminate where an Approval was granted prior to the Change of Control.</w:t>
      </w:r>
    </w:p>
    <w:p w:rsidR="00D81DAD" w:rsidRDefault="00C84CE2" w:rsidP="002E61F2">
      <w:pPr>
        <w:pStyle w:val="GPSL2NumberedBoldHeading"/>
      </w:pPr>
      <w:bookmarkStart w:id="451" w:name="_Ref365019164"/>
      <w:r w:rsidRPr="006875AD">
        <w:t xml:space="preserve">Termination </w:t>
      </w:r>
      <w:r>
        <w:t>W</w:t>
      </w:r>
      <w:r w:rsidRPr="006875AD">
        <w:t>ithout Cause</w:t>
      </w:r>
      <w:bookmarkEnd w:id="451"/>
    </w:p>
    <w:p w:rsidR="00F20C99" w:rsidRPr="00F20C99" w:rsidRDefault="00C84CE2" w:rsidP="002E61F2">
      <w:pPr>
        <w:pStyle w:val="GPSL3numberedclause"/>
        <w:rPr>
          <w:i/>
        </w:rPr>
      </w:pPr>
      <w:r w:rsidRPr="006875AD">
        <w:t>The Authority shall have the right to terminate this Framework Agreement</w:t>
      </w:r>
      <w:r w:rsidR="002B4448">
        <w:t xml:space="preserve"> </w:t>
      </w:r>
      <w:r w:rsidRPr="006875AD">
        <w:t xml:space="preserve">with effect from at any time following </w:t>
      </w:r>
      <w:r w:rsidR="00ED5703" w:rsidRPr="00ED5703">
        <w:t>nine (9)</w:t>
      </w:r>
      <w:r w:rsidRPr="006875AD">
        <w:t xml:space="preserve"> Months after the Framework Commencement Date by giving at least three (3) Months' written notice to the Supplier.</w:t>
      </w:r>
      <w:r w:rsidR="002B4448">
        <w:t xml:space="preserve"> </w:t>
      </w:r>
    </w:p>
    <w:p w:rsidR="00D81DAD" w:rsidRDefault="00C84CE2" w:rsidP="002E61F2">
      <w:pPr>
        <w:pStyle w:val="GPSL2NumberedBoldHeading"/>
      </w:pPr>
      <w:bookmarkStart w:id="452" w:name="_Ref365043469"/>
      <w:r w:rsidRPr="006875AD">
        <w:t>Partial Termination</w:t>
      </w:r>
      <w:bookmarkEnd w:id="452"/>
    </w:p>
    <w:p w:rsidR="00D81DAD" w:rsidRDefault="00C84CE2" w:rsidP="002E61F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F71B15">
        <w:fldChar w:fldCharType="begin"/>
      </w:r>
      <w:r w:rsidR="00DE3178">
        <w:instrText xml:space="preserve"> REF _Ref365043469 \w \h </w:instrText>
      </w:r>
      <w:r w:rsidR="00F71B15">
        <w:fldChar w:fldCharType="separate"/>
      </w:r>
      <w:r w:rsidR="00B3040B">
        <w:t>30.7</w:t>
      </w:r>
      <w:r w:rsidR="00F71B15">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rsidR="00D81DAD" w:rsidRDefault="00C84CE2" w:rsidP="002E61F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F71B15">
        <w:fldChar w:fldCharType="begin"/>
      </w:r>
      <w:r w:rsidR="0004095B">
        <w:instrText xml:space="preserve"> REF _Ref364957128 \r \h </w:instrText>
      </w:r>
      <w:r w:rsidR="00F71B15">
        <w:fldChar w:fldCharType="separate"/>
      </w:r>
      <w:r w:rsidR="00B3040B">
        <w:t>16.1</w:t>
      </w:r>
      <w:r w:rsidR="00F71B15">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Services </w:t>
      </w:r>
      <w:r w:rsidRPr="00893741">
        <w:t>a</w:t>
      </w:r>
      <w:r>
        <w:t>nd the Framework Prices</w:t>
      </w:r>
      <w:r w:rsidRPr="00893741">
        <w:t xml:space="preserve"> provided tha</w:t>
      </w:r>
      <w:r>
        <w:t>t:</w:t>
      </w:r>
    </w:p>
    <w:p w:rsidR="00D81DAD" w:rsidRDefault="00C84CE2" w:rsidP="007E2634">
      <w:pPr>
        <w:pStyle w:val="GPSL4numberedclause"/>
      </w:pPr>
      <w:r w:rsidRPr="00893741">
        <w:t xml:space="preserve">the Supplier shall not be entitled to an increase in the </w:t>
      </w:r>
      <w:r>
        <w:t xml:space="preserve">Framework Prices in respect of </w:t>
      </w:r>
      <w:r w:rsidRPr="00893741">
        <w:t xml:space="preserve">the </w:t>
      </w:r>
      <w:r>
        <w:t xml:space="preserve">Services </w:t>
      </w:r>
      <w:r w:rsidRPr="00893741">
        <w:t>that have not been terminated if the partial terminat</w:t>
      </w:r>
      <w:r>
        <w:t xml:space="preserve">ion arises due to the exercise of any of the </w:t>
      </w:r>
      <w:r w:rsidR="001A0B07">
        <w:t>Contracting Body</w:t>
      </w:r>
      <w:r>
        <w:t xml:space="preserve">’s termination rights under Clause </w:t>
      </w:r>
      <w:r w:rsidR="00F71B15">
        <w:fldChar w:fldCharType="begin"/>
      </w:r>
      <w:r w:rsidR="0004173A">
        <w:instrText xml:space="preserve"> REF _Ref365018401 \r \h </w:instrText>
      </w:r>
      <w:r w:rsidR="00F71B15">
        <w:fldChar w:fldCharType="separate"/>
      </w:r>
      <w:r w:rsidR="00B3040B">
        <w:t>30</w:t>
      </w:r>
      <w:r w:rsidR="00F71B15">
        <w:fldChar w:fldCharType="end"/>
      </w:r>
      <w:r>
        <w:t xml:space="preserve"> (</w:t>
      </w:r>
      <w:r w:rsidR="0004173A">
        <w:t>Authority</w:t>
      </w:r>
      <w:r>
        <w:t xml:space="preserve"> Termination Ri</w:t>
      </w:r>
      <w:r w:rsidR="002B4448">
        <w:t>ghts)</w:t>
      </w:r>
      <w:r w:rsidR="000F0DD5">
        <w:t xml:space="preserve"> with the exception of Clause </w:t>
      </w:r>
      <w:r w:rsidR="00F71B15">
        <w:fldChar w:fldCharType="begin"/>
      </w:r>
      <w:r w:rsidR="000F0DD5">
        <w:instrText xml:space="preserve"> REF _Ref365019164 \r \h </w:instrText>
      </w:r>
      <w:r w:rsidR="00F71B15">
        <w:fldChar w:fldCharType="separate"/>
      </w:r>
      <w:r w:rsidR="00B3040B">
        <w:t>30.6</w:t>
      </w:r>
      <w:r w:rsidR="00F71B15">
        <w:fldChar w:fldCharType="end"/>
      </w:r>
      <w:r w:rsidR="000F0DD5">
        <w:t xml:space="preserve"> (Termination Without Cause)</w:t>
      </w:r>
      <w:r w:rsidR="002B4448">
        <w:t>;</w:t>
      </w:r>
      <w:r>
        <w:t xml:space="preserve"> and</w:t>
      </w:r>
    </w:p>
    <w:p w:rsidR="00D81DAD" w:rsidRDefault="00C84CE2" w:rsidP="007E2634">
      <w:pPr>
        <w:pStyle w:val="GPSL4numberedclause"/>
      </w:pPr>
      <w:r>
        <w:lastRenderedPageBreak/>
        <w:t>the Supplier shall not be entitled to reject the variation.</w:t>
      </w:r>
    </w:p>
    <w:p w:rsidR="00D81DAD" w:rsidRDefault="001827DA" w:rsidP="002E61F2">
      <w:pPr>
        <w:pStyle w:val="GPSL1CLAUSEHEADING"/>
      </w:pPr>
      <w:bookmarkStart w:id="453" w:name="_Ref365046994"/>
      <w:bookmarkStart w:id="454" w:name="_Toc366085163"/>
      <w:bookmarkStart w:id="455" w:name="_Toc379488056"/>
      <w:bookmarkStart w:id="456" w:name="_Toc380052160"/>
      <w:bookmarkStart w:id="457" w:name="_Toc380052670"/>
      <w:bookmarkStart w:id="458" w:name="_Toc391545355"/>
      <w:r w:rsidRPr="001827DA">
        <w:t>SUSPENSION OF SUPPLIER'S APPOINTMENT</w:t>
      </w:r>
      <w:bookmarkEnd w:id="453"/>
      <w:bookmarkEnd w:id="454"/>
      <w:bookmarkEnd w:id="455"/>
      <w:bookmarkEnd w:id="456"/>
      <w:bookmarkEnd w:id="457"/>
      <w:bookmarkEnd w:id="458"/>
    </w:p>
    <w:p w:rsidR="00D81DAD" w:rsidRDefault="00C84CE2" w:rsidP="002E61F2">
      <w:pPr>
        <w:pStyle w:val="GPSL2Numbered"/>
      </w:pPr>
      <w:bookmarkStart w:id="459" w:name="_Ref365043536"/>
      <w:r w:rsidRPr="00187551">
        <w:t xml:space="preserve">If the Authority is entitled to terminate this Framework Agreement pursuant to </w:t>
      </w:r>
      <w:r w:rsidR="0004095B">
        <w:t xml:space="preserve">Clause </w:t>
      </w:r>
      <w:r w:rsidR="00F71B15">
        <w:fldChar w:fldCharType="begin"/>
      </w:r>
      <w:r w:rsidR="0004095B">
        <w:instrText xml:space="preserve"> REF _Ref365018401 \r \h </w:instrText>
      </w:r>
      <w:r w:rsidR="00F71B15">
        <w:fldChar w:fldCharType="separate"/>
      </w:r>
      <w:r w:rsidR="00B3040B">
        <w:t>30</w:t>
      </w:r>
      <w:r w:rsidR="00F71B15">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59"/>
    </w:p>
    <w:p w:rsidR="00D81DAD" w:rsidRDefault="00C84CE2" w:rsidP="002E61F2">
      <w:pPr>
        <w:pStyle w:val="GPSL2Numbered"/>
      </w:pPr>
      <w:r w:rsidRPr="00187551">
        <w:t xml:space="preserve">Any suspension under Clause </w:t>
      </w:r>
      <w:r w:rsidR="00F71B15">
        <w:fldChar w:fldCharType="begin"/>
      </w:r>
      <w:r w:rsidR="00DE3178">
        <w:instrText xml:space="preserve"> REF _Ref365043536 \w \h </w:instrText>
      </w:r>
      <w:r w:rsidR="00F71B15">
        <w:fldChar w:fldCharType="separate"/>
      </w:r>
      <w:r w:rsidR="00B3040B">
        <w:t>31.1</w:t>
      </w:r>
      <w:r w:rsidR="00F71B15">
        <w:fldChar w:fldCharType="end"/>
      </w:r>
      <w:r w:rsidR="00DE3178">
        <w:t xml:space="preserve"> </w:t>
      </w:r>
      <w:r w:rsidRPr="00187551">
        <w:t>shall be without prejudice to any right of termination which has already accrued, or subsequently accrues, to the Authority.</w:t>
      </w:r>
    </w:p>
    <w:p w:rsidR="00D81DAD" w:rsidRDefault="00C84CE2" w:rsidP="002E61F2">
      <w:pPr>
        <w:pStyle w:val="GPSL2Numbered"/>
      </w:pPr>
      <w:r w:rsidRPr="00187551">
        <w:t>The Parties acknowledge that suspension shall not affect the Supplier's obligation to perform any existing Call Off Agreements concluded prior to the suspension notice.</w:t>
      </w:r>
    </w:p>
    <w:p w:rsidR="00D81DAD" w:rsidRDefault="00C84CE2" w:rsidP="002E61F2">
      <w:pPr>
        <w:pStyle w:val="GPSL2Numbered"/>
      </w:pPr>
      <w:r w:rsidRPr="00187551">
        <w:t>If the Authority provides notice to the Supplier in accordance with this Clause </w:t>
      </w:r>
      <w:r w:rsidR="00F71B15">
        <w:fldChar w:fldCharType="begin"/>
      </w:r>
      <w:r w:rsidR="00DE3178">
        <w:instrText xml:space="preserve"> REF _Ref365043536 \w \h </w:instrText>
      </w:r>
      <w:r w:rsidR="00F71B15">
        <w:fldChar w:fldCharType="separate"/>
      </w:r>
      <w:r w:rsidR="00B3040B">
        <w:t>31.1</w:t>
      </w:r>
      <w:r w:rsidR="00F71B15">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rsidR="002B49ED" w:rsidRDefault="007E2634" w:rsidP="007E2634">
      <w:pPr>
        <w:pStyle w:val="GPSL2Numbered"/>
      </w:pPr>
      <w:r>
        <w:t xml:space="preserve">For the avoidance of doubt, </w:t>
      </w:r>
      <w:r w:rsidR="009D4F4F">
        <w:t xml:space="preserve">no period of suspension under this Clause </w:t>
      </w:r>
      <w:r w:rsidR="00F71B15">
        <w:fldChar w:fldCharType="begin"/>
      </w:r>
      <w:r>
        <w:instrText xml:space="preserve"> REF _Ref365046994 \r \h </w:instrText>
      </w:r>
      <w:r w:rsidR="00F71B15">
        <w:fldChar w:fldCharType="separate"/>
      </w:r>
      <w:r w:rsidR="00B3040B">
        <w:t>31</w:t>
      </w:r>
      <w:r w:rsidR="00F71B15">
        <w:fldChar w:fldCharType="end"/>
      </w:r>
      <w:r w:rsidR="009D4F4F">
        <w:t xml:space="preserve"> shall result in an extension of the Framework Period.</w:t>
      </w:r>
    </w:p>
    <w:p w:rsidR="00D81DAD" w:rsidRDefault="001827DA" w:rsidP="002E61F2">
      <w:pPr>
        <w:pStyle w:val="GPSL1CLAUSEHEADING"/>
      </w:pPr>
      <w:bookmarkStart w:id="460" w:name="_Toc366094766"/>
      <w:bookmarkStart w:id="461" w:name="_Toc366094924"/>
      <w:bookmarkStart w:id="462" w:name="_Ref365018931"/>
      <w:bookmarkStart w:id="463" w:name="_Toc366085164"/>
      <w:bookmarkStart w:id="464" w:name="_Toc379488057"/>
      <w:bookmarkStart w:id="465" w:name="_Toc380052161"/>
      <w:bookmarkStart w:id="466" w:name="_Toc380052671"/>
      <w:bookmarkStart w:id="467" w:name="_Toc391545356"/>
      <w:bookmarkEnd w:id="460"/>
      <w:bookmarkEnd w:id="461"/>
      <w:r w:rsidRPr="001827DA">
        <w:t>CONSEQUENCES OF EXPIRY OR TERMINATION</w:t>
      </w:r>
      <w:bookmarkEnd w:id="462"/>
      <w:bookmarkEnd w:id="463"/>
      <w:bookmarkEnd w:id="464"/>
      <w:bookmarkEnd w:id="465"/>
      <w:bookmarkEnd w:id="466"/>
      <w:bookmarkEnd w:id="467"/>
    </w:p>
    <w:p w:rsidR="00D81DAD" w:rsidRDefault="000C38A3" w:rsidP="002E61F2">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F71B15">
        <w:fldChar w:fldCharType="begin"/>
      </w:r>
      <w:r w:rsidR="0004173A">
        <w:instrText xml:space="preserve"> REF _Ref365018931 \r \h </w:instrText>
      </w:r>
      <w:r w:rsidR="00F71B15">
        <w:fldChar w:fldCharType="separate"/>
      </w:r>
      <w:r w:rsidR="00B3040B">
        <w:t>32</w:t>
      </w:r>
      <w:r w:rsidR="00F71B15">
        <w:fldChar w:fldCharType="end"/>
      </w:r>
      <w:r w:rsidR="0004173A">
        <w:t>.</w:t>
      </w:r>
    </w:p>
    <w:p w:rsidR="00D81DAD" w:rsidRDefault="000C38A3" w:rsidP="002E61F2">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rsidR="00D81DAD" w:rsidRDefault="000C38A3" w:rsidP="002E61F2">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F71B15">
        <w:fldChar w:fldCharType="begin"/>
      </w:r>
      <w:r w:rsidR="00DE3178">
        <w:instrText xml:space="preserve"> REF _Ref364947830 \w \h </w:instrText>
      </w:r>
      <w:r w:rsidR="00F71B15">
        <w:fldChar w:fldCharType="separate"/>
      </w:r>
      <w:r w:rsidR="00B3040B">
        <w:t>30.2</w:t>
      </w:r>
      <w:r w:rsidR="00F71B15">
        <w:fldChar w:fldCharType="end"/>
      </w:r>
      <w:r w:rsidR="00DE3178">
        <w:t xml:space="preserve"> </w:t>
      </w:r>
      <w:r w:rsidRPr="006875AD">
        <w:t xml:space="preserve">(Termination </w:t>
      </w:r>
      <w:r>
        <w:t>on Material Default</w:t>
      </w:r>
      <w:r w:rsidRPr="006875AD">
        <w:t>)</w:t>
      </w:r>
      <w:r w:rsidR="00F101CF">
        <w:t xml:space="preserve"> or 30.3 (Termination for Failure to Agree a Variation)</w:t>
      </w:r>
      <w:r w:rsidRPr="006875AD">
        <w:t xml:space="preserve"> and then makes other arrangements for the supply of the Services to Contracting Bodies, the Supplier shall indemnify the Authority in full upon demand for the cost of procuring, implementing and operating any alternative or replacement </w:t>
      </w:r>
      <w:r>
        <w:t>s</w:t>
      </w:r>
      <w:r w:rsidRPr="006875AD">
        <w:t>ervices to the Services, no further payments shall be payable by the Authority until the Authority has established and recovered from the Supplier the full amount of such cost.</w:t>
      </w:r>
    </w:p>
    <w:p w:rsidR="00D81DAD" w:rsidRDefault="000C38A3" w:rsidP="002E61F2">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w:t>
      </w:r>
      <w:r w:rsidRPr="006875AD">
        <w:lastRenderedPageBreak/>
        <w:t xml:space="preserve">other period as </w:t>
      </w:r>
      <w:r w:rsidR="00E729DC">
        <w:t xml:space="preserve">Approved by the Authority and </w:t>
      </w:r>
      <w:r w:rsidRPr="006875AD">
        <w:t>is reasonably necessary for such compliance).</w:t>
      </w:r>
    </w:p>
    <w:p w:rsidR="00D81DAD" w:rsidRDefault="000C38A3" w:rsidP="002E61F2">
      <w:pPr>
        <w:pStyle w:val="GPSL2Numbered"/>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2E61F2">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Default="000C38A3" w:rsidP="002E61F2">
      <w:pPr>
        <w:pStyle w:val="GPSL3numberedclause"/>
      </w:pPr>
      <w:r w:rsidRPr="006875AD">
        <w:t>Clauses </w:t>
      </w:r>
      <w:r w:rsidR="000822F5">
        <w:fldChar w:fldCharType="begin"/>
      </w:r>
      <w:r w:rsidR="000822F5">
        <w:instrText xml:space="preserve"> REF _Ref349138918 \r \h  \* MERGEFORMAT </w:instrText>
      </w:r>
      <w:r w:rsidR="000822F5">
        <w:fldChar w:fldCharType="separate"/>
      </w:r>
      <w:r w:rsidR="00B3040B">
        <w:t>1</w:t>
      </w:r>
      <w:r w:rsidR="000822F5">
        <w:fldChar w:fldCharType="end"/>
      </w:r>
      <w:r w:rsidRPr="006875AD">
        <w:t xml:space="preserve"> (</w:t>
      </w:r>
      <w:r w:rsidR="00E749CF">
        <w:t xml:space="preserve">Definitions and </w:t>
      </w:r>
      <w:r w:rsidRPr="006875AD">
        <w:t>Interpretation),</w:t>
      </w:r>
      <w:r>
        <w:t xml:space="preserve"> </w:t>
      </w:r>
      <w:r w:rsidR="000822F5">
        <w:fldChar w:fldCharType="begin"/>
      </w:r>
      <w:r w:rsidR="000822F5">
        <w:instrText xml:space="preserve"> REF _Ref350355336 \w \h  \* MERGEFORMAT </w:instrText>
      </w:r>
      <w:r w:rsidR="000822F5">
        <w:fldChar w:fldCharType="separate"/>
      </w:r>
      <w:r w:rsidR="00B3040B">
        <w:t>6</w:t>
      </w:r>
      <w:r w:rsidR="000822F5">
        <w:fldChar w:fldCharType="end"/>
      </w:r>
      <w:r>
        <w:t xml:space="preserve"> (Representations and </w:t>
      </w:r>
      <w:r w:rsidR="00E749CF">
        <w:t>Warranties</w:t>
      </w:r>
      <w:r>
        <w:t>),</w:t>
      </w:r>
      <w:r w:rsidR="00A21C76">
        <w:t xml:space="preserve"> </w:t>
      </w:r>
      <w:r w:rsidR="00F71B15">
        <w:fldChar w:fldCharType="begin"/>
      </w:r>
      <w:r w:rsidR="00D92C3A">
        <w:instrText xml:space="preserve"> REF _Ref365039009 \w \h </w:instrText>
      </w:r>
      <w:r w:rsidR="00F71B15">
        <w:fldChar w:fldCharType="separate"/>
      </w:r>
      <w:r w:rsidR="00B3040B">
        <w:t>9</w:t>
      </w:r>
      <w:r w:rsidR="00F71B15">
        <w:fldChar w:fldCharType="end"/>
      </w:r>
      <w:r w:rsidR="00D92C3A">
        <w:t xml:space="preserve"> </w:t>
      </w:r>
      <w:r w:rsidR="00D92C3A" w:rsidRPr="00C339A0">
        <w:t>(Framework Agreement Performance)</w:t>
      </w:r>
      <w:r w:rsidRPr="006875AD">
        <w:t>,</w:t>
      </w:r>
      <w:r w:rsidR="00D92C3A">
        <w:t xml:space="preserve"> </w:t>
      </w:r>
      <w:r w:rsidR="00F71B15">
        <w:fldChar w:fldCharType="begin"/>
      </w:r>
      <w:r w:rsidR="009D5B11">
        <w:instrText xml:space="preserve"> REF _Ref365017299 \r \h </w:instrText>
      </w:r>
      <w:r w:rsidR="00F71B15">
        <w:fldChar w:fldCharType="separate"/>
      </w:r>
      <w:r w:rsidR="00B3040B">
        <w:t>15</w:t>
      </w:r>
      <w:r w:rsidR="00F71B15">
        <w:fldChar w:fldCharType="end"/>
      </w:r>
      <w:r w:rsidR="009D5B11">
        <w:t xml:space="preserve"> (Records, Audit Access and </w:t>
      </w:r>
      <w:r w:rsidR="009D5B11" w:rsidRPr="0024268B">
        <w:t xml:space="preserve">Open Book Data), </w:t>
      </w:r>
      <w:r w:rsidR="000822F5">
        <w:fldChar w:fldCharType="begin"/>
      </w:r>
      <w:r w:rsidR="000822F5">
        <w:instrText xml:space="preserve"> REF _Ref365013560 \w \h  \* MERGEFORMAT </w:instrText>
      </w:r>
      <w:r w:rsidR="000822F5">
        <w:fldChar w:fldCharType="separate"/>
      </w:r>
      <w:r w:rsidR="00B3040B" w:rsidRPr="0024268B">
        <w:t>17</w:t>
      </w:r>
      <w:r w:rsidR="000822F5">
        <w:fldChar w:fldCharType="end"/>
      </w:r>
      <w:r w:rsidR="00A21C76" w:rsidRPr="0024268B">
        <w:t xml:space="preserve"> (Management Charge),</w:t>
      </w:r>
      <w:r w:rsidR="00A21C76">
        <w:t xml:space="preserve"> </w:t>
      </w:r>
      <w:r w:rsidR="00F71B15">
        <w:fldChar w:fldCharType="begin"/>
      </w:r>
      <w:r w:rsidR="009D5B11">
        <w:instrText xml:space="preserve"> REF _Ref365043936 \w \h </w:instrText>
      </w:r>
      <w:r w:rsidR="00F71B15">
        <w:fldChar w:fldCharType="separate"/>
      </w:r>
      <w:r w:rsidR="00B3040B">
        <w:t>23</w:t>
      </w:r>
      <w:r w:rsidR="00F71B15">
        <w:fldChar w:fldCharType="end"/>
      </w:r>
      <w:r w:rsidR="009D5B11">
        <w:t xml:space="preserve"> </w:t>
      </w:r>
      <w:r w:rsidR="009D5B11" w:rsidRPr="006875AD">
        <w:t>(Intellectual Property Rights),</w:t>
      </w:r>
      <w:r w:rsidR="00D92C3A" w:rsidRPr="00C339A0">
        <w:t> </w:t>
      </w:r>
      <w:r w:rsidR="00F71B15">
        <w:fldChar w:fldCharType="begin"/>
      </w:r>
      <w:r w:rsidR="00D92C3A">
        <w:instrText xml:space="preserve"> REF _Ref365039341 \w \h </w:instrText>
      </w:r>
      <w:r w:rsidR="00F71B15">
        <w:fldChar w:fldCharType="separate"/>
      </w:r>
      <w:r w:rsidR="00B3040B">
        <w:t>24.1</w:t>
      </w:r>
      <w:r w:rsidR="00F71B15">
        <w:fldChar w:fldCharType="end"/>
      </w:r>
      <w:r w:rsidR="00D92C3A">
        <w:t xml:space="preserve"> </w:t>
      </w:r>
      <w:r w:rsidR="00D92C3A" w:rsidRPr="00C339A0">
        <w:t>(Provision of Management Information)</w:t>
      </w:r>
      <w:r w:rsidRPr="006875AD">
        <w:t xml:space="preserve">, </w:t>
      </w:r>
      <w:r w:rsidR="00F71B15">
        <w:fldChar w:fldCharType="begin"/>
      </w:r>
      <w:r w:rsidR="00875BC1">
        <w:instrText xml:space="preserve"> REF _Ref365018045 \r \h </w:instrText>
      </w:r>
      <w:r w:rsidR="00F71B15">
        <w:fldChar w:fldCharType="separate"/>
      </w:r>
      <w:r w:rsidR="00B3040B">
        <w:t>24.2</w:t>
      </w:r>
      <w:r w:rsidR="00F71B15">
        <w:fldChar w:fldCharType="end"/>
      </w:r>
      <w:r w:rsidRPr="006875AD">
        <w:t xml:space="preserve"> (Confidentiality),</w:t>
      </w:r>
      <w:r>
        <w:t xml:space="preserve"> </w:t>
      </w:r>
      <w:r w:rsidR="00F71B15">
        <w:fldChar w:fldCharType="begin"/>
      </w:r>
      <w:r w:rsidR="00DE3178">
        <w:instrText xml:space="preserve"> REF _Ref365043695 \w \h </w:instrText>
      </w:r>
      <w:r w:rsidR="00F71B15">
        <w:fldChar w:fldCharType="separate"/>
      </w:r>
      <w:r w:rsidR="00B3040B">
        <w:t>24.3</w:t>
      </w:r>
      <w:r w:rsidR="00F71B15">
        <w:fldChar w:fldCharType="end"/>
      </w:r>
      <w:r w:rsidR="00DE3178">
        <w:t xml:space="preserve"> </w:t>
      </w:r>
      <w:r>
        <w:t>(Transparency),</w:t>
      </w:r>
      <w:r w:rsidR="009D5B11" w:rsidRPr="009D5B11">
        <w:t xml:space="preserve"> </w:t>
      </w:r>
      <w:r w:rsidR="00F71B15">
        <w:fldChar w:fldCharType="begin"/>
      </w:r>
      <w:r w:rsidR="009D5B11">
        <w:instrText xml:space="preserve"> REF _Ref365035521 \w \h </w:instrText>
      </w:r>
      <w:r w:rsidR="00F71B15">
        <w:fldChar w:fldCharType="separate"/>
      </w:r>
      <w:r w:rsidR="00B3040B">
        <w:t>24.4</w:t>
      </w:r>
      <w:r w:rsidR="00F71B15">
        <w:fldChar w:fldCharType="end"/>
      </w:r>
      <w:r w:rsidR="009D5B11">
        <w:t xml:space="preserve"> </w:t>
      </w:r>
      <w:r w:rsidR="009D5B11" w:rsidRPr="00C339A0">
        <w:t>(Freedom of Information)</w:t>
      </w:r>
      <w:r w:rsidR="009D5B11">
        <w:t>,</w:t>
      </w:r>
      <w:r w:rsidR="009D5B11" w:rsidRPr="009D5B11">
        <w:t xml:space="preserve"> </w:t>
      </w:r>
      <w:r w:rsidR="00F71B15">
        <w:fldChar w:fldCharType="begin"/>
      </w:r>
      <w:r w:rsidR="009D5B11">
        <w:instrText xml:space="preserve"> REF _Ref365017837 \r \h </w:instrText>
      </w:r>
      <w:r w:rsidR="00F71B15">
        <w:fldChar w:fldCharType="separate"/>
      </w:r>
      <w:r w:rsidR="00B3040B">
        <w:t>24.5</w:t>
      </w:r>
      <w:r w:rsidR="00F71B15">
        <w:fldChar w:fldCharType="end"/>
      </w:r>
      <w:r w:rsidR="00A21C76">
        <w:t xml:space="preserve"> </w:t>
      </w:r>
      <w:r w:rsidR="009D5B11" w:rsidRPr="006875AD">
        <w:t>(</w:t>
      </w:r>
      <w:r w:rsidR="009D5B11">
        <w:t>Protection of Personal Data</w:t>
      </w:r>
      <w:r w:rsidR="009D5B11" w:rsidRPr="006875AD">
        <w:t>),</w:t>
      </w:r>
      <w:r w:rsidR="00A21C76">
        <w:t xml:space="preserve"> </w:t>
      </w:r>
      <w:r w:rsidR="00F71B15">
        <w:fldChar w:fldCharType="begin"/>
      </w:r>
      <w:r w:rsidR="00A21C76">
        <w:instrText xml:space="preserve"> REF _Ref365043961 \w \h </w:instrText>
      </w:r>
      <w:r w:rsidR="00F71B15">
        <w:fldChar w:fldCharType="separate"/>
      </w:r>
      <w:r w:rsidR="00B3040B">
        <w:t>27</w:t>
      </w:r>
      <w:r w:rsidR="00F71B15">
        <w:fldChar w:fldCharType="end"/>
      </w:r>
      <w:r w:rsidR="00A21C76">
        <w:t xml:space="preserve"> </w:t>
      </w:r>
      <w:r w:rsidR="00A21C76" w:rsidRPr="006875AD">
        <w:t>(Liability),</w:t>
      </w:r>
      <w:r w:rsidR="009D5B11">
        <w:t xml:space="preserve"> </w:t>
      </w:r>
      <w:r w:rsidR="00F71B15">
        <w:fldChar w:fldCharType="begin"/>
      </w:r>
      <w:r w:rsidR="009D5B11">
        <w:instrText xml:space="preserve"> REF _Ref365044128 \w \h </w:instrText>
      </w:r>
      <w:r w:rsidR="00F71B15">
        <w:fldChar w:fldCharType="separate"/>
      </w:r>
      <w:r w:rsidR="00B3040B">
        <w:t>28</w:t>
      </w:r>
      <w:r w:rsidR="00F71B15">
        <w:fldChar w:fldCharType="end"/>
      </w:r>
      <w:r w:rsidR="009D5B11">
        <w:t xml:space="preserve"> </w:t>
      </w:r>
      <w:r w:rsidR="009D5B11" w:rsidRPr="006875AD">
        <w:t>(Insurance),</w:t>
      </w:r>
      <w:r w:rsidRPr="006875AD">
        <w:t xml:space="preserve"> </w:t>
      </w:r>
      <w:r w:rsidR="00F71B15">
        <w:fldChar w:fldCharType="begin"/>
      </w:r>
      <w:r w:rsidR="009D5B11">
        <w:instrText xml:space="preserve"> REF _Ref365018931 \r \h </w:instrText>
      </w:r>
      <w:r w:rsidR="00F71B15">
        <w:fldChar w:fldCharType="separate"/>
      </w:r>
      <w:r w:rsidR="00B3040B">
        <w:t>32</w:t>
      </w:r>
      <w:r w:rsidR="00F71B15">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F71B15">
        <w:fldChar w:fldCharType="begin"/>
      </w:r>
      <w:r w:rsidR="00512989">
        <w:instrText xml:space="preserve"> REF _Ref365038569 \w \h </w:instrText>
      </w:r>
      <w:r w:rsidR="00F71B15">
        <w:fldChar w:fldCharType="separate"/>
      </w:r>
      <w:r w:rsidR="00B3040B">
        <w:t>33</w:t>
      </w:r>
      <w:r w:rsidR="00F71B15">
        <w:fldChar w:fldCharType="end"/>
      </w:r>
      <w:r w:rsidR="00512989" w:rsidRPr="006875AD">
        <w:t> </w:t>
      </w:r>
      <w:r w:rsidRPr="006875AD">
        <w:t xml:space="preserve">(Compliance), </w:t>
      </w:r>
      <w:r w:rsidR="00D92C3A">
        <w:t xml:space="preserve"> </w:t>
      </w:r>
      <w:r w:rsidR="00F71B15">
        <w:fldChar w:fldCharType="begin"/>
      </w:r>
      <w:r w:rsidR="00A21C76">
        <w:instrText xml:space="preserve"> REF _Ref365043829 \w \h </w:instrText>
      </w:r>
      <w:r w:rsidR="00F71B15">
        <w:fldChar w:fldCharType="separate"/>
      </w:r>
      <w:r w:rsidR="00B3040B">
        <w:t>35</w:t>
      </w:r>
      <w:r w:rsidR="00F71B15">
        <w:fldChar w:fldCharType="end"/>
      </w:r>
      <w:r w:rsidR="00A21C76">
        <w:t xml:space="preserve"> </w:t>
      </w:r>
      <w:r w:rsidR="00A21C76" w:rsidRPr="006875AD">
        <w:t>(Waiver and Cumulative Remedies),</w:t>
      </w:r>
      <w:r w:rsidR="00A21C76" w:rsidRPr="009D5B11">
        <w:t xml:space="preserve"> </w:t>
      </w:r>
      <w:r w:rsidR="000822F5">
        <w:fldChar w:fldCharType="begin"/>
      </w:r>
      <w:r w:rsidR="000822F5">
        <w:instrText xml:space="preserve"> REF _Ref311652417 \r \h  \* MERGEFORMAT </w:instrText>
      </w:r>
      <w:r w:rsidR="000822F5">
        <w:fldChar w:fldCharType="separate"/>
      </w:r>
      <w:r w:rsidR="00B3040B">
        <w:t>37</w:t>
      </w:r>
      <w:r w:rsidR="000822F5">
        <w:fldChar w:fldCharType="end"/>
      </w:r>
      <w:r w:rsidR="00A21C76">
        <w:t xml:space="preserve"> (Prevention of Fraud and Bribery),</w:t>
      </w:r>
      <w:r w:rsidR="00D92C3A">
        <w:t xml:space="preserve"> </w:t>
      </w:r>
      <w:r w:rsidR="00F71B15">
        <w:fldChar w:fldCharType="begin"/>
      </w:r>
      <w:r w:rsidR="00A21C76">
        <w:instrText xml:space="preserve"> REF _Ref365043770 \w \h </w:instrText>
      </w:r>
      <w:r w:rsidR="00F71B15">
        <w:fldChar w:fldCharType="separate"/>
      </w:r>
      <w:r w:rsidR="00B3040B">
        <w:t>39</w:t>
      </w:r>
      <w:r w:rsidR="00F71B15">
        <w:fldChar w:fldCharType="end"/>
      </w:r>
      <w:r w:rsidR="00A21C76" w:rsidRPr="006875AD">
        <w:t xml:space="preserve"> (</w:t>
      </w:r>
      <w:r w:rsidR="00A21C76">
        <w:t>Severance</w:t>
      </w:r>
      <w:r w:rsidR="00A21C76" w:rsidRPr="006875AD">
        <w:t>),</w:t>
      </w:r>
      <w:r w:rsidR="00B906CF" w:rsidRPr="005F358F">
        <w:t xml:space="preserve"> </w:t>
      </w:r>
      <w:r w:rsidR="00F71B15">
        <w:fldChar w:fldCharType="begin"/>
      </w:r>
      <w:r w:rsidR="00A21C76">
        <w:instrText xml:space="preserve"> REF _Ref365043868 \w \h </w:instrText>
      </w:r>
      <w:r w:rsidR="00F71B15">
        <w:fldChar w:fldCharType="separate"/>
      </w:r>
      <w:r w:rsidR="00B3040B">
        <w:t>41</w:t>
      </w:r>
      <w:r w:rsidR="00F71B15">
        <w:fldChar w:fldCharType="end"/>
      </w:r>
      <w:r w:rsidR="00A21C76">
        <w:t xml:space="preserve"> </w:t>
      </w:r>
      <w:r w:rsidR="00A21C76" w:rsidRPr="006875AD">
        <w:t>(Entire Agreement),</w:t>
      </w:r>
      <w:r w:rsidR="00A21C76">
        <w:t xml:space="preserve"> </w:t>
      </w:r>
      <w:r w:rsidR="00F71B15">
        <w:fldChar w:fldCharType="begin"/>
      </w:r>
      <w:r w:rsidR="00B906CF">
        <w:instrText xml:space="preserve"> REF _Ref364954408 \r \h </w:instrText>
      </w:r>
      <w:r w:rsidR="00F71B15">
        <w:fldChar w:fldCharType="separate"/>
      </w:r>
      <w:r w:rsidR="00B3040B">
        <w:t>42</w:t>
      </w:r>
      <w:r w:rsidR="00F71B15">
        <w:fldChar w:fldCharType="end"/>
      </w:r>
      <w:r w:rsidR="00B906CF">
        <w:t xml:space="preserve"> </w:t>
      </w:r>
      <w:r w:rsidR="00B906CF" w:rsidRPr="005F358F">
        <w:t>(</w:t>
      </w:r>
      <w:r w:rsidR="00B906CF">
        <w:t>Third Party Rights</w:t>
      </w:r>
      <w:r w:rsidR="00B906CF" w:rsidRPr="005F358F">
        <w:t>)</w:t>
      </w:r>
      <w:r w:rsidR="00B906CF">
        <w:t xml:space="preserve">, </w:t>
      </w:r>
      <w:r w:rsidR="00F71B15">
        <w:fldChar w:fldCharType="begin"/>
      </w:r>
      <w:r w:rsidR="00A21C76">
        <w:instrText xml:space="preserve"> REF _Ref365044592 \w \h </w:instrText>
      </w:r>
      <w:r w:rsidR="00F71B15">
        <w:fldChar w:fldCharType="separate"/>
      </w:r>
      <w:r w:rsidR="00B3040B">
        <w:t>43</w:t>
      </w:r>
      <w:r w:rsidR="00F71B15">
        <w:fldChar w:fldCharType="end"/>
      </w:r>
      <w:r w:rsidR="00A21C76">
        <w:t xml:space="preserve"> </w:t>
      </w:r>
      <w:r w:rsidR="00A21C76" w:rsidRPr="006875AD">
        <w:t>(Notices</w:t>
      </w:r>
      <w:r w:rsidR="00A21C76" w:rsidRPr="0021033B">
        <w:t>)</w:t>
      </w:r>
      <w:r w:rsidR="00A21C76">
        <w:t>,</w:t>
      </w:r>
      <w:r w:rsidRPr="006875AD">
        <w:t xml:space="preserve"> </w:t>
      </w:r>
      <w:r w:rsidR="000822F5">
        <w:fldChar w:fldCharType="begin"/>
      </w:r>
      <w:r w:rsidR="000822F5">
        <w:instrText xml:space="preserve"> REF _Ref311674926 \r \h  \* MERGEFORMAT </w:instrText>
      </w:r>
      <w:r w:rsidR="000822F5">
        <w:fldChar w:fldCharType="separate"/>
      </w:r>
      <w:r w:rsidR="00B3040B">
        <w:t>44</w:t>
      </w:r>
      <w:r w:rsidR="000822F5">
        <w:fldChar w:fldCharType="end"/>
      </w:r>
      <w:r>
        <w:t xml:space="preserve"> (Complaints Handling),</w:t>
      </w:r>
      <w:r w:rsidRPr="006875AD">
        <w:t xml:space="preserve"> </w:t>
      </w:r>
      <w:r w:rsidR="000822F5">
        <w:fldChar w:fldCharType="begin"/>
      </w:r>
      <w:r w:rsidR="000822F5">
        <w:instrText xml:space="preserve"> REF _Ref335384030 \r \h  \* MERGEFORMAT </w:instrText>
      </w:r>
      <w:r w:rsidR="000822F5">
        <w:fldChar w:fldCharType="separate"/>
      </w:r>
      <w:r w:rsidR="00B3040B">
        <w:t>45</w:t>
      </w:r>
      <w:r w:rsidR="000822F5">
        <w:fldChar w:fldCharType="end"/>
      </w:r>
      <w:r w:rsidRPr="006875AD">
        <w:t xml:space="preserve"> (Dispute Resolution)</w:t>
      </w:r>
      <w:r w:rsidR="00A21C76">
        <w:t xml:space="preserve"> and</w:t>
      </w:r>
      <w:r>
        <w:t xml:space="preserve"> </w:t>
      </w:r>
      <w:r w:rsidR="000822F5">
        <w:fldChar w:fldCharType="begin"/>
      </w:r>
      <w:r w:rsidR="000822F5">
        <w:instrText xml:space="preserve"> REF _Ref349139453 \r \h  \* MERGEFORMAT </w:instrText>
      </w:r>
      <w:r w:rsidR="000822F5">
        <w:fldChar w:fldCharType="separate"/>
      </w:r>
      <w:r w:rsidR="00B3040B">
        <w:t>46</w:t>
      </w:r>
      <w:r w:rsidR="000822F5">
        <w:fldChar w:fldCharType="end"/>
      </w:r>
      <w:r w:rsidRPr="006875AD">
        <w:t xml:space="preserve"> (</w:t>
      </w:r>
      <w:r w:rsidR="00E749CF">
        <w:t xml:space="preserve">Governing </w:t>
      </w:r>
      <w:r w:rsidRPr="006875AD">
        <w:t>Law and Jurisdiction); and</w:t>
      </w:r>
    </w:p>
    <w:p w:rsidR="00D81DAD" w:rsidRDefault="00EA6CAB" w:rsidP="002E61F2">
      <w:pPr>
        <w:pStyle w:val="GPSL3numberedclause"/>
      </w:pPr>
      <w:r>
        <w:t>Framework Schedule</w:t>
      </w:r>
      <w:r w:rsidR="000C38A3" w:rsidRPr="006875AD">
        <w:t xml:space="preserve">s  </w:t>
      </w:r>
      <w:r w:rsidR="00E749CF">
        <w:t>2</w:t>
      </w:r>
      <w:r w:rsidR="00E749CF" w:rsidRPr="006875AD">
        <w:t xml:space="preserve"> </w:t>
      </w:r>
      <w:r w:rsidR="000C38A3" w:rsidRPr="006875AD">
        <w:t>(Services and Key Performance Indicators), 3 (</w:t>
      </w:r>
      <w:r w:rsidR="00344201">
        <w:t>Framework Prices</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 xml:space="preserve">)  </w:t>
      </w:r>
      <w:r w:rsidR="00225C7E" w:rsidRPr="00225C7E">
        <w:t>,13 (</w:t>
      </w:r>
      <w:r w:rsidR="000822F5">
        <w:t xml:space="preserve">Template </w:t>
      </w:r>
      <w:r w:rsidR="00225C7E" w:rsidRPr="00225C7E">
        <w:t>Guarantee)</w:t>
      </w:r>
      <w:r w:rsidR="000C38A3" w:rsidRPr="006875AD">
        <w:t xml:space="preserve">  14 (Insurance Requirements)</w:t>
      </w:r>
      <w:r w:rsidR="00A21C7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rsidR="00D81DAD" w:rsidRDefault="000C38A3" w:rsidP="002E61F2">
      <w:pPr>
        <w:pStyle w:val="GPSSectionHeading"/>
      </w:pPr>
      <w:bookmarkStart w:id="468" w:name="_Toc366085165"/>
      <w:bookmarkStart w:id="469" w:name="_Toc379488058"/>
      <w:bookmarkStart w:id="470" w:name="_Toc380052162"/>
      <w:bookmarkStart w:id="471" w:name="_Toc380052672"/>
      <w:bookmarkStart w:id="472" w:name="_Toc391545357"/>
      <w:r w:rsidRPr="000C38A3">
        <w:t>MISCELLANEOUS AND GOVERNING LAW</w:t>
      </w:r>
      <w:bookmarkEnd w:id="468"/>
      <w:bookmarkEnd w:id="469"/>
      <w:bookmarkEnd w:id="470"/>
      <w:bookmarkEnd w:id="471"/>
      <w:bookmarkEnd w:id="472"/>
    </w:p>
    <w:p w:rsidR="00D81DAD" w:rsidRDefault="001827DA" w:rsidP="002E61F2">
      <w:pPr>
        <w:pStyle w:val="GPSL1CLAUSEHEADING"/>
      </w:pPr>
      <w:bookmarkStart w:id="473" w:name="_Ref365038569"/>
      <w:bookmarkStart w:id="474" w:name="_Ref365039282"/>
      <w:bookmarkStart w:id="475" w:name="_Toc366085166"/>
      <w:bookmarkStart w:id="476" w:name="_Toc379488059"/>
      <w:bookmarkStart w:id="477" w:name="_Toc380052163"/>
      <w:bookmarkStart w:id="478" w:name="_Toc380052673"/>
      <w:bookmarkStart w:id="479" w:name="_Toc391545358"/>
      <w:r w:rsidRPr="001827DA">
        <w:t>COMPLIANCE</w:t>
      </w:r>
      <w:bookmarkEnd w:id="473"/>
      <w:bookmarkEnd w:id="474"/>
      <w:bookmarkEnd w:id="475"/>
      <w:bookmarkEnd w:id="476"/>
      <w:bookmarkEnd w:id="477"/>
      <w:bookmarkEnd w:id="478"/>
      <w:bookmarkEnd w:id="479"/>
    </w:p>
    <w:p w:rsidR="00D81DAD" w:rsidRDefault="000C38A3" w:rsidP="002E61F2">
      <w:pPr>
        <w:pStyle w:val="GPSL2NumberedBoldHeading"/>
      </w:pPr>
      <w:r>
        <w:t xml:space="preserve">Compliance with Law </w:t>
      </w:r>
    </w:p>
    <w:p w:rsidR="00D81DAD" w:rsidRDefault="00F006F5" w:rsidP="002E61F2">
      <w:pPr>
        <w:pStyle w:val="GPSL3numberedclause"/>
      </w:pPr>
      <w:bookmarkStart w:id="480" w:name="_Ref365045409"/>
      <w:r w:rsidRPr="006875AD">
        <w:t>The Supplier shall comply with all applicable Law in connection with the performance of this Framework Agreement</w:t>
      </w:r>
      <w:bookmarkEnd w:id="480"/>
      <w:r w:rsidR="00A21C76">
        <w:t>.</w:t>
      </w:r>
    </w:p>
    <w:p w:rsidR="00D81DAD" w:rsidRDefault="00F006F5" w:rsidP="002E61F2">
      <w:pPr>
        <w:pStyle w:val="GPSL3numberedclause"/>
      </w:pPr>
      <w:r w:rsidRPr="006875AD">
        <w:t>In the event that the Supplier or the S</w:t>
      </w:r>
      <w:r>
        <w:t>upplier Personnel</w:t>
      </w:r>
      <w:r w:rsidRPr="006875AD">
        <w:t xml:space="preserve"> fails to comply with Clause </w:t>
      </w:r>
      <w:r w:rsidR="00F71B15">
        <w:fldChar w:fldCharType="begin"/>
      </w:r>
      <w:r w:rsidR="00A21C76">
        <w:instrText xml:space="preserve"> REF _Ref365045409 \w \h </w:instrText>
      </w:r>
      <w:r w:rsidR="00F71B15">
        <w:fldChar w:fldCharType="separate"/>
      </w:r>
      <w:r w:rsidR="00B3040B">
        <w:t>33.1.1</w:t>
      </w:r>
      <w:r w:rsidR="00F71B15">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p>
    <w:p w:rsidR="00D81DAD" w:rsidRDefault="001827DA" w:rsidP="002E61F2">
      <w:pPr>
        <w:pStyle w:val="GPSL2NumberedBoldHeading"/>
      </w:pPr>
      <w:bookmarkStart w:id="481" w:name="_Ref365046569"/>
      <w:r w:rsidRPr="001827DA">
        <w:t>Equality and Diversity</w:t>
      </w:r>
      <w:bookmarkEnd w:id="481"/>
    </w:p>
    <w:p w:rsidR="00D81DAD" w:rsidRDefault="001827DA" w:rsidP="002E61F2">
      <w:pPr>
        <w:pStyle w:val="GPSL3numberedclause"/>
      </w:pPr>
      <w:r w:rsidRPr="001827DA">
        <w:t>The Supplier shall:</w:t>
      </w:r>
    </w:p>
    <w:p w:rsidR="00D81DAD" w:rsidRDefault="001827DA" w:rsidP="007E2634">
      <w:pPr>
        <w:pStyle w:val="GPSL4numberedclause"/>
      </w:pPr>
      <w:r w:rsidRPr="001827DA">
        <w:t>perform its obligations under this Framework Agreement (including those in relation to the provision of the Services) in accordance with:</w:t>
      </w:r>
    </w:p>
    <w:p w:rsidR="005A0B1B" w:rsidRDefault="001827DA">
      <w:pPr>
        <w:pStyle w:val="GPSL5numberedclause"/>
        <w:ind w:left="3119" w:hanging="425"/>
      </w:pPr>
      <w:r w:rsidRPr="001827DA">
        <w:t>all applicable equality Law (whether in relation to race, sex, gender reassignment, religion or belief, disability, sexual orientation, pregnancy, maternity, age or otherwise); and</w:t>
      </w:r>
    </w:p>
    <w:p w:rsidR="005A0B1B" w:rsidRDefault="001827DA">
      <w:pPr>
        <w:pStyle w:val="GPSL5numberedclause"/>
        <w:ind w:left="3119" w:hanging="425"/>
      </w:pPr>
      <w:r w:rsidRPr="001827DA">
        <w:lastRenderedPageBreak/>
        <w:t xml:space="preserve">any other requirements and instructions which the Authority reasonably imposes in connection with any equality obligations imposed on the Authority at any time under applicable equality Law; </w:t>
      </w:r>
    </w:p>
    <w:p w:rsidR="00D81DAD" w:rsidRDefault="001827DA" w:rsidP="007E26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rsidR="00D81DAD" w:rsidRDefault="001827DA" w:rsidP="002E61F2">
      <w:pPr>
        <w:pStyle w:val="GPSL2NumberedBoldHeading"/>
      </w:pPr>
      <w:r w:rsidRPr="001827DA">
        <w:t>Official</w:t>
      </w:r>
      <w:r w:rsidR="000C38A3" w:rsidRPr="007758EB">
        <w:t xml:space="preserve"> Secrets Act and Finance Act</w:t>
      </w:r>
    </w:p>
    <w:p w:rsidR="00D81DAD" w:rsidRDefault="000C38A3" w:rsidP="002E61F2">
      <w:pPr>
        <w:pStyle w:val="GPSL3numberedclause"/>
      </w:pPr>
      <w:r w:rsidRPr="00432F4A">
        <w:t>The Supplier shall comply with the provisions of:</w:t>
      </w:r>
    </w:p>
    <w:p w:rsidR="00D81DAD" w:rsidRDefault="000C38A3" w:rsidP="007E2634">
      <w:pPr>
        <w:pStyle w:val="GPSL4numberedclause"/>
      </w:pPr>
      <w:r w:rsidRPr="00CC0940">
        <w:t>the Official Secrets Acts 1911 to 1989; and</w:t>
      </w:r>
    </w:p>
    <w:p w:rsidR="00D81DAD" w:rsidRDefault="000C38A3" w:rsidP="007E2634">
      <w:pPr>
        <w:pStyle w:val="GPSL4numberedclause"/>
      </w:pPr>
      <w:r>
        <w:t>s</w:t>
      </w:r>
      <w:r w:rsidRPr="00CC0940">
        <w:t>ection</w:t>
      </w:r>
      <w:r>
        <w:t> </w:t>
      </w:r>
      <w:r w:rsidRPr="00CC0940">
        <w:t>182 of the Finance Act 1989.</w:t>
      </w:r>
    </w:p>
    <w:p w:rsidR="00D81DAD" w:rsidRDefault="001827DA" w:rsidP="002E61F2">
      <w:pPr>
        <w:pStyle w:val="GPSL1CLAUSEHEADING"/>
      </w:pPr>
      <w:bookmarkStart w:id="482" w:name="_Toc366085167"/>
      <w:bookmarkStart w:id="483" w:name="_Toc379488060"/>
      <w:bookmarkStart w:id="484" w:name="_Toc380052164"/>
      <w:bookmarkStart w:id="485" w:name="_Toc380052674"/>
      <w:bookmarkStart w:id="486" w:name="_Toc391545359"/>
      <w:r w:rsidRPr="001827DA">
        <w:t>ASSIGNMENT AND NOVATION</w:t>
      </w:r>
      <w:bookmarkEnd w:id="482"/>
      <w:bookmarkEnd w:id="483"/>
      <w:bookmarkEnd w:id="484"/>
      <w:bookmarkEnd w:id="485"/>
      <w:bookmarkEnd w:id="486"/>
    </w:p>
    <w:p w:rsidR="00D81DAD" w:rsidRDefault="00650D45" w:rsidP="002E61F2">
      <w:pPr>
        <w:pStyle w:val="GPSL2Numbered"/>
      </w:pPr>
      <w:r>
        <w:t>T</w:t>
      </w:r>
      <w:r w:rsidRPr="003A5E12">
        <w:t xml:space="preserve">he Supplier shall not assign, </w:t>
      </w:r>
      <w:proofErr w:type="spellStart"/>
      <w:r w:rsidRPr="003A5E12">
        <w:t>novate</w:t>
      </w:r>
      <w:proofErr w:type="spellEnd"/>
      <w:r w:rsidRPr="003A5E12">
        <w:t xml:space="preserv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650D45" w:rsidP="002E61F2">
      <w:pPr>
        <w:pStyle w:val="GPSL2Numbered"/>
      </w:pPr>
      <w:bookmarkStart w:id="487" w:name="_Ref365046006"/>
      <w:r>
        <w:t>T</w:t>
      </w:r>
      <w:r w:rsidRPr="003A5E12">
        <w:t xml:space="preserve">he </w:t>
      </w:r>
      <w:r>
        <w:t>Authority</w:t>
      </w:r>
      <w:r w:rsidRPr="003A5E12">
        <w:t xml:space="preserve"> may assign, </w:t>
      </w:r>
      <w:proofErr w:type="spellStart"/>
      <w:r w:rsidRPr="003A5E12">
        <w:t>novate</w:t>
      </w:r>
      <w:proofErr w:type="spellEnd"/>
      <w:r w:rsidRPr="003A5E12">
        <w:t xml:space="preserv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87"/>
    </w:p>
    <w:p w:rsidR="00D81DAD" w:rsidRDefault="00501B9C" w:rsidP="002E61F2">
      <w:pPr>
        <w:pStyle w:val="GPSL3numberedclause"/>
      </w:pPr>
      <w:r>
        <w:t xml:space="preserve"> any O</w:t>
      </w:r>
      <w:r w:rsidRPr="003A5E12">
        <w:t xml:space="preserve">ther </w:t>
      </w:r>
      <w:r w:rsidR="00650D45" w:rsidRPr="003A5E12">
        <w:t>Contracting Body; or</w:t>
      </w:r>
    </w:p>
    <w:p w:rsidR="00D81DAD" w:rsidRDefault="00650D45" w:rsidP="002E61F2">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rsidR="00D81DAD" w:rsidRDefault="00650D45" w:rsidP="002E61F2">
      <w:pPr>
        <w:pStyle w:val="GPSL3numberedclause"/>
      </w:pPr>
      <w:r w:rsidRPr="00B07F29">
        <w:t>any</w:t>
      </w:r>
      <w:r w:rsidRPr="003A5E12">
        <w:t xml:space="preserve"> private sector body which substantially performs the functions of the </w:t>
      </w:r>
      <w:r>
        <w:t>Authority</w:t>
      </w:r>
      <w:r w:rsidRPr="003A5E12">
        <w:t xml:space="preserve">, </w:t>
      </w:r>
    </w:p>
    <w:p w:rsidR="00D81DAD" w:rsidRDefault="00650D4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F71B15">
        <w:fldChar w:fldCharType="begin"/>
      </w:r>
      <w:r w:rsidR="00B25F1E">
        <w:instrText xml:space="preserve"> REF _Ref365046006 \w \h </w:instrText>
      </w:r>
      <w:r w:rsidR="00F71B15">
        <w:fldChar w:fldCharType="separate"/>
      </w:r>
      <w:r w:rsidR="00B3040B">
        <w:t>34.2</w:t>
      </w:r>
      <w:r w:rsidR="00F71B15">
        <w:fldChar w:fldCharType="end"/>
      </w:r>
      <w:r>
        <w:t>.</w:t>
      </w:r>
    </w:p>
    <w:p w:rsidR="00D81DAD" w:rsidRDefault="00650D45" w:rsidP="002E61F2">
      <w:pPr>
        <w:pStyle w:val="GPSL2Numbered"/>
      </w:pPr>
      <w:r w:rsidRPr="00CF23B4">
        <w:t xml:space="preserve">A change in the legal status of the </w:t>
      </w:r>
      <w:r>
        <w:t>Authority</w:t>
      </w:r>
      <w:r w:rsidRPr="00CF23B4">
        <w:t xml:space="preserve"> such that it ceases to be a Contracting Body shall not, subject to Clause </w:t>
      </w:r>
      <w:r w:rsidR="00F71B15">
        <w:fldChar w:fldCharType="begin"/>
      </w:r>
      <w:r w:rsidR="00B25F1E">
        <w:instrText xml:space="preserve"> REF _Ref365046022 \w \h </w:instrText>
      </w:r>
      <w:r w:rsidR="00F71B15">
        <w:fldChar w:fldCharType="separate"/>
      </w:r>
      <w:r w:rsidR="00B3040B">
        <w:t>34.4</w:t>
      </w:r>
      <w:r w:rsidR="00F71B15">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rsidR="00D81DAD" w:rsidRDefault="00650D45" w:rsidP="002E61F2">
      <w:pPr>
        <w:pStyle w:val="GPSL2Numbered"/>
      </w:pPr>
      <w:bookmarkStart w:id="488" w:name="_Ref365046022"/>
      <w:r w:rsidRPr="00CF23B4">
        <w:t xml:space="preserve">If the </w:t>
      </w:r>
      <w:r>
        <w:t>Authority</w:t>
      </w:r>
      <w:r w:rsidRPr="00CF23B4">
        <w:t xml:space="preserve"> assigns, </w:t>
      </w:r>
      <w:proofErr w:type="spellStart"/>
      <w:r w:rsidRPr="00CF23B4">
        <w:t>novates</w:t>
      </w:r>
      <w:proofErr w:type="spellEnd"/>
      <w:r w:rsidRPr="00CF23B4">
        <w:t xml:space="preserve"> or otherwise disposes of any of its rights, obligations or liabilities under this </w:t>
      </w:r>
      <w:r>
        <w:t>Framework Agreement</w:t>
      </w:r>
      <w:r w:rsidRPr="00CF23B4">
        <w:t xml:space="preserve"> to a body which</w:t>
      </w:r>
      <w:r w:rsidRPr="003A5E12">
        <w:t xml:space="preserve"> is not a Contracting Body or</w:t>
      </w:r>
      <w:r>
        <w:t xml:space="preserve"> if a body which is not a Contracting Body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F71B15">
        <w:fldChar w:fldCharType="begin"/>
      </w:r>
      <w:r w:rsidR="00B25F1E">
        <w:instrText xml:space="preserve"> REF _Ref365046076 \w \h </w:instrText>
      </w:r>
      <w:r w:rsidR="00F71B15">
        <w:fldChar w:fldCharType="separate"/>
      </w:r>
      <w:r w:rsidR="00B3040B">
        <w:t>30.4</w:t>
      </w:r>
      <w:r w:rsidR="00F71B15">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F71B15">
        <w:fldChar w:fldCharType="begin"/>
      </w:r>
      <w:r w:rsidR="00B25F1E">
        <w:instrText xml:space="preserve"> REF _Ref365046076 \w \h </w:instrText>
      </w:r>
      <w:r w:rsidR="00F71B15">
        <w:fldChar w:fldCharType="separate"/>
      </w:r>
      <w:r w:rsidR="00B3040B">
        <w:t>30.4</w:t>
      </w:r>
      <w:r w:rsidR="00F71B15">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488"/>
    </w:p>
    <w:p w:rsidR="00D81DAD" w:rsidRDefault="001827DA" w:rsidP="002E61F2">
      <w:pPr>
        <w:pStyle w:val="GPSL1CLAUSEHEADING"/>
      </w:pPr>
      <w:bookmarkStart w:id="489" w:name="_Toc365027216"/>
      <w:bookmarkStart w:id="490" w:name="_Toc365027305"/>
      <w:bookmarkStart w:id="491" w:name="_Toc365027513"/>
      <w:bookmarkStart w:id="492" w:name="_Toc365027597"/>
      <w:bookmarkStart w:id="493" w:name="_Toc365359226"/>
      <w:bookmarkStart w:id="494" w:name="_Toc365370798"/>
      <w:bookmarkStart w:id="495" w:name="_Toc365371023"/>
      <w:bookmarkStart w:id="496" w:name="_Toc365371123"/>
      <w:bookmarkStart w:id="497" w:name="_Toc365371222"/>
      <w:bookmarkStart w:id="498" w:name="_Toc365373752"/>
      <w:bookmarkStart w:id="499" w:name="_Toc365373847"/>
      <w:bookmarkStart w:id="500" w:name="_Toc365373944"/>
      <w:bookmarkStart w:id="501" w:name="_Ref365043829"/>
      <w:bookmarkStart w:id="502" w:name="_Toc366085168"/>
      <w:bookmarkStart w:id="503" w:name="_Toc379488061"/>
      <w:bookmarkStart w:id="504" w:name="_Toc380052165"/>
      <w:bookmarkStart w:id="505" w:name="_Toc380052675"/>
      <w:bookmarkStart w:id="506" w:name="_Toc391545360"/>
      <w:bookmarkEnd w:id="489"/>
      <w:bookmarkEnd w:id="490"/>
      <w:bookmarkEnd w:id="491"/>
      <w:bookmarkEnd w:id="492"/>
      <w:bookmarkEnd w:id="493"/>
      <w:bookmarkEnd w:id="494"/>
      <w:bookmarkEnd w:id="495"/>
      <w:bookmarkEnd w:id="496"/>
      <w:bookmarkEnd w:id="497"/>
      <w:bookmarkEnd w:id="498"/>
      <w:bookmarkEnd w:id="499"/>
      <w:bookmarkEnd w:id="500"/>
      <w:r w:rsidRPr="001827DA">
        <w:t>WAIVER AND CUMULATIVE REMEDIES</w:t>
      </w:r>
      <w:bookmarkEnd w:id="501"/>
      <w:bookmarkEnd w:id="502"/>
      <w:bookmarkEnd w:id="503"/>
      <w:bookmarkEnd w:id="504"/>
      <w:bookmarkEnd w:id="505"/>
      <w:bookmarkEnd w:id="506"/>
    </w:p>
    <w:p w:rsidR="00D81DAD" w:rsidRDefault="00650D45" w:rsidP="002E61F2">
      <w:pPr>
        <w:pStyle w:val="GPSL2Numbered"/>
      </w:pPr>
      <w:r w:rsidRPr="00893741">
        <w:lastRenderedPageBreak/>
        <w:t xml:space="preserve">The rights and remedies under this </w:t>
      </w:r>
      <w:r w:rsidRPr="006875AD">
        <w:t xml:space="preserve">Framework Agreement </w:t>
      </w:r>
      <w:r w:rsidRPr="00893741">
        <w:t xml:space="preserve">may be waived only by notice in accordance with Clause </w:t>
      </w:r>
      <w:r w:rsidR="00F71B15">
        <w:fldChar w:fldCharType="begin"/>
      </w:r>
      <w:r w:rsidR="009D5B11">
        <w:instrText xml:space="preserve"> REF _Ref365044592 \w \h </w:instrText>
      </w:r>
      <w:r w:rsidR="00F71B15">
        <w:fldChar w:fldCharType="separate"/>
      </w:r>
      <w:r w:rsidR="00B3040B">
        <w:t>43</w:t>
      </w:r>
      <w:r w:rsidR="00F71B15">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2E61F2">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2E61F2">
      <w:pPr>
        <w:pStyle w:val="GPSL1CLAUSEHEADING"/>
      </w:pPr>
      <w:bookmarkStart w:id="507" w:name="_Toc366085169"/>
      <w:bookmarkStart w:id="508" w:name="_Toc379488062"/>
      <w:bookmarkStart w:id="509" w:name="_Toc380052166"/>
      <w:bookmarkStart w:id="510" w:name="_Toc380052676"/>
      <w:bookmarkStart w:id="511" w:name="_Toc391545361"/>
      <w:r w:rsidRPr="001827DA">
        <w:t>RELATIONSHIP OF THE PARTIES</w:t>
      </w:r>
      <w:bookmarkEnd w:id="507"/>
      <w:bookmarkEnd w:id="508"/>
      <w:bookmarkEnd w:id="509"/>
      <w:bookmarkEnd w:id="510"/>
      <w:bookmarkEnd w:id="511"/>
    </w:p>
    <w:p w:rsidR="00D81DAD" w:rsidRDefault="00650D45" w:rsidP="002E61F2">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2E61F2">
      <w:pPr>
        <w:pStyle w:val="GPSL1CLAUSEHEADING"/>
      </w:pPr>
      <w:bookmarkStart w:id="512" w:name="_Ref313370082"/>
      <w:bookmarkStart w:id="513" w:name="_Toc314810826"/>
      <w:bookmarkStart w:id="514" w:name="_Toc350503052"/>
      <w:bookmarkStart w:id="515" w:name="_Toc350504042"/>
      <w:bookmarkStart w:id="516" w:name="_Toc350507957"/>
      <w:bookmarkStart w:id="517" w:name="_Ref358669629"/>
      <w:bookmarkStart w:id="518" w:name="_Toc358671805"/>
      <w:bookmarkStart w:id="519" w:name="_Toc366085170"/>
      <w:bookmarkStart w:id="520" w:name="_Toc379488063"/>
      <w:bookmarkStart w:id="521" w:name="_Toc380052167"/>
      <w:bookmarkStart w:id="522" w:name="_Toc380052677"/>
      <w:bookmarkStart w:id="523" w:name="_Toc391545362"/>
      <w:bookmarkStart w:id="524" w:name="_Ref311652417"/>
      <w:bookmarkStart w:id="525" w:name="_Toc335385411"/>
      <w:bookmarkStart w:id="526" w:name="_Toc348637112"/>
      <w:bookmarkStart w:id="527" w:name="_Toc354740841"/>
      <w:r w:rsidRPr="001827DA">
        <w:t>PREVENTION OF FRAUD</w:t>
      </w:r>
      <w:bookmarkEnd w:id="512"/>
      <w:bookmarkEnd w:id="513"/>
      <w:bookmarkEnd w:id="514"/>
      <w:bookmarkEnd w:id="515"/>
      <w:bookmarkEnd w:id="516"/>
      <w:r w:rsidRPr="001827DA">
        <w:t xml:space="preserve"> AND BRIBERY</w:t>
      </w:r>
      <w:bookmarkEnd w:id="517"/>
      <w:bookmarkEnd w:id="518"/>
      <w:bookmarkEnd w:id="519"/>
      <w:bookmarkEnd w:id="520"/>
      <w:bookmarkEnd w:id="521"/>
      <w:bookmarkEnd w:id="522"/>
      <w:bookmarkEnd w:id="523"/>
    </w:p>
    <w:p w:rsidR="00D81DAD" w:rsidRDefault="00C8068C" w:rsidP="002E61F2">
      <w:pPr>
        <w:pStyle w:val="GPSL2Numbered"/>
      </w:pPr>
      <w:bookmarkStart w:id="528" w:name="_Ref360700144"/>
      <w:bookmarkStart w:id="529"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528"/>
    </w:p>
    <w:p w:rsidR="00D81DAD" w:rsidRDefault="00C8068C" w:rsidP="002E61F2">
      <w:pPr>
        <w:pStyle w:val="GPSL3numberedclause"/>
      </w:pPr>
      <w:r w:rsidRPr="00CB4324">
        <w:t>committed a Prohibited Act or been formally notified that it is subject to an investigation or prosecution which relates to an alleged Prohibited Act; and/or</w:t>
      </w:r>
    </w:p>
    <w:p w:rsidR="00D81DAD" w:rsidRDefault="00B25F1E" w:rsidP="002E61F2">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2E61F2">
      <w:pPr>
        <w:pStyle w:val="GPSL2Numbered"/>
      </w:pPr>
      <w:r w:rsidRPr="00893741">
        <w:t xml:space="preserve">The Supplier shall not during the </w:t>
      </w:r>
      <w:r w:rsidR="002E30D8">
        <w:t xml:space="preserve">Framework </w:t>
      </w:r>
      <w:r w:rsidRPr="00893741">
        <w:t>Period:</w:t>
      </w:r>
      <w:bookmarkEnd w:id="529"/>
      <w:r w:rsidRPr="00893741">
        <w:t xml:space="preserve"> </w:t>
      </w:r>
    </w:p>
    <w:p w:rsidR="00D81DAD" w:rsidRDefault="00234AF3" w:rsidP="002E61F2">
      <w:pPr>
        <w:pStyle w:val="GPSL3numberedclause"/>
      </w:pPr>
      <w:r w:rsidRPr="00893741">
        <w:t>commit a Prohibited Act; and/or</w:t>
      </w:r>
    </w:p>
    <w:p w:rsidR="00D81DAD" w:rsidRDefault="00234AF3" w:rsidP="002E61F2">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rsidR="00D81DAD" w:rsidRDefault="00234AF3" w:rsidP="002E61F2">
      <w:pPr>
        <w:pStyle w:val="GPSL2Numbered"/>
      </w:pPr>
      <w:bookmarkStart w:id="530" w:name="_Ref358670054"/>
      <w:r w:rsidRPr="00893741">
        <w:t xml:space="preserve">The Supplier shall during the </w:t>
      </w:r>
      <w:r w:rsidR="00D55875">
        <w:t xml:space="preserve">Framework </w:t>
      </w:r>
      <w:r w:rsidRPr="00893741">
        <w:t>Period:</w:t>
      </w:r>
      <w:bookmarkEnd w:id="530"/>
    </w:p>
    <w:p w:rsidR="00D81DAD" w:rsidRDefault="00234AF3" w:rsidP="002E61F2">
      <w:pPr>
        <w:pStyle w:val="GPSL3numberedclause"/>
      </w:pPr>
      <w:bookmarkStart w:id="531" w:name="_Ref358669575"/>
      <w:r w:rsidRPr="00893741">
        <w:t>establish, maintain and enforce, and require that its Sub-Contractors establish, maintain and enforce, policies and procedures which are adequate to ensure compliance with the Relevant Requirements and prevent the occurrence of a Prohibited Act;</w:t>
      </w:r>
      <w:bookmarkEnd w:id="531"/>
      <w:r w:rsidRPr="00893741">
        <w:t xml:space="preserve"> </w:t>
      </w:r>
    </w:p>
    <w:p w:rsidR="00D81DAD" w:rsidRDefault="00234AF3" w:rsidP="002E61F2">
      <w:pPr>
        <w:pStyle w:val="GPSL3numberedclause"/>
      </w:pPr>
      <w:r w:rsidRPr="00893741">
        <w:t>keep appropriate records of its compliance with its obligations under Clause </w:t>
      </w:r>
      <w:r w:rsidR="000822F5">
        <w:fldChar w:fldCharType="begin"/>
      </w:r>
      <w:r w:rsidR="000822F5">
        <w:instrText xml:space="preserve"> REF _Ref358669575 \r \h  \* MERGEFORMAT </w:instrText>
      </w:r>
      <w:r w:rsidR="000822F5">
        <w:fldChar w:fldCharType="separate"/>
      </w:r>
      <w:r w:rsidR="00B3040B">
        <w:t>37.3.1</w:t>
      </w:r>
      <w:r w:rsidR="000822F5">
        <w:fldChar w:fldCharType="end"/>
      </w:r>
      <w:r w:rsidRPr="00893741">
        <w:t xml:space="preserve"> and make such records available to the Authority on request;</w:t>
      </w:r>
    </w:p>
    <w:p w:rsidR="00D81DAD" w:rsidRDefault="00234AF3" w:rsidP="002E61F2">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F71B15">
        <w:lastRenderedPageBreak/>
        <w:fldChar w:fldCharType="begin"/>
      </w:r>
      <w:r w:rsidR="0082150D">
        <w:instrText xml:space="preserve"> REF _Ref358670054 \w \h </w:instrText>
      </w:r>
      <w:r w:rsidR="00F71B15">
        <w:fldChar w:fldCharType="separate"/>
      </w:r>
      <w:r w:rsidR="00B3040B">
        <w:t>37.3</w:t>
      </w:r>
      <w:r w:rsidR="00F71B15">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rsidR="00D81DAD" w:rsidRDefault="00234AF3" w:rsidP="002E61F2">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rsidR="00D81DAD" w:rsidRDefault="00234AF3" w:rsidP="002E61F2">
      <w:pPr>
        <w:pStyle w:val="GPSL2Numbered"/>
      </w:pPr>
      <w:bookmarkStart w:id="532" w:name="_Ref358669929"/>
      <w:bookmarkStart w:id="533"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0822F5">
        <w:fldChar w:fldCharType="begin"/>
      </w:r>
      <w:r w:rsidR="000822F5">
        <w:instrText xml:space="preserve"> REF _Ref358669852 \r \h  \* MERGEFORMAT </w:instrText>
      </w:r>
      <w:r w:rsidR="000822F5">
        <w:fldChar w:fldCharType="separate"/>
      </w:r>
      <w:r w:rsidR="00B3040B">
        <w:t>37.1</w:t>
      </w:r>
      <w:r w:rsidR="000822F5">
        <w:fldChar w:fldCharType="end"/>
      </w:r>
      <w:r w:rsidRPr="00893741">
        <w:t xml:space="preserve">, or has reason to believe that it has or any of the </w:t>
      </w:r>
      <w:r>
        <w:t>Supplier Personnel</w:t>
      </w:r>
      <w:r w:rsidRPr="00893741">
        <w:t xml:space="preserve"> ha</w:t>
      </w:r>
      <w:bookmarkEnd w:id="532"/>
      <w:r w:rsidR="00FB1DDD">
        <w:t>s</w:t>
      </w:r>
      <w:r w:rsidRPr="00893741">
        <w:t>:</w:t>
      </w:r>
      <w:bookmarkEnd w:id="533"/>
    </w:p>
    <w:p w:rsidR="00D81DAD" w:rsidRDefault="00234AF3" w:rsidP="002E61F2">
      <w:pPr>
        <w:pStyle w:val="GPSL3numberedclause"/>
      </w:pPr>
      <w:r w:rsidRPr="00893741">
        <w:t>been subject to an investigation or prosecution which relates to an alleged Prohibited Act;</w:t>
      </w:r>
    </w:p>
    <w:p w:rsidR="00D81DAD" w:rsidRDefault="00234AF3" w:rsidP="002E61F2">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rsidR="00D81DAD" w:rsidRDefault="00234AF3" w:rsidP="002E61F2">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D81DAD" w:rsidRDefault="00234AF3" w:rsidP="002E61F2">
      <w:pPr>
        <w:pStyle w:val="GPSL2Numbered"/>
      </w:pPr>
      <w:r w:rsidRPr="00893741">
        <w:t xml:space="preserve">If the Supplier makes a notification to the </w:t>
      </w:r>
      <w:r w:rsidR="00333351">
        <w:t>Authority</w:t>
      </w:r>
      <w:r w:rsidRPr="00893741">
        <w:t xml:space="preserve"> pursuant to Clause </w:t>
      </w:r>
      <w:r w:rsidR="000822F5">
        <w:fldChar w:fldCharType="begin"/>
      </w:r>
      <w:r w:rsidR="000822F5">
        <w:instrText xml:space="preserve"> REF _Ref358669929 \r \h  \* MERGEFORMAT </w:instrText>
      </w:r>
      <w:r w:rsidR="000822F5">
        <w:fldChar w:fldCharType="separate"/>
      </w:r>
      <w:r w:rsidR="00B3040B">
        <w:t>37.4</w:t>
      </w:r>
      <w:r w:rsidR="000822F5">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F71B15">
        <w:fldChar w:fldCharType="begin"/>
      </w:r>
      <w:r w:rsidR="008B633B">
        <w:instrText xml:space="preserve"> REF _Ref365017299 \r \h </w:instrText>
      </w:r>
      <w:r w:rsidR="00F71B15">
        <w:fldChar w:fldCharType="separate"/>
      </w:r>
      <w:r w:rsidR="00B3040B">
        <w:t>15</w:t>
      </w:r>
      <w:r w:rsidR="00F71B15">
        <w:fldChar w:fldCharType="end"/>
      </w:r>
      <w:r w:rsidR="008B633B">
        <w:t xml:space="preserve"> </w:t>
      </w:r>
      <w:r w:rsidRPr="00893741">
        <w:t>(</w:t>
      </w:r>
      <w:r w:rsidR="008B633B">
        <w:t>Records, Audit Access and Open Book Data</w:t>
      </w:r>
      <w:r w:rsidRPr="00893741">
        <w:t>).</w:t>
      </w:r>
    </w:p>
    <w:p w:rsidR="00D81DAD" w:rsidRDefault="00234AF3" w:rsidP="002E61F2">
      <w:pPr>
        <w:pStyle w:val="GPSL2Numbered"/>
      </w:pPr>
      <w:bookmarkStart w:id="534" w:name="_Ref358670290"/>
      <w:r w:rsidRPr="00893741">
        <w:t>If the Supplier breaches Clause </w:t>
      </w:r>
      <w:r w:rsidR="000822F5">
        <w:fldChar w:fldCharType="begin"/>
      </w:r>
      <w:r w:rsidR="000822F5">
        <w:instrText xml:space="preserve"> REF _Ref358669852 \r \h  \* MERGEFORMAT </w:instrText>
      </w:r>
      <w:r w:rsidR="000822F5">
        <w:fldChar w:fldCharType="separate"/>
      </w:r>
      <w:r w:rsidR="00B3040B">
        <w:t>37.1</w:t>
      </w:r>
      <w:r w:rsidR="000822F5">
        <w:fldChar w:fldCharType="end"/>
      </w:r>
      <w:r w:rsidRPr="00893741">
        <w:t xml:space="preserve">, the </w:t>
      </w:r>
      <w:r w:rsidR="00333351">
        <w:t>Authority</w:t>
      </w:r>
      <w:r w:rsidRPr="00893741">
        <w:t xml:space="preserve"> may by notice:</w:t>
      </w:r>
      <w:bookmarkEnd w:id="534"/>
    </w:p>
    <w:p w:rsidR="00D81DAD" w:rsidRDefault="00234AF3" w:rsidP="002E61F2">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2E61F2">
      <w:pPr>
        <w:pStyle w:val="GPSL3numberedclause"/>
      </w:pPr>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p>
    <w:p w:rsidR="00D81DAD" w:rsidRDefault="00333351" w:rsidP="002E61F2">
      <w:pPr>
        <w:pStyle w:val="GPSL2Numbered"/>
      </w:pPr>
      <w:r>
        <w:tab/>
      </w:r>
      <w:r w:rsidR="00234AF3" w:rsidRPr="00333351">
        <w:t xml:space="preserve">Any notice served by the </w:t>
      </w:r>
      <w:r>
        <w:t>Authority</w:t>
      </w:r>
      <w:r w:rsidR="00234AF3" w:rsidRPr="00333351">
        <w:t xml:space="preserve"> under Clause </w:t>
      </w:r>
      <w:r w:rsidR="000822F5">
        <w:fldChar w:fldCharType="begin"/>
      </w:r>
      <w:r w:rsidR="000822F5">
        <w:instrText xml:space="preserve"> REF _Ref358670290 \r \h  \* MERGEFORMAT </w:instrText>
      </w:r>
      <w:r w:rsidR="000822F5">
        <w:fldChar w:fldCharType="separate"/>
      </w:r>
      <w:r w:rsidR="00B3040B">
        <w:t>37.6</w:t>
      </w:r>
      <w:r w:rsidR="000822F5">
        <w:fldChar w:fldCharType="end"/>
      </w:r>
      <w:r w:rsidR="00234AF3" w:rsidRPr="00333351">
        <w:t xml:space="preserve"> shall specify the nature of the Prohibited Act, the identity of the Party who the </w:t>
      </w:r>
      <w:r>
        <w:t>Authority</w:t>
      </w:r>
      <w:r w:rsidR="00234AF3" w:rsidRPr="00333351">
        <w:t xml:space="preserve"> believes has committed the Prohibited Act and the action that the </w:t>
      </w:r>
      <w:r>
        <w:t>Authority</w:t>
      </w:r>
      <w:r w:rsidR="00234AF3" w:rsidRPr="00333351">
        <w:t xml:space="preserve"> has elected to take (including, where relevant, the date on which this </w:t>
      </w:r>
      <w:r w:rsidR="00DE0602">
        <w:t>Framework Agreement</w:t>
      </w:r>
      <w:r w:rsidR="00234AF3" w:rsidRPr="00333351">
        <w:t xml:space="preserve"> shall terminate).</w:t>
      </w:r>
    </w:p>
    <w:p w:rsidR="00D81DAD" w:rsidRDefault="001827DA" w:rsidP="002E61F2">
      <w:pPr>
        <w:pStyle w:val="GPSL1CLAUSEHEADING"/>
      </w:pPr>
      <w:bookmarkStart w:id="535" w:name="_Ref365038221"/>
      <w:bookmarkStart w:id="536" w:name="_Toc366085171"/>
      <w:bookmarkStart w:id="537" w:name="_Toc379488064"/>
      <w:bookmarkStart w:id="538" w:name="_Toc380052168"/>
      <w:bookmarkStart w:id="539" w:name="_Toc380052678"/>
      <w:bookmarkStart w:id="540" w:name="_Toc391545363"/>
      <w:r w:rsidRPr="001827DA">
        <w:t>CONFLICTS OF INTEREST</w:t>
      </w:r>
      <w:bookmarkEnd w:id="535"/>
      <w:bookmarkEnd w:id="536"/>
      <w:bookmarkEnd w:id="537"/>
      <w:bookmarkEnd w:id="538"/>
      <w:bookmarkEnd w:id="539"/>
      <w:bookmarkEnd w:id="540"/>
    </w:p>
    <w:p w:rsidR="00D81DAD" w:rsidRDefault="00650D45" w:rsidP="002E61F2">
      <w:pPr>
        <w:pStyle w:val="GPSL2Numbered"/>
      </w:pPr>
      <w:bookmarkStart w:id="541"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Bodies under the provisions of this Framework Agreement or any Call Off Agreement.</w:t>
      </w:r>
      <w:bookmarkEnd w:id="541"/>
    </w:p>
    <w:p w:rsidR="00D81DAD" w:rsidRDefault="00650D45" w:rsidP="002E61F2">
      <w:pPr>
        <w:pStyle w:val="GPSL2Numbered"/>
      </w:pPr>
      <w:r w:rsidRPr="006875AD">
        <w:lastRenderedPageBreak/>
        <w:t>The Supplier shall promptly notify and provide full particulars to the Authority or the relevant Other Contracting Body if such conflict referred to in Clause </w:t>
      </w:r>
      <w:r w:rsidR="00F71B15">
        <w:fldChar w:fldCharType="begin"/>
      </w:r>
      <w:r w:rsidR="0082150D">
        <w:instrText xml:space="preserve"> REF _Ref365046415 \w \h </w:instrText>
      </w:r>
      <w:r w:rsidR="00F71B15">
        <w:fldChar w:fldCharType="separate"/>
      </w:r>
      <w:r w:rsidR="00B3040B">
        <w:t>38.1</w:t>
      </w:r>
      <w:r w:rsidR="00F71B15">
        <w:fldChar w:fldCharType="end"/>
      </w:r>
      <w:r w:rsidR="0082150D">
        <w:t xml:space="preserve"> </w:t>
      </w:r>
      <w:r w:rsidRPr="006875AD">
        <w:t>arises or may reasonably been foreseen as arising.</w:t>
      </w:r>
    </w:p>
    <w:p w:rsidR="00D81DAD" w:rsidRDefault="00650D45" w:rsidP="002E61F2">
      <w:pPr>
        <w:pStyle w:val="GPSL2Numbered"/>
      </w:pPr>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p>
    <w:p w:rsidR="00D81DAD" w:rsidRDefault="001827DA" w:rsidP="002E61F2">
      <w:pPr>
        <w:pStyle w:val="GPSL1CLAUSEHEADING"/>
      </w:pPr>
      <w:bookmarkStart w:id="542" w:name="_Ref365043770"/>
      <w:bookmarkStart w:id="543" w:name="_Ref365046459"/>
      <w:bookmarkStart w:id="544" w:name="_Toc366085172"/>
      <w:bookmarkStart w:id="545" w:name="_Toc379488065"/>
      <w:bookmarkStart w:id="546" w:name="_Toc380052169"/>
      <w:bookmarkStart w:id="547" w:name="_Toc380052679"/>
      <w:bookmarkStart w:id="548" w:name="_Toc391545364"/>
      <w:r w:rsidRPr="001827DA">
        <w:t>SEVERANCE</w:t>
      </w:r>
      <w:bookmarkEnd w:id="542"/>
      <w:bookmarkEnd w:id="543"/>
      <w:bookmarkEnd w:id="544"/>
      <w:bookmarkEnd w:id="545"/>
      <w:bookmarkEnd w:id="546"/>
      <w:bookmarkEnd w:id="547"/>
      <w:bookmarkEnd w:id="548"/>
    </w:p>
    <w:p w:rsidR="00D81DAD" w:rsidRDefault="00650D45" w:rsidP="002E61F2">
      <w:pPr>
        <w:pStyle w:val="GPSL2Numbered"/>
      </w:pPr>
      <w:bookmarkStart w:id="549"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49"/>
    </w:p>
    <w:p w:rsidR="00D81DAD" w:rsidRDefault="00650D45" w:rsidP="002E61F2">
      <w:pPr>
        <w:pStyle w:val="GPSL2Numbered"/>
      </w:pPr>
      <w:bookmarkStart w:id="550" w:name="_Ref365046449"/>
      <w:r w:rsidRPr="00893741">
        <w:t>In the event that any deemed deletion under Clause </w:t>
      </w:r>
      <w:r w:rsidR="00F71B15">
        <w:fldChar w:fldCharType="begin"/>
      </w:r>
      <w:r w:rsidR="0082150D">
        <w:instrText xml:space="preserve"> REF _Ref365046440 \w \h </w:instrText>
      </w:r>
      <w:r w:rsidR="00F71B15">
        <w:fldChar w:fldCharType="separate"/>
      </w:r>
      <w:r w:rsidR="00B3040B">
        <w:t>39.1</w:t>
      </w:r>
      <w:r w:rsidR="00F71B15">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50"/>
    </w:p>
    <w:p w:rsidR="00D81DAD" w:rsidRDefault="00650D45" w:rsidP="002E61F2">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F71B15">
        <w:fldChar w:fldCharType="begin"/>
      </w:r>
      <w:r w:rsidR="0082150D">
        <w:instrText xml:space="preserve"> REF _Ref365046449 \w \h </w:instrText>
      </w:r>
      <w:r w:rsidR="00F71B15">
        <w:fldChar w:fldCharType="separate"/>
      </w:r>
      <w:r w:rsidR="00B3040B">
        <w:t>39.2</w:t>
      </w:r>
      <w:r w:rsidR="00F71B15">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F71B15">
        <w:fldChar w:fldCharType="begin"/>
      </w:r>
      <w:r w:rsidR="0082150D">
        <w:instrText xml:space="preserve"> REF _Ref365046459 \w \h </w:instrText>
      </w:r>
      <w:r w:rsidR="00F71B15">
        <w:fldChar w:fldCharType="separate"/>
      </w:r>
      <w:r w:rsidR="00B3040B">
        <w:t>39</w:t>
      </w:r>
      <w:r w:rsidR="00F71B15">
        <w:fldChar w:fldCharType="end"/>
      </w:r>
      <w:r>
        <w:t>.</w:t>
      </w:r>
    </w:p>
    <w:p w:rsidR="00D81DAD" w:rsidRDefault="001827DA" w:rsidP="002E61F2">
      <w:pPr>
        <w:pStyle w:val="GPSL1CLAUSEHEADING"/>
      </w:pPr>
      <w:bookmarkStart w:id="551" w:name="_Toc366085173"/>
      <w:bookmarkStart w:id="552" w:name="_Toc379488066"/>
      <w:bookmarkStart w:id="553" w:name="_Toc380052170"/>
      <w:bookmarkStart w:id="554" w:name="_Toc380052680"/>
      <w:bookmarkStart w:id="555" w:name="_Toc391545365"/>
      <w:r w:rsidRPr="001827DA">
        <w:t>FURTHER ASSURANCES</w:t>
      </w:r>
      <w:bookmarkEnd w:id="551"/>
      <w:bookmarkEnd w:id="552"/>
      <w:bookmarkEnd w:id="553"/>
      <w:bookmarkEnd w:id="554"/>
      <w:bookmarkEnd w:id="555"/>
    </w:p>
    <w:p w:rsidR="00D81DAD" w:rsidRDefault="00650D45" w:rsidP="002E61F2">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rsidR="00D81DAD" w:rsidRDefault="001827DA" w:rsidP="002E61F2">
      <w:pPr>
        <w:pStyle w:val="GPSL1CLAUSEHEADING"/>
      </w:pPr>
      <w:bookmarkStart w:id="556" w:name="_Ref365043868"/>
      <w:bookmarkStart w:id="557" w:name="_Ref365046501"/>
      <w:bookmarkStart w:id="558" w:name="_Toc366085174"/>
      <w:bookmarkStart w:id="559" w:name="_Toc379488067"/>
      <w:bookmarkStart w:id="560" w:name="_Toc380052171"/>
      <w:bookmarkStart w:id="561" w:name="_Toc380052681"/>
      <w:bookmarkStart w:id="562" w:name="_Toc391545366"/>
      <w:r w:rsidRPr="001827DA">
        <w:t>ENTIRE AGREEMENT</w:t>
      </w:r>
      <w:bookmarkEnd w:id="556"/>
      <w:bookmarkEnd w:id="557"/>
      <w:bookmarkEnd w:id="558"/>
      <w:bookmarkEnd w:id="559"/>
      <w:bookmarkEnd w:id="560"/>
      <w:bookmarkEnd w:id="561"/>
      <w:bookmarkEnd w:id="562"/>
    </w:p>
    <w:p w:rsidR="00D81DAD" w:rsidRDefault="00650D45" w:rsidP="002E61F2">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rsidR="00D81DAD" w:rsidRDefault="00650D45" w:rsidP="002E61F2">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2E61F2">
      <w:pPr>
        <w:pStyle w:val="GPSL2Numbered"/>
      </w:pPr>
      <w:r w:rsidRPr="005816CF">
        <w:t>Nothing in this Clause</w:t>
      </w:r>
      <w:r w:rsidR="0082150D">
        <w:t xml:space="preserve"> </w:t>
      </w:r>
      <w:r w:rsidR="00F71B15">
        <w:fldChar w:fldCharType="begin"/>
      </w:r>
      <w:r w:rsidR="0082150D">
        <w:instrText xml:space="preserve"> REF _Ref365046501 \w \h </w:instrText>
      </w:r>
      <w:r w:rsidR="00F71B15">
        <w:fldChar w:fldCharType="separate"/>
      </w:r>
      <w:r w:rsidR="00B3040B">
        <w:t>41</w:t>
      </w:r>
      <w:r w:rsidR="00F71B15">
        <w:fldChar w:fldCharType="end"/>
      </w:r>
      <w:r w:rsidR="0082150D">
        <w:t xml:space="preserve"> </w:t>
      </w:r>
      <w:r w:rsidRPr="005816CF">
        <w:t xml:space="preserve">shall exclude any liability in respect of misrepresentations made fraudulently. </w:t>
      </w:r>
    </w:p>
    <w:p w:rsidR="00D81DAD" w:rsidRDefault="001827DA" w:rsidP="002E61F2">
      <w:pPr>
        <w:pStyle w:val="GPSL1CLAUSEHEADING"/>
      </w:pPr>
      <w:bookmarkStart w:id="563" w:name="_Ref364954408"/>
      <w:bookmarkStart w:id="564" w:name="_Toc366085175"/>
      <w:bookmarkStart w:id="565" w:name="_Toc379488068"/>
      <w:bookmarkStart w:id="566" w:name="_Toc380052172"/>
      <w:bookmarkStart w:id="567" w:name="_Toc380052682"/>
      <w:bookmarkStart w:id="568" w:name="_Toc391545367"/>
      <w:r w:rsidRPr="001827DA">
        <w:lastRenderedPageBreak/>
        <w:t>THIRD PARTY RIGHTS</w:t>
      </w:r>
      <w:bookmarkEnd w:id="563"/>
      <w:bookmarkEnd w:id="564"/>
      <w:bookmarkEnd w:id="565"/>
      <w:bookmarkEnd w:id="566"/>
      <w:bookmarkEnd w:id="567"/>
      <w:bookmarkEnd w:id="568"/>
    </w:p>
    <w:p w:rsidR="00D81DAD" w:rsidRDefault="00650D45" w:rsidP="002E61F2">
      <w:pPr>
        <w:pStyle w:val="GPSL2Numbered"/>
      </w:pPr>
      <w:bookmarkStart w:id="569" w:name="_Ref365046752"/>
      <w:r>
        <w:t>The provisions of</w:t>
      </w:r>
      <w:r w:rsidRPr="006875AD">
        <w:t>:</w:t>
      </w:r>
      <w:bookmarkEnd w:id="569"/>
    </w:p>
    <w:p w:rsidR="00D81DAD" w:rsidRDefault="00650D45" w:rsidP="002E61F2">
      <w:pPr>
        <w:pStyle w:val="GPSL3numberedclause"/>
      </w:pPr>
      <w:r w:rsidRPr="006875AD">
        <w:t xml:space="preserve">Clauses: </w:t>
      </w:r>
      <w:r w:rsidR="000822F5">
        <w:fldChar w:fldCharType="begin"/>
      </w:r>
      <w:r w:rsidR="000822F5">
        <w:instrText xml:space="preserve"> REF _Ref311654688 \r \h  \* MERGEFORMAT </w:instrText>
      </w:r>
      <w:r w:rsidR="000822F5">
        <w:fldChar w:fldCharType="separate"/>
      </w:r>
      <w:r w:rsidR="00B3040B">
        <w:t>3</w:t>
      </w:r>
      <w:r w:rsidR="000822F5">
        <w:fldChar w:fldCharType="end"/>
      </w:r>
      <w:r w:rsidRPr="006875AD">
        <w:t xml:space="preserve"> (Scope of Framework Agreement), </w:t>
      </w:r>
      <w:r w:rsidR="00F71B15">
        <w:fldChar w:fldCharType="begin"/>
      </w:r>
      <w:r w:rsidR="0082150D">
        <w:instrText xml:space="preserve"> REF _Ref365046531 \w \h </w:instrText>
      </w:r>
      <w:r w:rsidR="00F71B15">
        <w:fldChar w:fldCharType="separate"/>
      </w:r>
      <w:r w:rsidR="00B3040B">
        <w:t>4</w:t>
      </w:r>
      <w:r w:rsidR="00F71B15">
        <w:fldChar w:fldCharType="end"/>
      </w:r>
      <w:r w:rsidR="0082150D">
        <w:t xml:space="preserve"> </w:t>
      </w:r>
      <w:r w:rsidRPr="006875AD">
        <w:t>(Call Off Procedure),</w:t>
      </w:r>
      <w:r w:rsidR="0082150D">
        <w:t xml:space="preserve"> </w:t>
      </w:r>
      <w:r w:rsidR="00F71B15">
        <w:fldChar w:fldCharType="begin"/>
      </w:r>
      <w:r w:rsidR="0082150D">
        <w:instrText xml:space="preserve"> REF _Ref365046540 \w \h </w:instrText>
      </w:r>
      <w:r w:rsidR="00F71B15">
        <w:fldChar w:fldCharType="separate"/>
      </w:r>
      <w:r w:rsidR="00B3040B">
        <w:t>5</w:t>
      </w:r>
      <w:r w:rsidR="00F71B15">
        <w:fldChar w:fldCharType="end"/>
      </w:r>
      <w:r w:rsidR="0082150D">
        <w:t xml:space="preserve"> </w:t>
      </w:r>
      <w:r w:rsidRPr="006875AD">
        <w:t xml:space="preserve">(Assistance in Related Procurements), </w:t>
      </w:r>
      <w:r w:rsidR="000822F5">
        <w:fldChar w:fldCharType="begin"/>
      </w:r>
      <w:r w:rsidR="000822F5">
        <w:instrText xml:space="preserve"> REF _Ref349140180 \r \h  \* MERGEFORMAT </w:instrText>
      </w:r>
      <w:r w:rsidR="000822F5">
        <w:fldChar w:fldCharType="separate"/>
      </w:r>
      <w:r w:rsidR="00B3040B">
        <w:t>6</w:t>
      </w:r>
      <w:r w:rsidR="000822F5">
        <w:fldChar w:fldCharType="end"/>
      </w:r>
      <w:r w:rsidRPr="006875AD">
        <w:t xml:space="preserve"> (</w:t>
      </w:r>
      <w:r w:rsidR="002B4448">
        <w:t>Representations and Warranties</w:t>
      </w:r>
      <w:r w:rsidRPr="00B6625F">
        <w:t xml:space="preserve">) </w:t>
      </w:r>
      <w:r w:rsidR="00225C7E" w:rsidRPr="00225C7E">
        <w:t xml:space="preserve">, </w:t>
      </w:r>
      <w:r w:rsidR="000822F5">
        <w:fldChar w:fldCharType="begin"/>
      </w:r>
      <w:r w:rsidR="000822F5">
        <w:instrText xml:space="preserve"> REF _Ref364954598 \w \h  \* MERGEFORMAT </w:instrText>
      </w:r>
      <w:r w:rsidR="000822F5">
        <w:fldChar w:fldCharType="separate"/>
      </w:r>
      <w:r w:rsidR="00225C7E" w:rsidRPr="00225C7E">
        <w:t>7</w:t>
      </w:r>
      <w:r w:rsidR="000822F5">
        <w:fldChar w:fldCharType="end"/>
      </w:r>
      <w:r w:rsidR="00225C7E" w:rsidRPr="00225C7E">
        <w:t xml:space="preserve"> (Guarantee)</w:t>
      </w:r>
      <w:r w:rsidR="0082150D" w:rsidRPr="00B6625F">
        <w:t xml:space="preserve">, </w:t>
      </w:r>
      <w:r w:rsidR="000822F5">
        <w:fldChar w:fldCharType="begin"/>
      </w:r>
      <w:r w:rsidR="000822F5">
        <w:instrText xml:space="preserve"> REF _Ref365039128 \w \h  \* MERGEFORMAT </w:instrText>
      </w:r>
      <w:r w:rsidR="000822F5">
        <w:fldChar w:fldCharType="separate"/>
      </w:r>
      <w:r w:rsidR="00225C7E" w:rsidRPr="00225C7E">
        <w:t>13</w:t>
      </w:r>
      <w:r w:rsidR="000822F5">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F71B15">
        <w:fldChar w:fldCharType="begin"/>
      </w:r>
      <w:r w:rsidR="0082150D">
        <w:instrText xml:space="preserve"> REF _Ref365017299 \r \h </w:instrText>
      </w:r>
      <w:r w:rsidR="00F71B15">
        <w:fldChar w:fldCharType="separate"/>
      </w:r>
      <w:r w:rsidR="00B3040B">
        <w:t>15</w:t>
      </w:r>
      <w:r w:rsidR="00F71B15">
        <w:fldChar w:fldCharType="end"/>
      </w:r>
      <w:r w:rsidR="0082150D">
        <w:t xml:space="preserve"> </w:t>
      </w:r>
      <w:r w:rsidR="0082150D" w:rsidRPr="006875AD">
        <w:t>(</w:t>
      </w:r>
      <w:r w:rsidR="0082150D">
        <w:t>Records, Audit Access and Open Book Data</w:t>
      </w:r>
      <w:r w:rsidR="0082150D" w:rsidRPr="006875AD">
        <w:t>),</w:t>
      </w:r>
      <w:r w:rsidR="009D4F4F">
        <w:t xml:space="preserve"> </w:t>
      </w:r>
      <w:r w:rsidR="00F71B15">
        <w:fldChar w:fldCharType="begin"/>
      </w:r>
      <w:r w:rsidR="0082150D">
        <w:instrText xml:space="preserve"> REF _Ref365017837 \r \h </w:instrText>
      </w:r>
      <w:r w:rsidR="00F71B15">
        <w:fldChar w:fldCharType="separate"/>
      </w:r>
      <w:r w:rsidR="00B3040B">
        <w:t>24.5</w:t>
      </w:r>
      <w:r w:rsidR="00F71B15">
        <w:fldChar w:fldCharType="end"/>
      </w:r>
      <w:r w:rsidR="0082150D">
        <w:t xml:space="preserve"> </w:t>
      </w:r>
      <w:r w:rsidR="0082150D" w:rsidRPr="006875AD">
        <w:t>(</w:t>
      </w:r>
      <w:r w:rsidR="0082150D">
        <w:t>Protection of Personal Data</w:t>
      </w:r>
      <w:r w:rsidR="0082150D" w:rsidRPr="006875AD">
        <w:t>),</w:t>
      </w:r>
      <w:r w:rsidR="0082150D">
        <w:t xml:space="preserve"> </w:t>
      </w:r>
      <w:r w:rsidR="00F71B15">
        <w:fldChar w:fldCharType="begin"/>
      </w:r>
      <w:r w:rsidR="0082150D">
        <w:instrText xml:space="preserve"> REF _Ref365044128 \w \h </w:instrText>
      </w:r>
      <w:r w:rsidR="00F71B15">
        <w:fldChar w:fldCharType="separate"/>
      </w:r>
      <w:r w:rsidR="00B3040B">
        <w:t>28</w:t>
      </w:r>
      <w:r w:rsidR="00F71B15">
        <w:fldChar w:fldCharType="end"/>
      </w:r>
      <w:r w:rsidR="0082150D" w:rsidRPr="006875AD">
        <w:t xml:space="preserve"> (Insurance), </w:t>
      </w:r>
      <w:r w:rsidR="00F71B15">
        <w:fldChar w:fldCharType="begin"/>
      </w:r>
      <w:r w:rsidR="0082150D">
        <w:instrText xml:space="preserve"> REF _Ref365046569 \w \h </w:instrText>
      </w:r>
      <w:r w:rsidR="00F71B15">
        <w:fldChar w:fldCharType="separate"/>
      </w:r>
      <w:r w:rsidR="00B3040B">
        <w:t>33.2</w:t>
      </w:r>
      <w:r w:rsidR="00F71B15">
        <w:fldChar w:fldCharType="end"/>
      </w:r>
      <w:r w:rsidR="0082150D">
        <w:t xml:space="preserve"> </w:t>
      </w:r>
      <w:r w:rsidRPr="006875AD">
        <w:t>(</w:t>
      </w:r>
      <w:r>
        <w:t>Equality and Diversity</w:t>
      </w:r>
      <w:r w:rsidRPr="006875AD">
        <w:t>)</w:t>
      </w:r>
      <w:r w:rsidR="0082150D">
        <w:t xml:space="preserve"> and</w:t>
      </w:r>
      <w:r w:rsidRPr="006875AD">
        <w:t xml:space="preserve"> </w:t>
      </w:r>
      <w:r w:rsidR="00F71B15">
        <w:fldChar w:fldCharType="begin"/>
      </w:r>
      <w:r w:rsidR="00B906CF">
        <w:instrText xml:space="preserve"> REF _Ref364954408 \r \h </w:instrText>
      </w:r>
      <w:r w:rsidR="00F71B15">
        <w:fldChar w:fldCharType="separate"/>
      </w:r>
      <w:r w:rsidR="00B3040B">
        <w:t>42</w:t>
      </w:r>
      <w:r w:rsidR="00F71B15">
        <w:fldChar w:fldCharType="end"/>
      </w:r>
      <w:r w:rsidR="00B906CF">
        <w:t xml:space="preserve"> </w:t>
      </w:r>
      <w:r w:rsidR="00B906CF" w:rsidRPr="005F358F">
        <w:t>(</w:t>
      </w:r>
      <w:r w:rsidR="0082150D">
        <w:t>Third Party Rights</w:t>
      </w:r>
      <w:r w:rsidR="00B906CF" w:rsidRPr="005F358F">
        <w:t>)</w:t>
      </w:r>
      <w:r w:rsidR="0082150D">
        <w:t xml:space="preserve">; </w:t>
      </w:r>
      <w:r>
        <w:t>and</w:t>
      </w:r>
    </w:p>
    <w:p w:rsidR="00D81DAD" w:rsidRDefault="00650D45" w:rsidP="002E61F2">
      <w:pPr>
        <w:pStyle w:val="GPSL3numberedclause"/>
      </w:pPr>
      <w:r w:rsidRPr="006875AD">
        <w:t>Framework Schedule</w:t>
      </w:r>
      <w:r w:rsidR="0082150D">
        <w:t>s</w:t>
      </w:r>
      <w:r w:rsidRPr="006875AD">
        <w:t xml:space="preserve"> 3 (</w:t>
      </w:r>
      <w:r w:rsidR="00344201">
        <w:t>Framework Prices</w:t>
      </w:r>
      <w:r w:rsidRPr="006875AD">
        <w:t>), 5 (Call Off Procedure),</w:t>
      </w:r>
      <w:r w:rsidR="0082150D">
        <w:t xml:space="preserve"> </w:t>
      </w:r>
      <w:r>
        <w:t>1</w:t>
      </w:r>
      <w:r w:rsidR="00EA6CAB">
        <w:t>3</w:t>
      </w:r>
      <w:r>
        <w:t xml:space="preserve"> (</w:t>
      </w:r>
      <w:r w:rsidR="000822F5">
        <w:t xml:space="preserve">Template </w:t>
      </w:r>
      <w:r>
        <w:t>Guarantee</w:t>
      </w:r>
      <w:r w:rsidRPr="00FC0BE0">
        <w:t>)</w:t>
      </w:r>
      <w:r>
        <w:t>,</w:t>
      </w:r>
      <w:r w:rsidRPr="00FC0BE0">
        <w:t xml:space="preserve"> 14 (Insurance Requirements) and 1</w:t>
      </w:r>
      <w:r w:rsidR="00EA6CAB">
        <w:t>9</w:t>
      </w:r>
      <w:r w:rsidRPr="00FC0BE0">
        <w:t xml:space="preserve"> (Tender)</w:t>
      </w:r>
      <w:r>
        <w:t>,</w:t>
      </w:r>
    </w:p>
    <w:p w:rsidR="00D81DAD" w:rsidRDefault="00650D4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xml:space="preserve">”) and are intended to be enforceable by Third </w:t>
      </w:r>
      <w:r w:rsidR="00E40DF5" w:rsidRPr="005816CF">
        <w:t>Part</w:t>
      </w:r>
      <w:r w:rsidR="00E40DF5">
        <w:t>y</w:t>
      </w:r>
      <w:r w:rsidR="00E231C0">
        <w:t xml:space="preserve"> </w:t>
      </w:r>
      <w:r w:rsidRPr="005816CF">
        <w:t>Beneficiaries by virtue of the CRTPA</w:t>
      </w:r>
      <w:r>
        <w:t>.</w:t>
      </w:r>
    </w:p>
    <w:p w:rsidR="00D81DAD" w:rsidRDefault="00650D45" w:rsidP="002E61F2">
      <w:pPr>
        <w:pStyle w:val="GPSL2Numbered"/>
      </w:pPr>
      <w:r w:rsidRPr="006875AD">
        <w:t xml:space="preserve">Subject to Clause </w:t>
      </w:r>
      <w:r w:rsidR="00F71B15">
        <w:fldChar w:fldCharType="begin"/>
      </w:r>
      <w:r w:rsidR="0082150D">
        <w:instrText xml:space="preserve"> REF _Ref365046752 \w \h </w:instrText>
      </w:r>
      <w:r w:rsidR="00F71B15">
        <w:fldChar w:fldCharType="separate"/>
      </w:r>
      <w:r w:rsidR="00B3040B">
        <w:t>42</w:t>
      </w:r>
      <w:r w:rsidR="00F71B15">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2E61F2">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rsidR="00D81DAD" w:rsidRDefault="00650D45" w:rsidP="002E61F2">
      <w:pPr>
        <w:pStyle w:val="GPSL2Numbered"/>
      </w:pPr>
      <w:bookmarkStart w:id="570"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F71B15">
        <w:fldChar w:fldCharType="begin"/>
      </w:r>
      <w:r w:rsidR="0082150D">
        <w:instrText xml:space="preserve"> REF _Ref365046752 \w \h </w:instrText>
      </w:r>
      <w:r w:rsidR="00F71B15">
        <w:fldChar w:fldCharType="separate"/>
      </w:r>
      <w:r w:rsidR="00B3040B">
        <w:t>42</w:t>
      </w:r>
      <w:r w:rsidR="00F71B15">
        <w:fldChar w:fldCharType="end"/>
      </w:r>
      <w:r>
        <w:t xml:space="preserve"> </w:t>
      </w:r>
      <w:r w:rsidRPr="005816CF">
        <w:t> may be altered or extinguished, by the Parties without the consent of any Third Party Beneficiary.</w:t>
      </w:r>
      <w:bookmarkEnd w:id="570"/>
    </w:p>
    <w:p w:rsidR="00D81DAD" w:rsidRDefault="00650D45" w:rsidP="002E61F2">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rsidR="00D81DAD" w:rsidRDefault="001827DA" w:rsidP="002E61F2">
      <w:pPr>
        <w:pStyle w:val="GPSL1CLAUSEHEADING"/>
      </w:pPr>
      <w:bookmarkStart w:id="571" w:name="_Ref365044592"/>
      <w:bookmarkStart w:id="572" w:name="_Ref365047158"/>
      <w:bookmarkStart w:id="573" w:name="_Ref365047181"/>
      <w:bookmarkStart w:id="574" w:name="_Ref365047306"/>
      <w:bookmarkStart w:id="575" w:name="_Ref365047313"/>
      <w:bookmarkStart w:id="576" w:name="_Toc366085176"/>
      <w:bookmarkStart w:id="577" w:name="_Toc379488069"/>
      <w:bookmarkStart w:id="578" w:name="_Toc380052173"/>
      <w:bookmarkStart w:id="579" w:name="_Toc380052683"/>
      <w:bookmarkStart w:id="580" w:name="_Toc391545368"/>
      <w:r w:rsidRPr="001827DA">
        <w:t>NOTICES</w:t>
      </w:r>
      <w:bookmarkEnd w:id="571"/>
      <w:bookmarkEnd w:id="572"/>
      <w:bookmarkEnd w:id="573"/>
      <w:bookmarkEnd w:id="574"/>
      <w:bookmarkEnd w:id="575"/>
      <w:bookmarkEnd w:id="576"/>
      <w:bookmarkEnd w:id="577"/>
      <w:bookmarkEnd w:id="578"/>
      <w:bookmarkEnd w:id="579"/>
      <w:bookmarkEnd w:id="580"/>
    </w:p>
    <w:p w:rsidR="00D81DAD" w:rsidRDefault="00650D45" w:rsidP="002E61F2">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F71B15">
        <w:fldChar w:fldCharType="begin"/>
      </w:r>
      <w:r w:rsidR="009D5B11">
        <w:instrText xml:space="preserve"> REF _Ref365044592 \w \h </w:instrText>
      </w:r>
      <w:r w:rsidR="00F71B15">
        <w:fldChar w:fldCharType="separate"/>
      </w:r>
      <w:r w:rsidR="00B3040B">
        <w:t>43</w:t>
      </w:r>
      <w:r w:rsidR="00F71B15">
        <w:fldChar w:fldCharType="end"/>
      </w:r>
      <w:r w:rsidRPr="006875AD">
        <w:t xml:space="preserve">, an e-mail is accepted as being "in writing". </w:t>
      </w:r>
    </w:p>
    <w:p w:rsidR="00D81DAD" w:rsidRDefault="00650D45" w:rsidP="002E61F2">
      <w:pPr>
        <w:pStyle w:val="GPSL2Numbered"/>
      </w:pPr>
      <w:bookmarkStart w:id="581" w:name="_Ref365046910"/>
      <w:r w:rsidRPr="006875AD">
        <w:t xml:space="preserve">Subject to Clause </w:t>
      </w:r>
      <w:r w:rsidR="00F71B15">
        <w:fldChar w:fldCharType="begin"/>
      </w:r>
      <w:r w:rsidR="0082150D">
        <w:instrText xml:space="preserve"> REF _Ref365046891 \w \h </w:instrText>
      </w:r>
      <w:r w:rsidR="00F71B15">
        <w:fldChar w:fldCharType="separate"/>
      </w:r>
      <w:r w:rsidR="00B3040B">
        <w:t>43.3</w:t>
      </w:r>
      <w:r w:rsidR="00F71B15">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81"/>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8"/>
        <w:gridCol w:w="2693"/>
      </w:tblGrid>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pPr>
              <w:pStyle w:val="BodyText"/>
            </w:pPr>
            <w:r w:rsidRPr="00747A14">
              <w:t>Proof of Service</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 xml:space="preserve">Email (Subject to Clause </w:t>
            </w:r>
            <w:r w:rsidR="00F71B15">
              <w:fldChar w:fldCharType="begin"/>
            </w:r>
            <w:r w:rsidR="0082150D">
              <w:instrText xml:space="preserve"> REF _Ref365046891 \w \h </w:instrText>
            </w:r>
            <w:r w:rsidR="00F71B15">
              <w:fldChar w:fldCharType="separate"/>
            </w:r>
            <w:r w:rsidR="00B3040B">
              <w:t>43.3</w:t>
            </w:r>
            <w:r w:rsidR="00F71B15">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 xml:space="preserve">Dispatched as a </w:t>
            </w:r>
            <w:proofErr w:type="spellStart"/>
            <w:r w:rsidRPr="00747A14">
              <w:t>pdf</w:t>
            </w:r>
            <w:proofErr w:type="spellEnd"/>
            <w:r w:rsidRPr="00747A14">
              <w:t xml:space="preserve"> attachment to an e-mail to the correct e-mail address without any error message </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lastRenderedPageBreak/>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Properly addressed and delivered as evidenced by signature of a delivery receipt</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pPr>
              <w:pStyle w:val="BodyText"/>
            </w:pPr>
            <w:r w:rsidRPr="00747A14">
              <w:t>Properly addressed prepaid and delivered as evidenced by signature of a delivery receipt</w:t>
            </w:r>
          </w:p>
        </w:tc>
      </w:tr>
    </w:tbl>
    <w:p w:rsidR="00D81DAD" w:rsidRDefault="00650D45" w:rsidP="002E61F2">
      <w:pPr>
        <w:pStyle w:val="GPSL2Numbered"/>
      </w:pPr>
      <w:bookmarkStart w:id="58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F71B15">
        <w:fldChar w:fldCharType="begin"/>
      </w:r>
      <w:r w:rsidR="0082150D">
        <w:instrText xml:space="preserve"> REF _Ref365046910 \w \h </w:instrText>
      </w:r>
      <w:r w:rsidR="00F71B15">
        <w:fldChar w:fldCharType="separate"/>
      </w:r>
      <w:r w:rsidR="00B3040B">
        <w:t>43.2</w:t>
      </w:r>
      <w:r w:rsidR="00F71B15">
        <w:fldChar w:fldCharType="end"/>
      </w:r>
      <w:r w:rsidRPr="009E3E3B">
        <w:t>:</w:t>
      </w:r>
      <w:bookmarkEnd w:id="582"/>
    </w:p>
    <w:p w:rsidR="00D81DAD" w:rsidRDefault="00650D45" w:rsidP="002E61F2">
      <w:pPr>
        <w:pStyle w:val="GPSL3numberedclause"/>
      </w:pPr>
      <w:r>
        <w:t xml:space="preserve">any Termination Notice </w:t>
      </w:r>
      <w:r w:rsidR="0082150D">
        <w:t xml:space="preserve">under </w:t>
      </w:r>
      <w:r w:rsidRPr="003A5E12">
        <w:t xml:space="preserve">Clause </w:t>
      </w:r>
      <w:r w:rsidR="00F71B15">
        <w:fldChar w:fldCharType="begin"/>
      </w:r>
      <w:r w:rsidR="0082150D">
        <w:instrText xml:space="preserve"> REF _Ref365018401 \w \h </w:instrText>
      </w:r>
      <w:r w:rsidR="00F71B15">
        <w:fldChar w:fldCharType="separate"/>
      </w:r>
      <w:r w:rsidR="00B3040B">
        <w:t>30</w:t>
      </w:r>
      <w:r w:rsidR="00F71B15">
        <w:fldChar w:fldCharType="end"/>
      </w:r>
      <w:r w:rsidR="0094294A">
        <w:t xml:space="preserve"> (Authority Termination Rights</w:t>
      </w:r>
      <w:r w:rsidR="0094294A" w:rsidRPr="003A5E12">
        <w:t>)</w:t>
      </w:r>
      <w:r w:rsidR="0082150D">
        <w:t>, including in respect of partial termination;</w:t>
      </w:r>
      <w:r w:rsidRPr="003A5E12">
        <w:t xml:space="preserve"> </w:t>
      </w:r>
    </w:p>
    <w:p w:rsidR="00D81DAD" w:rsidRDefault="00650D45" w:rsidP="002E61F2">
      <w:pPr>
        <w:pStyle w:val="GPSL3numberedclause"/>
      </w:pPr>
      <w:r>
        <w:t>any notice in respect of:</w:t>
      </w:r>
    </w:p>
    <w:p w:rsidR="00D81DAD" w:rsidRDefault="0082150D" w:rsidP="007E2634">
      <w:pPr>
        <w:pStyle w:val="GPSL4numberedclause"/>
      </w:pPr>
      <w:r>
        <w:t>Suspension of Supplier’s appointment</w:t>
      </w:r>
      <w:r w:rsidR="00650D45">
        <w:t xml:space="preserve"> (Clause </w:t>
      </w:r>
      <w:r w:rsidR="00F71B15">
        <w:fldChar w:fldCharType="begin"/>
      </w:r>
      <w:r>
        <w:instrText xml:space="preserve"> REF _Ref365046994 \w \h </w:instrText>
      </w:r>
      <w:r w:rsidR="00F71B15">
        <w:fldChar w:fldCharType="separate"/>
      </w:r>
      <w:r w:rsidR="00B3040B">
        <w:t>31</w:t>
      </w:r>
      <w:r w:rsidR="00F71B15">
        <w:fldChar w:fldCharType="end"/>
      </w:r>
      <w:r w:rsidR="00650D45">
        <w:t>)</w:t>
      </w:r>
    </w:p>
    <w:p w:rsidR="00D81DAD" w:rsidRDefault="0094294A" w:rsidP="007E2634">
      <w:pPr>
        <w:pStyle w:val="GPSL4numberedclause"/>
      </w:pPr>
      <w:r>
        <w:t>W</w:t>
      </w:r>
      <w:r w:rsidRPr="003A5E12">
        <w:t xml:space="preserve">aiver </w:t>
      </w:r>
      <w:r w:rsidR="00650D45" w:rsidRPr="003A5E12">
        <w:t>(Clause</w:t>
      </w:r>
      <w:r w:rsidR="00DE3178">
        <w:t xml:space="preserve"> </w:t>
      </w:r>
      <w:r w:rsidR="00F71B15">
        <w:fldChar w:fldCharType="begin"/>
      </w:r>
      <w:r w:rsidR="00DE3178">
        <w:instrText xml:space="preserve"> REF _Ref365043829 \w \h </w:instrText>
      </w:r>
      <w:r w:rsidR="00F71B15">
        <w:fldChar w:fldCharType="separate"/>
      </w:r>
      <w:r w:rsidR="00B3040B">
        <w:t>35</w:t>
      </w:r>
      <w:r w:rsidR="00F71B15">
        <w:fldChar w:fldCharType="end"/>
      </w:r>
      <w:r w:rsidR="00650D45">
        <w:t xml:space="preserve">); </w:t>
      </w:r>
    </w:p>
    <w:p w:rsidR="00D81DAD" w:rsidRDefault="00650D45" w:rsidP="007E2634">
      <w:pPr>
        <w:pStyle w:val="GPSL4numberedclause"/>
      </w:pPr>
      <w:r>
        <w:t>Default or default of the Authority; and</w:t>
      </w:r>
    </w:p>
    <w:p w:rsidR="00D81DAD" w:rsidRDefault="00650D45" w:rsidP="002E61F2">
      <w:pPr>
        <w:pStyle w:val="GPSL3numberedclause"/>
      </w:pPr>
      <w:r>
        <w:t xml:space="preserve">any Dispute Notice. </w:t>
      </w:r>
    </w:p>
    <w:p w:rsidR="00D81DAD" w:rsidRDefault="00650D45" w:rsidP="002E61F2">
      <w:pPr>
        <w:pStyle w:val="GPSL2Numbered"/>
      </w:pPr>
      <w:r w:rsidRPr="009E3E3B">
        <w:t>Failure to send any original notice by personal delivery or recorded delivery in accordance with Clause</w:t>
      </w:r>
      <w:r>
        <w:t xml:space="preserve"> </w:t>
      </w:r>
      <w:r w:rsidR="00F71B15">
        <w:fldChar w:fldCharType="begin"/>
      </w:r>
      <w:r w:rsidR="0082150D">
        <w:instrText xml:space="preserve"> REF _Ref365046891 \w \h </w:instrText>
      </w:r>
      <w:r w:rsidR="00F71B15">
        <w:fldChar w:fldCharType="separate"/>
      </w:r>
      <w:r w:rsidR="00B3040B">
        <w:t>43.3</w:t>
      </w:r>
      <w:r w:rsidR="00F71B15">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71B15">
        <w:fldChar w:fldCharType="begin"/>
      </w:r>
      <w:r w:rsidR="0082150D">
        <w:instrText xml:space="preserve"> REF _Ref365046910 \w \h </w:instrText>
      </w:r>
      <w:r w:rsidR="00F71B15">
        <w:fldChar w:fldCharType="separate"/>
      </w:r>
      <w:r w:rsidR="00B3040B">
        <w:t>43.2</w:t>
      </w:r>
      <w:r w:rsidR="00F71B15">
        <w:fldChar w:fldCharType="end"/>
      </w:r>
      <w:r w:rsidRPr="009E3E3B">
        <w:t xml:space="preserve">) or, if earlier, the time of response or acknowledgement by the </w:t>
      </w:r>
      <w:r>
        <w:t>receiving</w:t>
      </w:r>
      <w:r w:rsidRPr="009E3E3B">
        <w:t xml:space="preserve"> Party to the email attaching the notice. </w:t>
      </w:r>
    </w:p>
    <w:p w:rsidR="00D81DAD" w:rsidRDefault="00650D45" w:rsidP="002E61F2">
      <w:pPr>
        <w:pStyle w:val="GPSL2Numbered"/>
      </w:pPr>
      <w:r w:rsidRPr="00893741">
        <w:t>This Clause</w:t>
      </w:r>
      <w:r>
        <w:t xml:space="preserve"> </w:t>
      </w:r>
      <w:r w:rsidR="00F71B15">
        <w:fldChar w:fldCharType="begin"/>
      </w:r>
      <w:r w:rsidR="0082150D">
        <w:instrText xml:space="preserve"> REF _Ref365047158 \w \h </w:instrText>
      </w:r>
      <w:r w:rsidR="00F71B15">
        <w:fldChar w:fldCharType="separate"/>
      </w:r>
      <w:r w:rsidR="00B3040B">
        <w:t>43</w:t>
      </w:r>
      <w:r w:rsidR="00F71B15">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D81DAD" w:rsidRDefault="00650D45" w:rsidP="002E61F2">
      <w:pPr>
        <w:pStyle w:val="GPSL2Numbered"/>
      </w:pPr>
      <w:r w:rsidRPr="006875AD">
        <w:t xml:space="preserve">For the purposes of </w:t>
      </w:r>
      <w:r w:rsidR="0094294A">
        <w:t xml:space="preserve">this </w:t>
      </w:r>
      <w:r w:rsidRPr="006875AD">
        <w:t>Clause</w:t>
      </w:r>
      <w:r w:rsidR="0082150D">
        <w:t xml:space="preserve"> </w:t>
      </w:r>
      <w:r w:rsidR="00F71B15">
        <w:fldChar w:fldCharType="begin"/>
      </w:r>
      <w:r w:rsidR="0082150D">
        <w:instrText xml:space="preserve"> REF _Ref365047181 \w \h </w:instrText>
      </w:r>
      <w:r w:rsidR="00F71B15">
        <w:fldChar w:fldCharType="separate"/>
      </w:r>
      <w:r w:rsidR="00B3040B">
        <w:t>43</w:t>
      </w:r>
      <w:r w:rsidR="00F71B15">
        <w:fldChar w:fldCharType="end"/>
      </w:r>
      <w:r w:rsidRPr="006875AD">
        <w:t>, the address of each Party shall be:</w:t>
      </w:r>
    </w:p>
    <w:p w:rsidR="00D81DAD" w:rsidRDefault="00650D45" w:rsidP="002E61F2">
      <w:pPr>
        <w:pStyle w:val="GPSL3numberedclause"/>
      </w:pPr>
      <w:r w:rsidRPr="006875AD">
        <w:t>For the Authority:</w:t>
      </w:r>
    </w:p>
    <w:p w:rsidR="00505AE7" w:rsidRDefault="00E02BDA" w:rsidP="00505AE7">
      <w:pPr>
        <w:pStyle w:val="GPSL3Indent"/>
        <w:rPr>
          <w:bCs/>
        </w:rPr>
      </w:pPr>
      <w:r>
        <w:rPr>
          <w:b/>
          <w:bCs/>
        </w:rPr>
        <w:t>Crown Commercial</w:t>
      </w:r>
      <w:r w:rsidR="00650D45" w:rsidRPr="006875AD">
        <w:rPr>
          <w:b/>
          <w:bCs/>
        </w:rPr>
        <w:t xml:space="preserve"> Service</w:t>
      </w:r>
      <w:r w:rsidR="00650D45" w:rsidRPr="006875AD">
        <w:br/>
      </w:r>
      <w:r w:rsidR="00505AE7">
        <w:rPr>
          <w:bCs/>
        </w:rPr>
        <w:t>Address:</w:t>
      </w:r>
    </w:p>
    <w:p w:rsidR="00505AE7" w:rsidRDefault="00505AE7" w:rsidP="00505AE7">
      <w:pPr>
        <w:pStyle w:val="GPSL3Indent"/>
      </w:pPr>
      <w:r w:rsidRPr="00024285">
        <w:rPr>
          <w:bCs/>
        </w:rPr>
        <w:t>Crown Commercial Service</w:t>
      </w:r>
      <w:r w:rsidRPr="006875AD">
        <w:br/>
      </w:r>
      <w:proofErr w:type="spellStart"/>
      <w:r>
        <w:t>Rosebery</w:t>
      </w:r>
      <w:proofErr w:type="spellEnd"/>
      <w:r>
        <w:t xml:space="preserve"> Court</w:t>
      </w:r>
      <w:r w:rsidRPr="006875AD">
        <w:br/>
      </w:r>
      <w:r>
        <w:t>St Andrews Business Park</w:t>
      </w:r>
      <w:r w:rsidRPr="006875AD">
        <w:br/>
      </w:r>
      <w:r>
        <w:t>Norwich</w:t>
      </w:r>
      <w:r w:rsidRPr="006875AD">
        <w:br/>
      </w:r>
      <w:r>
        <w:lastRenderedPageBreak/>
        <w:t>NR7 0HS</w:t>
      </w:r>
      <w:r w:rsidRPr="006875AD">
        <w:br/>
      </w:r>
    </w:p>
    <w:p w:rsidR="00505AE7" w:rsidRDefault="00505AE7" w:rsidP="00505AE7">
      <w:pPr>
        <w:pStyle w:val="GPSL3Indent"/>
      </w:pPr>
    </w:p>
    <w:p w:rsidR="00505AE7" w:rsidRDefault="00505AE7" w:rsidP="00505AE7">
      <w:pPr>
        <w:pStyle w:val="GPSL3Indent"/>
      </w:pPr>
      <w:r w:rsidRPr="006875AD">
        <w:t>For the attention of:</w:t>
      </w:r>
    </w:p>
    <w:p w:rsidR="00505AE7" w:rsidRDefault="00505AE7" w:rsidP="00505AE7">
      <w:pPr>
        <w:pStyle w:val="GPSL3Indent"/>
      </w:pPr>
      <w:r>
        <w:t>Network Services Category Manager</w:t>
      </w:r>
    </w:p>
    <w:p w:rsidR="00505AE7" w:rsidRDefault="00505AE7" w:rsidP="00505AE7">
      <w:pPr>
        <w:pStyle w:val="GPSL3Indent"/>
      </w:pPr>
      <w:r>
        <w:t>Telephone: 0345 410 2222</w:t>
      </w:r>
    </w:p>
    <w:p w:rsidR="00505AE7" w:rsidRDefault="00505AE7" w:rsidP="00505AE7">
      <w:pPr>
        <w:pStyle w:val="GPSL3Indent"/>
      </w:pPr>
      <w:r>
        <w:t xml:space="preserve">Email: </w:t>
      </w:r>
      <w:proofErr w:type="spellStart"/>
      <w:r>
        <w:t>Network.Services@ccs,gsi,gov,uk</w:t>
      </w:r>
      <w:proofErr w:type="spellEnd"/>
    </w:p>
    <w:p w:rsidR="00D81DAD" w:rsidRDefault="00650D45" w:rsidP="002E61F2">
      <w:pPr>
        <w:pStyle w:val="GPSL3numberedclause"/>
      </w:pPr>
      <w:r w:rsidRPr="006875AD">
        <w:t>For the Supplier:</w:t>
      </w:r>
    </w:p>
    <w:p w:rsidR="00650D45" w:rsidRPr="006875AD" w:rsidRDefault="00650D45" w:rsidP="007E2634">
      <w:pPr>
        <w:pStyle w:val="GPSL3Indent"/>
      </w:pPr>
      <w:r w:rsidRPr="006875AD">
        <w:t>Address: For the attention of</w:t>
      </w:r>
      <w:r w:rsidR="00505AE7">
        <w:t xml:space="preserve">:  </w:t>
      </w:r>
    </w:p>
    <w:p w:rsidR="00D81DAD" w:rsidRDefault="00650D45" w:rsidP="002E61F2">
      <w:pPr>
        <w:pStyle w:val="GPSL2Numbered"/>
      </w:pPr>
      <w:r w:rsidRPr="006875AD">
        <w:t>Either Party may change its address for service by serving a notice in accordance with this Clause</w:t>
      </w:r>
      <w:r w:rsidR="00D40A5F">
        <w:t xml:space="preserve"> </w:t>
      </w:r>
      <w:r w:rsidR="00F71B15">
        <w:fldChar w:fldCharType="begin"/>
      </w:r>
      <w:r w:rsidR="00D40A5F">
        <w:instrText xml:space="preserve"> REF _Ref365047306 \w \h </w:instrText>
      </w:r>
      <w:r w:rsidR="00F71B15">
        <w:fldChar w:fldCharType="separate"/>
      </w:r>
      <w:r w:rsidR="00B3040B">
        <w:t>43</w:t>
      </w:r>
      <w:r w:rsidR="00F71B15">
        <w:fldChar w:fldCharType="end"/>
      </w:r>
      <w:r w:rsidRPr="006875AD">
        <w:t>.</w:t>
      </w:r>
    </w:p>
    <w:p w:rsidR="00D81DAD" w:rsidRDefault="00650D45" w:rsidP="002E61F2">
      <w:pPr>
        <w:pStyle w:val="GPSL2Numbered"/>
      </w:pPr>
      <w:r w:rsidRPr="006875AD">
        <w:t xml:space="preserve">This Clause </w:t>
      </w:r>
      <w:r w:rsidR="00F71B15">
        <w:fldChar w:fldCharType="begin"/>
      </w:r>
      <w:r w:rsidR="00D40A5F">
        <w:instrText xml:space="preserve"> REF _Ref365047313 \w \h </w:instrText>
      </w:r>
      <w:r w:rsidR="00F71B15">
        <w:fldChar w:fldCharType="separate"/>
      </w:r>
      <w:r w:rsidR="00B3040B">
        <w:t>43</w:t>
      </w:r>
      <w:r w:rsidR="00F71B15">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83" w:name="_Ref311654016"/>
      <w:bookmarkStart w:id="584" w:name="_Ref311654833"/>
      <w:bookmarkEnd w:id="524"/>
      <w:bookmarkEnd w:id="525"/>
      <w:bookmarkEnd w:id="526"/>
      <w:bookmarkEnd w:id="527"/>
      <w:bookmarkEnd w:id="583"/>
      <w:bookmarkEnd w:id="584"/>
    </w:p>
    <w:p w:rsidR="00D81DAD" w:rsidRDefault="001827DA" w:rsidP="002E61F2">
      <w:pPr>
        <w:pStyle w:val="GPSL1CLAUSEHEADING"/>
      </w:pPr>
      <w:bookmarkStart w:id="585" w:name="_Ref311674926"/>
      <w:bookmarkStart w:id="586" w:name="_Toc335385445"/>
      <w:bookmarkStart w:id="587" w:name="_Toc348637138"/>
      <w:bookmarkStart w:id="588" w:name="_Toc354740867"/>
      <w:bookmarkStart w:id="589" w:name="_Toc366085177"/>
      <w:bookmarkStart w:id="590" w:name="_Toc379488070"/>
      <w:bookmarkStart w:id="591" w:name="_Toc380052174"/>
      <w:bookmarkStart w:id="592" w:name="_Toc380052684"/>
      <w:bookmarkStart w:id="593" w:name="_Toc391545369"/>
      <w:r w:rsidRPr="001827DA">
        <w:t>COMPLAINTS HANDLING</w:t>
      </w:r>
      <w:bookmarkEnd w:id="585"/>
      <w:bookmarkEnd w:id="586"/>
      <w:bookmarkEnd w:id="587"/>
      <w:bookmarkEnd w:id="588"/>
      <w:bookmarkEnd w:id="589"/>
      <w:bookmarkEnd w:id="590"/>
      <w:bookmarkEnd w:id="591"/>
      <w:bookmarkEnd w:id="592"/>
      <w:bookmarkEnd w:id="593"/>
    </w:p>
    <w:p w:rsidR="00D81DAD" w:rsidRDefault="00340FD6" w:rsidP="002E61F2">
      <w:pPr>
        <w:pStyle w:val="GPSL2Numbered"/>
      </w:pPr>
      <w:r w:rsidRPr="006875AD">
        <w:t xml:space="preserve">Either Party shall notify the other Party of any </w:t>
      </w:r>
      <w:r w:rsidR="00F518E1">
        <w:t>Co</w:t>
      </w:r>
      <w:r w:rsidRPr="006875AD">
        <w:t xml:space="preserve">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2E61F2">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rsidR="00D81DAD" w:rsidRDefault="00340FD6" w:rsidP="002E61F2">
      <w:pPr>
        <w:pStyle w:val="GPSL2Numbered"/>
      </w:pPr>
      <w:r w:rsidRPr="006875AD">
        <w:t xml:space="preserve">Within two (2) Working Days of a request by the Authority, the Supplier shall provide full details of a Complaint to the Authority, including details of steps taken to achieve its resolution. </w:t>
      </w:r>
    </w:p>
    <w:p w:rsidR="00D81DAD" w:rsidRDefault="001827DA" w:rsidP="002E61F2">
      <w:pPr>
        <w:pStyle w:val="GPSL1CLAUSEHEADING"/>
      </w:pPr>
      <w:bookmarkStart w:id="594" w:name="_Ref311659760"/>
      <w:bookmarkStart w:id="595" w:name="_Ref311659841"/>
      <w:bookmarkStart w:id="596" w:name="_Ref335384030"/>
      <w:bookmarkStart w:id="597" w:name="_Toc335385447"/>
      <w:bookmarkStart w:id="598" w:name="_Toc348637140"/>
      <w:bookmarkStart w:id="599" w:name="_Toc354740869"/>
      <w:bookmarkStart w:id="600" w:name="_Toc366085178"/>
      <w:bookmarkStart w:id="601" w:name="_Toc379488071"/>
      <w:bookmarkStart w:id="602" w:name="_Toc380052175"/>
      <w:bookmarkStart w:id="603" w:name="_Toc380052685"/>
      <w:bookmarkStart w:id="604" w:name="_Toc391545370"/>
      <w:r w:rsidRPr="001827DA">
        <w:t>DISPUTE RESOLUTION</w:t>
      </w:r>
      <w:bookmarkEnd w:id="594"/>
      <w:bookmarkEnd w:id="595"/>
      <w:bookmarkEnd w:id="596"/>
      <w:bookmarkEnd w:id="597"/>
      <w:bookmarkEnd w:id="598"/>
      <w:bookmarkEnd w:id="599"/>
      <w:bookmarkEnd w:id="600"/>
      <w:bookmarkEnd w:id="601"/>
      <w:bookmarkEnd w:id="602"/>
      <w:bookmarkEnd w:id="603"/>
      <w:bookmarkEnd w:id="604"/>
    </w:p>
    <w:p w:rsidR="00D81DAD" w:rsidRDefault="004B7225" w:rsidP="002E61F2">
      <w:pPr>
        <w:pStyle w:val="GPSL2Numbered"/>
      </w:pPr>
      <w:bookmarkStart w:id="60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605"/>
    </w:p>
    <w:p w:rsidR="00D81DAD" w:rsidRDefault="004B7225" w:rsidP="002E61F2">
      <w:pPr>
        <w:pStyle w:val="GPSL2Numbered"/>
      </w:pPr>
      <w:bookmarkStart w:id="606" w:name="_Toc139080177"/>
      <w:r w:rsidRPr="004B7225">
        <w:t xml:space="preserve">The Supplier shall continue to provide the Services in accordance with the terms of this </w:t>
      </w:r>
      <w:r>
        <w:t>Framework Agreement</w:t>
      </w:r>
      <w:r w:rsidRPr="004B7225">
        <w:t xml:space="preserve"> until a Dispute has been resolved.</w:t>
      </w:r>
      <w:bookmarkEnd w:id="606"/>
    </w:p>
    <w:p w:rsidR="00D81DAD" w:rsidRDefault="001827DA" w:rsidP="002E61F2">
      <w:pPr>
        <w:pStyle w:val="GPSL1CLAUSEHEADING"/>
      </w:pPr>
      <w:bookmarkStart w:id="607" w:name="_Toc335385448"/>
      <w:bookmarkStart w:id="608" w:name="_Toc348637141"/>
      <w:bookmarkStart w:id="609" w:name="_Ref349139453"/>
      <w:bookmarkStart w:id="610" w:name="_Toc354740870"/>
      <w:bookmarkStart w:id="611" w:name="_Ref365996704"/>
      <w:bookmarkStart w:id="612" w:name="_Ref366049919"/>
      <w:bookmarkStart w:id="613" w:name="_Toc366085179"/>
      <w:bookmarkStart w:id="614" w:name="_Toc379488072"/>
      <w:bookmarkStart w:id="615" w:name="_Toc380052176"/>
      <w:bookmarkStart w:id="616" w:name="_Toc380052686"/>
      <w:bookmarkStart w:id="617" w:name="_Toc391545371"/>
      <w:r w:rsidRPr="001827DA">
        <w:t>GOVERNING LAW AND JURISDICTION</w:t>
      </w:r>
      <w:bookmarkEnd w:id="607"/>
      <w:bookmarkEnd w:id="608"/>
      <w:bookmarkEnd w:id="609"/>
      <w:bookmarkEnd w:id="610"/>
      <w:bookmarkEnd w:id="611"/>
      <w:bookmarkEnd w:id="612"/>
      <w:bookmarkEnd w:id="613"/>
      <w:bookmarkEnd w:id="614"/>
      <w:bookmarkEnd w:id="615"/>
      <w:bookmarkEnd w:id="616"/>
      <w:bookmarkEnd w:id="617"/>
    </w:p>
    <w:p w:rsidR="00D81DAD" w:rsidRDefault="004B7225" w:rsidP="002E61F2">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Default="004B7225" w:rsidP="002E61F2">
      <w:pPr>
        <w:pStyle w:val="GPSL2Numbered"/>
      </w:pPr>
      <w:r w:rsidRPr="00E87277">
        <w:lastRenderedPageBreak/>
        <w:t xml:space="preserve">Subject to </w:t>
      </w:r>
      <w:r>
        <w:t>Clause </w:t>
      </w:r>
      <w:r w:rsidR="00F71B15">
        <w:fldChar w:fldCharType="begin"/>
      </w:r>
      <w:r w:rsidR="00D40A5F">
        <w:instrText xml:space="preserve"> REF _Ref311659760 \w \h </w:instrText>
      </w:r>
      <w:r w:rsidR="00F71B15">
        <w:fldChar w:fldCharType="separate"/>
      </w:r>
      <w:r w:rsidR="00B3040B">
        <w:t>45</w:t>
      </w:r>
      <w:r w:rsidR="00F71B15">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618" w:name="a107931"/>
      <w:bookmarkEnd w:id="618"/>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pPr>
        <w:pStyle w:val="GPSmacrorestart"/>
      </w:pPr>
      <w:bookmarkStart w:id="619" w:name="_Toc350353542"/>
      <w:bookmarkStart w:id="620" w:name="_Toc350353766"/>
      <w:bookmarkStart w:id="621" w:name="_Toc350353876"/>
      <w:bookmarkStart w:id="622" w:name="_Toc350353949"/>
      <w:bookmarkStart w:id="623" w:name="_Toc350354022"/>
      <w:bookmarkStart w:id="624" w:name="_Toc350354096"/>
      <w:bookmarkStart w:id="625" w:name="_Toc350354172"/>
      <w:bookmarkStart w:id="626" w:name="_Toc350354248"/>
      <w:bookmarkStart w:id="627" w:name="_Toc350354324"/>
      <w:bookmarkStart w:id="628" w:name="_Toc350354401"/>
      <w:bookmarkStart w:id="629" w:name="_Toc350354476"/>
      <w:bookmarkStart w:id="630" w:name="_Toc348681794"/>
      <w:bookmarkStart w:id="631" w:name="_Toc348681975"/>
      <w:bookmarkStart w:id="632" w:name="_Toc348682159"/>
      <w:bookmarkStart w:id="633" w:name="_Toc348685962"/>
      <w:bookmarkStart w:id="634" w:name="_Toc348689789"/>
      <w:bookmarkStart w:id="635" w:name="_Toc348690058"/>
      <w:bookmarkStart w:id="636" w:name="_Toc348690128"/>
      <w:bookmarkStart w:id="637" w:name="_Toc348690418"/>
      <w:bookmarkStart w:id="638" w:name="_Toc348690486"/>
      <w:bookmarkStart w:id="639" w:name="_Toc348690556"/>
      <w:bookmarkStart w:id="640" w:name="_Toc348690630"/>
      <w:bookmarkStart w:id="641" w:name="_Toc348690766"/>
      <w:bookmarkStart w:id="642" w:name="_Toc348690833"/>
      <w:bookmarkStart w:id="643" w:name="_Toc348690941"/>
      <w:bookmarkStart w:id="644" w:name="_Toc348691009"/>
      <w:bookmarkStart w:id="645" w:name="_Toc348691077"/>
      <w:bookmarkStart w:id="646" w:name="_Toc348691936"/>
      <w:bookmarkStart w:id="647" w:name="_Toc349117447"/>
      <w:bookmarkStart w:id="648" w:name="_Toc349118629"/>
      <w:bookmarkStart w:id="649" w:name="_Toc349118700"/>
      <w:bookmarkStart w:id="650" w:name="_Toc349119338"/>
      <w:bookmarkStart w:id="651" w:name="_Toc349119867"/>
      <w:bookmarkStart w:id="652" w:name="_Toc349119938"/>
      <w:bookmarkStart w:id="653" w:name="_Toc350353544"/>
      <w:bookmarkStart w:id="654" w:name="_Toc350353768"/>
      <w:bookmarkStart w:id="655" w:name="_Toc350353878"/>
      <w:bookmarkStart w:id="656" w:name="_Toc350353951"/>
      <w:bookmarkStart w:id="657" w:name="_Toc350354024"/>
      <w:bookmarkStart w:id="658" w:name="_Toc350354098"/>
      <w:bookmarkStart w:id="659" w:name="_Toc350354174"/>
      <w:bookmarkStart w:id="660" w:name="_Toc350354250"/>
      <w:bookmarkStart w:id="661" w:name="_Toc350354326"/>
      <w:bookmarkStart w:id="662" w:name="_Toc350354403"/>
      <w:bookmarkStart w:id="663" w:name="_Toc350354478"/>
      <w:bookmarkStart w:id="664" w:name="_Toc349117450"/>
      <w:bookmarkStart w:id="665" w:name="_Toc349118632"/>
      <w:bookmarkStart w:id="666" w:name="_Toc349118703"/>
      <w:bookmarkStart w:id="667" w:name="_Toc349119341"/>
      <w:bookmarkStart w:id="668" w:name="_Toc349119870"/>
      <w:bookmarkStart w:id="669" w:name="_Toc349119941"/>
      <w:bookmarkStart w:id="670" w:name="_Ref311659706"/>
      <w:bookmarkStart w:id="671" w:name="_Toc335385443"/>
      <w:bookmarkStart w:id="672" w:name="_Toc348637146"/>
      <w:bookmarkStart w:id="673" w:name="_Toc354740876"/>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976BE3" w:rsidDel="00650D45">
        <w:t xml:space="preserve"> </w:t>
      </w:r>
      <w:bookmarkStart w:id="674" w:name="_Toc350353799"/>
      <w:bookmarkStart w:id="675" w:name="_Toc350353801"/>
      <w:bookmarkStart w:id="676" w:name="_Toc350353803"/>
      <w:bookmarkStart w:id="677" w:name="_Toc354740878"/>
      <w:bookmarkEnd w:id="670"/>
      <w:bookmarkEnd w:id="671"/>
      <w:bookmarkEnd w:id="672"/>
      <w:bookmarkEnd w:id="673"/>
      <w:bookmarkEnd w:id="674"/>
      <w:bookmarkEnd w:id="675"/>
      <w:bookmarkEnd w:id="676"/>
      <w:bookmarkEnd w:id="677"/>
      <w:r w:rsidR="00F71B15" w:rsidRPr="002C5661">
        <w:fldChar w:fldCharType="begin"/>
      </w:r>
      <w:r w:rsidR="00BD3F71" w:rsidRPr="002C5661">
        <w:instrText>LISTNUM \l 1 \s 0</w:instrText>
      </w:r>
      <w:r w:rsidR="00F71B15" w:rsidRPr="002C5661">
        <w:fldChar w:fldCharType="separate"/>
      </w:r>
      <w:r w:rsidR="00BD3F71" w:rsidRPr="002C5661">
        <w:t xml:space="preserve"> </w:t>
      </w:r>
      <w:r w:rsidR="00F71B15" w:rsidRPr="002C5661">
        <w:fldChar w:fldCharType="end">
          <w:numberingChange w:id="678" w:author="potterj" w:date="2014-08-28T12:26:00Z" w:original="0."/>
        </w:fldChar>
      </w:r>
    </w:p>
    <w:p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rsidR="00531544" w:rsidRDefault="00531544">
      <w:pPr>
        <w:pStyle w:val="MarginText"/>
        <w:rPr>
          <w:rFonts w:cs="Arial"/>
          <w:szCs w:val="22"/>
        </w:rPr>
      </w:pPr>
    </w:p>
    <w:p w:rsidR="00531544" w:rsidRDefault="00531544">
      <w:pPr>
        <w:pStyle w:val="MarginText"/>
        <w:rPr>
          <w:rFonts w:cs="Arial"/>
          <w:szCs w:val="22"/>
        </w:rPr>
      </w:pPr>
    </w:p>
    <w:p w:rsidR="00340FD6" w:rsidRPr="00531544" w:rsidRDefault="001827DA">
      <w:pPr>
        <w:pStyle w:val="MarginText"/>
        <w:rPr>
          <w:rFonts w:cs="Arial"/>
          <w:szCs w:val="22"/>
        </w:rPr>
      </w:pPr>
      <w:r w:rsidRPr="001827DA">
        <w:rPr>
          <w:rFonts w:cs="Arial"/>
          <w:szCs w:val="22"/>
        </w:rPr>
        <w:t>Signed duly authorised for and on behalf of the SUPPLIER</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1827DA">
      <w:pPr>
        <w:pStyle w:val="MarginText"/>
        <w:rPr>
          <w:rFonts w:cs="Arial"/>
          <w:szCs w:val="22"/>
        </w:rPr>
      </w:pPr>
      <w:r w:rsidRPr="001827DA">
        <w:rPr>
          <w:rFonts w:cs="Arial"/>
          <w:szCs w:val="22"/>
        </w:rPr>
        <w:t>Name:</w:t>
      </w:r>
      <w:r w:rsidRPr="001827DA">
        <w:rPr>
          <w:rFonts w:cs="Arial"/>
          <w:szCs w:val="22"/>
        </w:rPr>
        <w:tab/>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rsidR="00340FD6" w:rsidRPr="006875AD" w:rsidRDefault="00340FD6" w:rsidP="0073443C">
      <w:pPr>
        <w:pStyle w:val="MarginText"/>
        <w:spacing w:after="0"/>
        <w:rPr>
          <w:rFonts w:cs="Arial"/>
          <w:szCs w:val="22"/>
        </w:rPr>
      </w:pPr>
    </w:p>
    <w:p w:rsidR="00D81DAD" w:rsidRDefault="00340FD6">
      <w:pPr>
        <w:pStyle w:val="GPSL1Guidance"/>
      </w:pPr>
      <w:r w:rsidRPr="006875AD">
        <w:rPr>
          <w:highlight w:val="green"/>
        </w:rPr>
        <w:t>[</w:t>
      </w:r>
    </w:p>
    <w:p w:rsidR="00C12B2E" w:rsidRPr="006875AD" w:rsidRDefault="00C12B2E">
      <w:pPr>
        <w:pStyle w:val="MarginText"/>
        <w:rPr>
          <w:rFonts w:cs="Arial"/>
          <w:szCs w:val="22"/>
        </w:rPr>
      </w:pPr>
    </w:p>
    <w:p w:rsidR="00340FD6" w:rsidRPr="00531544" w:rsidRDefault="001827DA">
      <w:pPr>
        <w:pStyle w:val="MarginText"/>
        <w:rPr>
          <w:rFonts w:cs="Arial"/>
          <w:szCs w:val="22"/>
        </w:rPr>
      </w:pPr>
      <w:r w:rsidRPr="001827DA">
        <w:rPr>
          <w:rFonts w:cs="Arial"/>
          <w:szCs w:val="22"/>
        </w:rPr>
        <w:t>Signed for and on behalf of the AUTHORITY</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1827DA">
      <w:pPr>
        <w:pStyle w:val="MarginText"/>
        <w:rPr>
          <w:rFonts w:cs="Arial"/>
          <w:szCs w:val="22"/>
        </w:rPr>
      </w:pPr>
      <w:r w:rsidRPr="001827DA">
        <w:rPr>
          <w:rFonts w:cs="Arial"/>
          <w:szCs w:val="22"/>
        </w:rPr>
        <w:t>Name:</w:t>
      </w:r>
      <w:r w:rsidRPr="001827DA">
        <w:rPr>
          <w:rFonts w:cs="Arial"/>
          <w:szCs w:val="22"/>
        </w:rPr>
        <w:tab/>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rsidR="00D81DAD" w:rsidRDefault="00A335C2">
      <w:pPr>
        <w:pStyle w:val="GPSSchTitleandNumber"/>
      </w:pPr>
      <w:r w:rsidRPr="001827DA">
        <w:rPr>
          <w:caps w:val="0"/>
        </w:rPr>
        <w:br w:type="page"/>
      </w:r>
      <w:bookmarkStart w:id="679" w:name="_Toc354740881"/>
      <w:bookmarkStart w:id="680" w:name="_Toc366085180"/>
      <w:bookmarkStart w:id="681" w:name="_Toc379488073"/>
      <w:bookmarkStart w:id="682" w:name="_Toc380052177"/>
      <w:bookmarkStart w:id="683" w:name="_Toc380052687"/>
      <w:bookmarkStart w:id="684" w:name="_Toc391545372"/>
      <w:r w:rsidRPr="001827DA">
        <w:rPr>
          <w:caps w:val="0"/>
        </w:rPr>
        <w:lastRenderedPageBreak/>
        <w:t>FRAMEWORK SCHEDULE 1</w:t>
      </w:r>
      <w:r>
        <w:rPr>
          <w:caps w:val="0"/>
        </w:rPr>
        <w:t>:</w:t>
      </w:r>
      <w:r w:rsidRPr="001827DA">
        <w:rPr>
          <w:caps w:val="0"/>
        </w:rPr>
        <w:t xml:space="preserve"> DEFINITIONS</w:t>
      </w:r>
      <w:bookmarkEnd w:id="679"/>
      <w:bookmarkEnd w:id="680"/>
      <w:bookmarkEnd w:id="681"/>
      <w:bookmarkEnd w:id="682"/>
      <w:bookmarkEnd w:id="683"/>
      <w:bookmarkEnd w:id="684"/>
    </w:p>
    <w:p w:rsidR="00F20C99" w:rsidRDefault="0066375B" w:rsidP="002E7CBD">
      <w:pPr>
        <w:pStyle w:val="GPSL1Schedulenumbered"/>
      </w:pPr>
      <w:bookmarkStart w:id="685" w:name="_Toc348637150"/>
      <w:r w:rsidRPr="00D86990">
        <w:t>In accordance with Clause</w:t>
      </w:r>
      <w:r w:rsidR="00A9193F">
        <w:t xml:space="preserve"> </w:t>
      </w:r>
      <w:r w:rsidR="00F71B15">
        <w:fldChar w:fldCharType="begin"/>
      </w:r>
      <w:r w:rsidR="00A9193F">
        <w:instrText xml:space="preserve"> REF _Ref354501142 \r \h </w:instrText>
      </w:r>
      <w:r w:rsidR="00F71B15">
        <w:fldChar w:fldCharType="separate"/>
      </w:r>
      <w:r w:rsidR="00B3040B">
        <w:t>1.1</w:t>
      </w:r>
      <w:r w:rsidR="00F71B15">
        <w:fldChar w:fldCharType="end"/>
      </w:r>
      <w:r w:rsidR="00E673AA">
        <w:t xml:space="preserve"> (Definitions)</w:t>
      </w:r>
      <w:r w:rsidRPr="00D86990">
        <w:t>, in this Framework Agreement including its recitals the following expressions shall have the following meanings:</w:t>
      </w:r>
      <w:bookmarkEnd w:id="685"/>
    </w:p>
    <w:tbl>
      <w:tblPr>
        <w:tblW w:w="8221" w:type="dxa"/>
        <w:tblInd w:w="1101" w:type="dxa"/>
        <w:tblLayout w:type="fixed"/>
        <w:tblLook w:val="04A0" w:firstRow="1" w:lastRow="0" w:firstColumn="1" w:lastColumn="0" w:noHBand="0" w:noVBand="1"/>
      </w:tblPr>
      <w:tblGrid>
        <w:gridCol w:w="1984"/>
        <w:gridCol w:w="6237"/>
      </w:tblGrid>
      <w:tr w:rsidR="0066375B" w:rsidRPr="006875AD" w:rsidTr="00A04D6A">
        <w:tc>
          <w:tcPr>
            <w:tcW w:w="1984" w:type="dxa"/>
            <w:shd w:val="clear" w:color="auto" w:fill="auto"/>
          </w:tcPr>
          <w:p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237" w:type="dxa"/>
            <w:shd w:val="clear" w:color="auto" w:fill="auto"/>
          </w:tcPr>
          <w:p w:rsidR="00D81DAD" w:rsidRDefault="0066375B" w:rsidP="00390EFB">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390EFB" w:rsidRPr="00CA7B8F">
                <w:rPr>
                  <w:color w:val="000000"/>
                  <w:lang w:eastAsia="en-GB"/>
                </w:rPr>
                <w:t>http://ccs.cabinetoffice.gov.uk/i-am-supplier/management-information/admin-fees</w:t>
              </w:r>
            </w:hyperlink>
            <w:r w:rsidRPr="006875AD">
              <w:t>;</w:t>
            </w:r>
          </w:p>
        </w:tc>
      </w:tr>
      <w:tr w:rsidR="0066375B" w:rsidRPr="006875AD" w:rsidTr="00A04D6A">
        <w:tc>
          <w:tcPr>
            <w:tcW w:w="1984" w:type="dxa"/>
            <w:shd w:val="clear" w:color="auto" w:fill="auto"/>
          </w:tcPr>
          <w:p w:rsidR="00D81DAD" w:rsidRDefault="002E7CBD" w:rsidP="00293635">
            <w:pPr>
              <w:pStyle w:val="GPSDefinitionTerm"/>
            </w:pPr>
            <w:r w:rsidRPr="006875AD">
              <w:t>"</w:t>
            </w:r>
            <w:r w:rsidR="00745228" w:rsidRPr="006875AD">
              <w:t>Affiliate</w:t>
            </w:r>
            <w:r w:rsidR="00745228">
              <w:t>s</w:t>
            </w:r>
            <w:r w:rsidR="0066375B" w:rsidRPr="006875AD">
              <w:t>"</w:t>
            </w:r>
          </w:p>
        </w:tc>
        <w:tc>
          <w:tcPr>
            <w:tcW w:w="6237" w:type="dxa"/>
            <w:shd w:val="clear" w:color="auto" w:fill="auto"/>
          </w:tcPr>
          <w:p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rsidTr="00A04D6A">
        <w:tc>
          <w:tcPr>
            <w:tcW w:w="1984" w:type="dxa"/>
            <w:shd w:val="clear" w:color="auto" w:fill="auto"/>
          </w:tcPr>
          <w:p w:rsidR="00D81DAD" w:rsidRDefault="0066375B" w:rsidP="00293635">
            <w:pPr>
              <w:pStyle w:val="GPSDefinitionTerm"/>
            </w:pPr>
            <w:r w:rsidRPr="006875AD">
              <w:t>"Approval"</w:t>
            </w:r>
          </w:p>
        </w:tc>
        <w:tc>
          <w:tcPr>
            <w:tcW w:w="6237" w:type="dxa"/>
            <w:shd w:val="clear" w:color="auto" w:fill="auto"/>
          </w:tcPr>
          <w:p w:rsidR="00D81DAD" w:rsidRDefault="0066375B" w:rsidP="00293635">
            <w:pPr>
              <w:pStyle w:val="GPsDefinition"/>
            </w:pPr>
            <w:r w:rsidRPr="006875AD">
              <w:t>means the prior written consent of the Authority and "Approve" and "Approved" shall be construed accordingly;</w:t>
            </w:r>
          </w:p>
        </w:tc>
      </w:tr>
      <w:tr w:rsidR="00531544" w:rsidRPr="006875AD" w:rsidTr="00A04D6A">
        <w:tc>
          <w:tcPr>
            <w:tcW w:w="1984" w:type="dxa"/>
            <w:shd w:val="clear" w:color="auto" w:fill="auto"/>
          </w:tcPr>
          <w:p w:rsidR="00D81DAD" w:rsidRDefault="00531544" w:rsidP="00293635">
            <w:pPr>
              <w:pStyle w:val="GPSDefinitionTerm"/>
            </w:pPr>
            <w:r w:rsidRPr="006875AD">
              <w:t>"Audit"</w:t>
            </w:r>
          </w:p>
        </w:tc>
        <w:tc>
          <w:tcPr>
            <w:tcW w:w="6237" w:type="dxa"/>
            <w:shd w:val="clear" w:color="auto" w:fill="auto"/>
          </w:tcPr>
          <w:p w:rsidR="00D81DAD" w:rsidRDefault="00531544" w:rsidP="00293635">
            <w:pPr>
              <w:pStyle w:val="GPsDefinition"/>
            </w:pPr>
            <w:r w:rsidRPr="006875AD">
              <w:t>means an audit carried out pursuant to Clause </w:t>
            </w:r>
            <w:r w:rsidR="000822F5">
              <w:fldChar w:fldCharType="begin"/>
            </w:r>
            <w:r w:rsidR="000822F5">
              <w:instrText xml:space="preserve"> REF _Ref365017299 \r \h  \* MERGEFORMAT </w:instrText>
            </w:r>
            <w:r w:rsidR="000822F5">
              <w:fldChar w:fldCharType="separate"/>
            </w:r>
            <w:r w:rsidR="00B3040B">
              <w:t>15</w:t>
            </w:r>
            <w:r w:rsidR="000822F5">
              <w:fldChar w:fldCharType="end"/>
            </w:r>
            <w:r w:rsidRPr="006875AD">
              <w:t xml:space="preserve"> (</w:t>
            </w:r>
            <w:r>
              <w:t>Records, Audit Access and Open Book Data</w:t>
            </w:r>
            <w:r w:rsidRPr="006875AD">
              <w:t>);</w:t>
            </w:r>
          </w:p>
        </w:tc>
      </w:tr>
      <w:tr w:rsidR="0066375B" w:rsidRPr="006875AD" w:rsidTr="00A04D6A">
        <w:tc>
          <w:tcPr>
            <w:tcW w:w="1984" w:type="dxa"/>
            <w:shd w:val="clear" w:color="auto" w:fill="auto"/>
          </w:tcPr>
          <w:p w:rsidR="00D81DAD" w:rsidRDefault="002E7CBD" w:rsidP="00293635">
            <w:pPr>
              <w:pStyle w:val="GPSDefinitionTerm"/>
            </w:pPr>
            <w:r w:rsidRPr="006875AD">
              <w:t>"</w:t>
            </w:r>
            <w:r w:rsidR="001B57FF">
              <w:t>Audit Report</w:t>
            </w:r>
            <w:r w:rsidRPr="006875AD">
              <w:t>"</w:t>
            </w:r>
          </w:p>
        </w:tc>
        <w:tc>
          <w:tcPr>
            <w:tcW w:w="6237" w:type="dxa"/>
            <w:shd w:val="clear" w:color="auto" w:fill="auto"/>
          </w:tcPr>
          <w:p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rsidTr="00A04D6A">
        <w:tc>
          <w:tcPr>
            <w:tcW w:w="1984" w:type="dxa"/>
            <w:shd w:val="clear" w:color="auto" w:fill="auto"/>
          </w:tcPr>
          <w:p w:rsidR="00D81DAD" w:rsidRDefault="0066375B" w:rsidP="00293635">
            <w:pPr>
              <w:pStyle w:val="GPSDefinitionTerm"/>
            </w:pPr>
            <w:r w:rsidRPr="006875AD">
              <w:t>"Auditor"</w:t>
            </w:r>
          </w:p>
        </w:tc>
        <w:tc>
          <w:tcPr>
            <w:tcW w:w="6237" w:type="dxa"/>
            <w:shd w:val="clear" w:color="auto" w:fill="auto"/>
          </w:tcPr>
          <w:p w:rsidR="00D81DAD" w:rsidRDefault="0066375B" w:rsidP="00293635">
            <w:pPr>
              <w:pStyle w:val="GPsDefinition"/>
            </w:pPr>
            <w:r w:rsidRPr="006875AD">
              <w:t>means the Authority, and/or Other Contracting Body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rsidTr="00A04D6A">
        <w:tc>
          <w:tcPr>
            <w:tcW w:w="1984" w:type="dxa"/>
            <w:shd w:val="clear" w:color="auto" w:fill="auto"/>
          </w:tcPr>
          <w:p w:rsidR="00D81DAD" w:rsidRDefault="002E7CBD" w:rsidP="00293635">
            <w:pPr>
              <w:pStyle w:val="GPSDefinitionTerm"/>
            </w:pPr>
            <w:r w:rsidRPr="006875AD">
              <w:t>"</w:t>
            </w:r>
            <w:r w:rsidR="0066375B" w:rsidRPr="006875AD">
              <w:t>Authority</w:t>
            </w:r>
            <w:r w:rsidRPr="006875AD">
              <w:t>"</w:t>
            </w:r>
          </w:p>
        </w:tc>
        <w:tc>
          <w:tcPr>
            <w:tcW w:w="6237" w:type="dxa"/>
            <w:shd w:val="clear" w:color="auto" w:fill="auto"/>
          </w:tcPr>
          <w:p w:rsidR="00D81DAD" w:rsidRDefault="0066375B" w:rsidP="00293635">
            <w:pPr>
              <w:pStyle w:val="GPsDefinition"/>
            </w:pPr>
            <w:r w:rsidRPr="006875AD">
              <w:t>means the Contracting Body stated in the preamble to this Framework Agreement;</w:t>
            </w:r>
          </w:p>
        </w:tc>
      </w:tr>
      <w:tr w:rsidR="0066375B" w:rsidRPr="006875AD" w:rsidTr="00A04D6A">
        <w:tc>
          <w:tcPr>
            <w:tcW w:w="1984" w:type="dxa"/>
            <w:shd w:val="clear" w:color="auto" w:fill="auto"/>
          </w:tcPr>
          <w:p w:rsidR="00D81DAD" w:rsidRDefault="002E7CBD" w:rsidP="00293635">
            <w:pPr>
              <w:pStyle w:val="GPSDefinitionTerm"/>
            </w:pPr>
            <w:r w:rsidRPr="006875AD">
              <w:t>"</w:t>
            </w:r>
            <w:r w:rsidR="0066375B" w:rsidRPr="006875AD">
              <w:t>Authority Personal Data</w:t>
            </w:r>
            <w:r w:rsidRPr="006875AD">
              <w:t>"</w:t>
            </w:r>
          </w:p>
        </w:tc>
        <w:tc>
          <w:tcPr>
            <w:tcW w:w="6237" w:type="dxa"/>
            <w:shd w:val="clear" w:color="auto" w:fill="auto"/>
          </w:tcPr>
          <w:p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rsidTr="00A04D6A">
        <w:tc>
          <w:tcPr>
            <w:tcW w:w="1984" w:type="dxa"/>
            <w:shd w:val="clear" w:color="auto" w:fill="auto"/>
          </w:tcPr>
          <w:p w:rsidR="00D81DAD" w:rsidRDefault="0066375B" w:rsidP="00293635">
            <w:pPr>
              <w:pStyle w:val="GPSDefinitionTerm"/>
            </w:pPr>
            <w:r w:rsidRPr="006875AD">
              <w:t>"Authority Representative"</w:t>
            </w:r>
          </w:p>
        </w:tc>
        <w:tc>
          <w:tcPr>
            <w:tcW w:w="6237" w:type="dxa"/>
            <w:shd w:val="clear" w:color="auto" w:fill="auto"/>
          </w:tcPr>
          <w:p w:rsidR="00D81DAD" w:rsidRDefault="0066375B" w:rsidP="00293635">
            <w:pPr>
              <w:pStyle w:val="GPsDefinition"/>
            </w:pPr>
            <w:r w:rsidRPr="006875AD">
              <w:t>means the representative appointed by the Authority from time to time in relation to this Framework Agreement;</w:t>
            </w:r>
          </w:p>
        </w:tc>
      </w:tr>
      <w:tr w:rsidR="0066375B" w:rsidRPr="006875AD" w:rsidTr="00A04D6A">
        <w:tc>
          <w:tcPr>
            <w:tcW w:w="1984" w:type="dxa"/>
            <w:shd w:val="clear" w:color="auto" w:fill="auto"/>
          </w:tcPr>
          <w:p w:rsidR="00D81DAD" w:rsidRDefault="0066375B" w:rsidP="00293635">
            <w:pPr>
              <w:pStyle w:val="GPSDefinitionTerm"/>
            </w:pPr>
            <w:r w:rsidRPr="006875AD">
              <w:t>"Authority's Confidential Information"</w:t>
            </w:r>
          </w:p>
        </w:tc>
        <w:tc>
          <w:tcPr>
            <w:tcW w:w="6237" w:type="dxa"/>
            <w:shd w:val="clear" w:color="auto" w:fill="auto"/>
          </w:tcPr>
          <w:p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Contracting Bodies,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marked </w:t>
            </w:r>
            <w:r w:rsidR="002E7CBD">
              <w:t>“</w:t>
            </w:r>
            <w:r w:rsidR="003D744F" w:rsidRPr="006875AD">
              <w:t>confidential”)</w:t>
            </w:r>
            <w:r w:rsidR="003D744F">
              <w:t xml:space="preserve"> </w:t>
            </w:r>
            <w:r w:rsidRPr="006875AD">
              <w:t>or which ought reasonably to be considered to be confidential;</w:t>
            </w:r>
          </w:p>
        </w:tc>
      </w:tr>
      <w:tr w:rsidR="0066375B" w:rsidRPr="006875AD" w:rsidTr="00A04D6A">
        <w:tc>
          <w:tcPr>
            <w:tcW w:w="1984" w:type="dxa"/>
            <w:shd w:val="clear" w:color="auto" w:fill="auto"/>
          </w:tcPr>
          <w:p w:rsidR="00D81DAD" w:rsidRDefault="0066375B" w:rsidP="00293635">
            <w:pPr>
              <w:pStyle w:val="GPSDefinitionTerm"/>
            </w:pPr>
            <w:r w:rsidRPr="006875AD">
              <w:t>"Branding Guidance"</w:t>
            </w:r>
          </w:p>
        </w:tc>
        <w:tc>
          <w:tcPr>
            <w:tcW w:w="6237" w:type="dxa"/>
            <w:shd w:val="clear" w:color="auto" w:fill="auto"/>
          </w:tcPr>
          <w:p w:rsidR="00D81DAD" w:rsidRDefault="0066375B" w:rsidP="00505AE7">
            <w:pPr>
              <w:pStyle w:val="GPsDefinition"/>
            </w:pPr>
            <w:r w:rsidRPr="006875AD">
              <w:t xml:space="preserve">means the Authority's guidance in relation to the use of branding available at </w:t>
            </w:r>
            <w:r w:rsidR="00505AE7">
              <w:t xml:space="preserve"> </w:t>
            </w:r>
            <w:r w:rsidR="00505AE7" w:rsidRPr="00844561">
              <w:t>http://ccs.cabinetoffice.gov.uk/i-am-supplier/supplier-resources</w:t>
            </w:r>
          </w:p>
        </w:tc>
      </w:tr>
      <w:tr w:rsidR="0066375B" w:rsidRPr="006875AD" w:rsidTr="00A04D6A">
        <w:tc>
          <w:tcPr>
            <w:tcW w:w="1984" w:type="dxa"/>
            <w:shd w:val="clear" w:color="auto" w:fill="auto"/>
          </w:tcPr>
          <w:p w:rsidR="00D81DAD" w:rsidRDefault="0066375B" w:rsidP="00293635">
            <w:pPr>
              <w:pStyle w:val="GPSDefinitionTerm"/>
            </w:pPr>
            <w:r w:rsidRPr="006875AD">
              <w:t>"Call</w:t>
            </w:r>
            <w:r w:rsidR="005953A1" w:rsidRPr="006875AD">
              <w:t xml:space="preserve"> </w:t>
            </w:r>
            <w:r w:rsidRPr="006875AD">
              <w:t>Off Agreement"</w:t>
            </w:r>
          </w:p>
        </w:tc>
        <w:tc>
          <w:tcPr>
            <w:tcW w:w="6237" w:type="dxa"/>
            <w:shd w:val="clear" w:color="auto" w:fill="auto"/>
          </w:tcPr>
          <w:p w:rsidR="00D81DAD" w:rsidRDefault="0066375B" w:rsidP="00293635">
            <w:pPr>
              <w:pStyle w:val="GPsDefinition"/>
            </w:pPr>
            <w:r w:rsidRPr="006875AD">
              <w:t>means a legally binding agreement (entered into pursuant to the provisions of this Framework Agreement) for the provision of the Services made between a Contracting Body and the Supplier</w:t>
            </w:r>
            <w:r w:rsidR="009731DF">
              <w:t>,</w:t>
            </w:r>
            <w:r w:rsidRPr="006875AD">
              <w:t xml:space="preserve"> </w:t>
            </w:r>
            <w:r w:rsidR="009731DF" w:rsidRPr="00922584">
              <w:t xml:space="preserve">which shall comprise the terms and conditions of the Order Form and of the Template Call Off </w:t>
            </w:r>
            <w:r w:rsidR="009731DF" w:rsidRPr="00922584">
              <w:lastRenderedPageBreak/>
              <w:t>T</w:t>
            </w:r>
            <w:r w:rsidR="009731DF">
              <w:t xml:space="preserve">erms (amended or refined where required by the </w:t>
            </w:r>
            <w:r w:rsidR="001A0B07">
              <w:t>Contracting Body</w:t>
            </w:r>
            <w:r w:rsidR="009731DF" w:rsidRPr="00922584">
              <w:t xml:space="preserve"> and permissible pursuant to Framework </w:t>
            </w:r>
            <w:r w:rsidR="009731DF">
              <w:t>Schedule 5 (Call Off Procedure)</w:t>
            </w:r>
            <w:r w:rsidRPr="006875AD">
              <w:t>;</w:t>
            </w:r>
          </w:p>
        </w:tc>
      </w:tr>
      <w:tr w:rsidR="0066375B" w:rsidRPr="006875AD" w:rsidTr="00A04D6A">
        <w:tc>
          <w:tcPr>
            <w:tcW w:w="1984" w:type="dxa"/>
            <w:shd w:val="clear" w:color="auto" w:fill="auto"/>
          </w:tcPr>
          <w:p w:rsidR="00D81DAD" w:rsidRPr="00B6625F" w:rsidRDefault="00225C7E" w:rsidP="00293635">
            <w:pPr>
              <w:pStyle w:val="GPSDefinitionTerm"/>
            </w:pPr>
            <w:r w:rsidRPr="00225C7E">
              <w:lastRenderedPageBreak/>
              <w:t>"Call Off Guarantee"</w:t>
            </w:r>
          </w:p>
        </w:tc>
        <w:tc>
          <w:tcPr>
            <w:tcW w:w="6237" w:type="dxa"/>
            <w:shd w:val="clear" w:color="auto" w:fill="auto"/>
          </w:tcPr>
          <w:p w:rsidR="00D81DAD" w:rsidRPr="00B6625F" w:rsidRDefault="00225C7E" w:rsidP="00B6625F">
            <w:pPr>
              <w:pStyle w:val="GPsDefinition"/>
            </w:pPr>
            <w:r w:rsidRPr="00225C7E">
              <w:t>means a deed of guarantee in favour of a Contracting Body in the form set out in Framework Schedule 13 (</w:t>
            </w:r>
            <w:r w:rsidR="000822F5">
              <w:t xml:space="preserve">Template </w:t>
            </w:r>
            <w:r w:rsidRPr="00225C7E">
              <w:t xml:space="preserve">Guarantee) and granted pursuant to Clause </w:t>
            </w:r>
            <w:r w:rsidR="00B6625F" w:rsidRPr="00B6625F">
              <w:t xml:space="preserve">4 </w:t>
            </w:r>
            <w:r w:rsidRPr="00225C7E">
              <w:t>of the Template Call Off terms;</w:t>
            </w:r>
          </w:p>
        </w:tc>
      </w:tr>
      <w:tr w:rsidR="0066375B" w:rsidRPr="006875AD" w:rsidTr="00A04D6A">
        <w:tc>
          <w:tcPr>
            <w:tcW w:w="1984" w:type="dxa"/>
            <w:shd w:val="clear" w:color="auto" w:fill="auto"/>
          </w:tcPr>
          <w:p w:rsidR="00D81DAD" w:rsidRPr="00B6625F" w:rsidRDefault="00225C7E" w:rsidP="00293635">
            <w:pPr>
              <w:pStyle w:val="GPSDefinitionTerm"/>
            </w:pPr>
            <w:r w:rsidRPr="00225C7E">
              <w:t>"Call Off Guarantor"</w:t>
            </w:r>
          </w:p>
        </w:tc>
        <w:tc>
          <w:tcPr>
            <w:tcW w:w="6237" w:type="dxa"/>
            <w:shd w:val="clear" w:color="auto" w:fill="auto"/>
          </w:tcPr>
          <w:p w:rsidR="00D81DAD" w:rsidRPr="00B6625F" w:rsidRDefault="00225C7E" w:rsidP="00293635">
            <w:pPr>
              <w:pStyle w:val="GPsDefinition"/>
            </w:pPr>
            <w:r w:rsidRPr="00225C7E">
              <w:t xml:space="preserve">means the person acceptable to a Contracting Body to give a Call Off Guarantee; </w:t>
            </w:r>
          </w:p>
        </w:tc>
      </w:tr>
      <w:tr w:rsidR="009C32C6" w:rsidRPr="006875AD" w:rsidTr="00A04D6A">
        <w:tc>
          <w:tcPr>
            <w:tcW w:w="1984" w:type="dxa"/>
            <w:shd w:val="clear" w:color="auto" w:fill="auto"/>
          </w:tcPr>
          <w:p w:rsidR="00D81DAD" w:rsidRDefault="009C32C6" w:rsidP="00293635">
            <w:pPr>
              <w:pStyle w:val="GPSDefinitionTerm"/>
            </w:pPr>
            <w:r w:rsidRPr="006875AD">
              <w:t>"Call Off Procedure"</w:t>
            </w:r>
          </w:p>
        </w:tc>
        <w:tc>
          <w:tcPr>
            <w:tcW w:w="6237" w:type="dxa"/>
            <w:shd w:val="clear" w:color="auto" w:fill="auto"/>
          </w:tcPr>
          <w:p w:rsidR="00D81DAD" w:rsidRDefault="009C32C6" w:rsidP="00293635">
            <w:pPr>
              <w:pStyle w:val="GPsDefinition"/>
              <w:rPr>
                <w:color w:val="000000"/>
              </w:rPr>
            </w:pPr>
            <w:r w:rsidRPr="006875AD">
              <w:t>means the process for awarding a Call Off Agreement pursuant to Clause</w:t>
            </w:r>
            <w:r w:rsidR="00A335C2">
              <w:t xml:space="preserve"> </w:t>
            </w:r>
            <w:r w:rsidR="00F71B15">
              <w:fldChar w:fldCharType="begin"/>
            </w:r>
            <w:r w:rsidR="00A335C2">
              <w:instrText xml:space="preserve"> REF _Ref365046531 \r \h </w:instrText>
            </w:r>
            <w:r w:rsidR="00F71B15">
              <w:fldChar w:fldCharType="separate"/>
            </w:r>
            <w:r w:rsidR="00B3040B">
              <w:t>4</w:t>
            </w:r>
            <w:r w:rsidR="00F71B15">
              <w:fldChar w:fldCharType="end"/>
            </w:r>
            <w:r w:rsidR="00A335C2">
              <w:t xml:space="preserve"> </w:t>
            </w:r>
            <w:r w:rsidRPr="006875AD">
              <w:t>(Call Off Procedure) and Framework Schedule 5 (Call Off Procedure);</w:t>
            </w:r>
          </w:p>
        </w:tc>
      </w:tr>
      <w:tr w:rsidR="005C2968" w:rsidRPr="006875AD" w:rsidTr="00A04D6A">
        <w:tc>
          <w:tcPr>
            <w:tcW w:w="1984" w:type="dxa"/>
            <w:shd w:val="clear" w:color="auto" w:fill="auto"/>
          </w:tcPr>
          <w:p w:rsidR="005C2968" w:rsidRPr="006875AD" w:rsidRDefault="005C2968" w:rsidP="00293635">
            <w:pPr>
              <w:pStyle w:val="GPSDefinitionTerm"/>
            </w:pPr>
            <w:r>
              <w:t>“Call Off Terms”</w:t>
            </w:r>
          </w:p>
        </w:tc>
        <w:tc>
          <w:tcPr>
            <w:tcW w:w="6237" w:type="dxa"/>
            <w:shd w:val="clear" w:color="auto" w:fill="auto"/>
          </w:tcPr>
          <w:p w:rsidR="005C2968" w:rsidRDefault="005C2968" w:rsidP="00293635">
            <w:pPr>
              <w:pStyle w:val="GPsDefinition"/>
            </w:pPr>
            <w:r>
              <w:t xml:space="preserve">means the Template Call Off Terms (amended or refined if necessary and permissible by the </w:t>
            </w:r>
            <w:r w:rsidR="001A0B07">
              <w:t>Contracting Body</w:t>
            </w:r>
            <w:r>
              <w:t xml:space="preserve"> ) as they apply in a Call Off Agreement;</w:t>
            </w:r>
          </w:p>
        </w:tc>
      </w:tr>
      <w:tr w:rsidR="00531544" w:rsidRPr="006875AD" w:rsidTr="00A04D6A">
        <w:tc>
          <w:tcPr>
            <w:tcW w:w="1984" w:type="dxa"/>
            <w:shd w:val="clear" w:color="auto" w:fill="auto"/>
          </w:tcPr>
          <w:p w:rsidR="00D81DAD" w:rsidRDefault="002E7CBD" w:rsidP="00293635">
            <w:pPr>
              <w:pStyle w:val="GPSDefinitionTerm"/>
            </w:pPr>
            <w:r w:rsidRPr="006875AD">
              <w:t>"</w:t>
            </w:r>
            <w:r w:rsidR="00531544" w:rsidRPr="006875AD">
              <w:t>CEDR</w:t>
            </w:r>
            <w:r w:rsidRPr="006875AD">
              <w:t>"</w:t>
            </w:r>
          </w:p>
        </w:tc>
        <w:tc>
          <w:tcPr>
            <w:tcW w:w="6237" w:type="dxa"/>
            <w:shd w:val="clear" w:color="auto" w:fill="auto"/>
          </w:tcPr>
          <w:p w:rsidR="00D81DAD" w:rsidRDefault="002E7CBD" w:rsidP="00293635">
            <w:pPr>
              <w:pStyle w:val="GPsDefinition"/>
            </w:pPr>
            <w:r>
              <w:t>means</w:t>
            </w:r>
            <w:r w:rsidR="00531544" w:rsidRPr="006875AD">
              <w:t xml:space="preserve"> the Centre for Effective Dispute Resolution;</w:t>
            </w:r>
          </w:p>
        </w:tc>
      </w:tr>
      <w:tr w:rsidR="00BD3F71" w:rsidRPr="006875AD" w:rsidTr="00A04D6A">
        <w:tc>
          <w:tcPr>
            <w:tcW w:w="1984" w:type="dxa"/>
            <w:shd w:val="clear" w:color="auto" w:fill="auto"/>
          </w:tcPr>
          <w:p w:rsidR="00D81DAD" w:rsidRDefault="002E7CBD" w:rsidP="00293635">
            <w:pPr>
              <w:pStyle w:val="GPSDefinitionTerm"/>
            </w:pPr>
            <w:r w:rsidRPr="006875AD">
              <w:t>"</w:t>
            </w:r>
            <w:r w:rsidR="00051DA2">
              <w:t>Central Government Body</w:t>
            </w:r>
            <w:r w:rsidRPr="006875AD">
              <w:t>"</w:t>
            </w:r>
          </w:p>
        </w:tc>
        <w:tc>
          <w:tcPr>
            <w:tcW w:w="6237" w:type="dxa"/>
            <w:shd w:val="clear" w:color="auto" w:fill="auto"/>
          </w:tcPr>
          <w:p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rsidR="00D81DAD" w:rsidRDefault="001827DA" w:rsidP="00293635">
            <w:pPr>
              <w:pStyle w:val="GPSDefinitionL2"/>
            </w:pPr>
            <w:r w:rsidRPr="001827DA">
              <w:t>Government Department;</w:t>
            </w:r>
          </w:p>
          <w:p w:rsidR="00D81DAD" w:rsidRDefault="001827DA" w:rsidP="00293635">
            <w:pPr>
              <w:pStyle w:val="GPSDefinitionL2"/>
            </w:pPr>
            <w:r w:rsidRPr="001827DA">
              <w:t>Non-Departmental Public Body or Assembly Sponsored Public Body (advisory, executive, or tribunal);</w:t>
            </w:r>
          </w:p>
          <w:p w:rsidR="00D81DAD" w:rsidRDefault="001827DA" w:rsidP="00293635">
            <w:pPr>
              <w:pStyle w:val="GPSDefinitionL2"/>
            </w:pPr>
            <w:r w:rsidRPr="001827DA">
              <w:t>Non-Ministerial Department; or</w:t>
            </w:r>
          </w:p>
          <w:p w:rsidR="00D81DAD" w:rsidRDefault="001827DA" w:rsidP="00293635">
            <w:pPr>
              <w:pStyle w:val="GPSDefinitionL2"/>
            </w:pPr>
            <w:r w:rsidRPr="001827DA">
              <w:t>Executive Agency;</w:t>
            </w:r>
          </w:p>
        </w:tc>
      </w:tr>
      <w:tr w:rsidR="0066375B" w:rsidRPr="006875AD" w:rsidTr="00A04D6A">
        <w:tc>
          <w:tcPr>
            <w:tcW w:w="1984" w:type="dxa"/>
            <w:shd w:val="clear" w:color="auto" w:fill="auto"/>
          </w:tcPr>
          <w:p w:rsidR="00D81DAD" w:rsidRDefault="0066375B" w:rsidP="00293635">
            <w:pPr>
              <w:pStyle w:val="GPSDefinitionTerm"/>
            </w:pPr>
            <w:r w:rsidRPr="006875AD">
              <w:t>"Change in Law"</w:t>
            </w:r>
          </w:p>
        </w:tc>
        <w:tc>
          <w:tcPr>
            <w:tcW w:w="6237" w:type="dxa"/>
            <w:shd w:val="clear" w:color="auto" w:fill="auto"/>
          </w:tcPr>
          <w:p w:rsidR="00D81DAD" w:rsidRDefault="0066375B" w:rsidP="00293635">
            <w:pPr>
              <w:pStyle w:val="GPsDefinition"/>
            </w:pPr>
            <w:r w:rsidRPr="006875AD">
              <w:t xml:space="preserve">means any change in Law which impacts on the supply of the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rsidTr="00A04D6A">
        <w:tc>
          <w:tcPr>
            <w:tcW w:w="1984" w:type="dxa"/>
            <w:shd w:val="clear" w:color="auto" w:fill="auto"/>
          </w:tcPr>
          <w:p w:rsidR="00D81DAD" w:rsidRDefault="0066375B" w:rsidP="00293635">
            <w:pPr>
              <w:pStyle w:val="GPSDefinitionTerm"/>
            </w:pPr>
            <w:r w:rsidRPr="006875AD">
              <w:t>"Change of Control"</w:t>
            </w:r>
          </w:p>
        </w:tc>
        <w:tc>
          <w:tcPr>
            <w:tcW w:w="6237" w:type="dxa"/>
            <w:shd w:val="clear" w:color="auto" w:fill="auto"/>
          </w:tcPr>
          <w:p w:rsidR="00D81DAD" w:rsidRDefault="0066375B" w:rsidP="00293635">
            <w:pPr>
              <w:pStyle w:val="GPsDefinition"/>
            </w:pPr>
            <w:r w:rsidRPr="006875AD">
              <w:t>means a change of control within the meaning of Section 450 of the Corporation Tax Act 2010;</w:t>
            </w:r>
          </w:p>
        </w:tc>
      </w:tr>
      <w:tr w:rsidR="0066375B" w:rsidRPr="006875AD" w:rsidTr="00A04D6A">
        <w:tc>
          <w:tcPr>
            <w:tcW w:w="1984" w:type="dxa"/>
            <w:shd w:val="clear" w:color="auto" w:fill="auto"/>
          </w:tcPr>
          <w:p w:rsidR="00D81DAD" w:rsidRDefault="0066375B" w:rsidP="00293635">
            <w:pPr>
              <w:pStyle w:val="GPSDefinitionTerm"/>
            </w:pPr>
            <w:r w:rsidRPr="006875AD">
              <w:t>"Charges"</w:t>
            </w:r>
          </w:p>
        </w:tc>
        <w:tc>
          <w:tcPr>
            <w:tcW w:w="6237" w:type="dxa"/>
            <w:shd w:val="clear" w:color="auto" w:fill="auto"/>
          </w:tcPr>
          <w:p w:rsidR="00D81DAD" w:rsidRDefault="0066375B" w:rsidP="009731DF">
            <w:pPr>
              <w:pStyle w:val="GPsDefinition"/>
            </w:pPr>
            <w:r w:rsidRPr="006875AD">
              <w:t>means the charges raised under or in connection with a Call</w:t>
            </w:r>
            <w:r w:rsidR="005953A1" w:rsidRPr="006875AD">
              <w:t xml:space="preserve"> </w:t>
            </w:r>
            <w:r w:rsidRPr="006875AD">
              <w:t>Off Agreement from time to time;</w:t>
            </w:r>
          </w:p>
        </w:tc>
      </w:tr>
      <w:tr w:rsidR="0066375B" w:rsidRPr="006875AD" w:rsidTr="00A04D6A">
        <w:trPr>
          <w:trHeight w:val="2513"/>
        </w:trPr>
        <w:tc>
          <w:tcPr>
            <w:tcW w:w="1984" w:type="dxa"/>
            <w:shd w:val="clear" w:color="auto" w:fill="auto"/>
          </w:tcPr>
          <w:p w:rsidR="00D81DAD" w:rsidRDefault="0066375B" w:rsidP="00293635">
            <w:pPr>
              <w:pStyle w:val="GPSDefinitionTerm"/>
            </w:pPr>
            <w:r w:rsidRPr="006875AD">
              <w:t>"Commercially Sensitive Information"</w:t>
            </w:r>
          </w:p>
        </w:tc>
        <w:tc>
          <w:tcPr>
            <w:tcW w:w="6237" w:type="dxa"/>
            <w:shd w:val="clear" w:color="auto" w:fill="auto"/>
          </w:tcPr>
          <w:p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rsidR="00D81DAD" w:rsidRDefault="0066375B" w:rsidP="00293635">
            <w:pPr>
              <w:pStyle w:val="GPSDefinitionL2"/>
            </w:pPr>
            <w:r w:rsidRPr="006875AD">
              <w:t>that constitutes a trade secret</w:t>
            </w:r>
            <w:r w:rsidR="002E7CBD">
              <w:t>;</w:t>
            </w:r>
          </w:p>
        </w:tc>
      </w:tr>
      <w:tr w:rsidR="00371AFF" w:rsidRPr="006875AD" w:rsidTr="00A04D6A">
        <w:tc>
          <w:tcPr>
            <w:tcW w:w="1984" w:type="dxa"/>
            <w:shd w:val="clear" w:color="auto" w:fill="auto"/>
          </w:tcPr>
          <w:p w:rsidR="00371AFF" w:rsidRPr="006875AD" w:rsidRDefault="00371AFF" w:rsidP="00293635">
            <w:pPr>
              <w:pStyle w:val="GPSDefinitionTerm"/>
            </w:pPr>
            <w:r>
              <w:t xml:space="preserve">“Common </w:t>
            </w:r>
            <w:r>
              <w:lastRenderedPageBreak/>
              <w:t>Components”</w:t>
            </w:r>
          </w:p>
        </w:tc>
        <w:tc>
          <w:tcPr>
            <w:tcW w:w="6237" w:type="dxa"/>
            <w:shd w:val="clear" w:color="auto" w:fill="auto"/>
          </w:tcPr>
          <w:p w:rsidR="00371AFF" w:rsidRPr="006875AD" w:rsidRDefault="00371AFF" w:rsidP="00293635">
            <w:pPr>
              <w:pStyle w:val="GPsDefinition"/>
            </w:pPr>
            <w:r>
              <w:lastRenderedPageBreak/>
              <w:t xml:space="preserve">means those components set out in paragraph 1.2.2 of Part </w:t>
            </w:r>
            <w:r>
              <w:lastRenderedPageBreak/>
              <w:t>A of Schedule 2(Services and Key Performance Indicators);</w:t>
            </w:r>
          </w:p>
        </w:tc>
      </w:tr>
      <w:tr w:rsidR="0066375B" w:rsidRPr="006875AD" w:rsidTr="00A04D6A">
        <w:tc>
          <w:tcPr>
            <w:tcW w:w="1984" w:type="dxa"/>
            <w:shd w:val="clear" w:color="auto" w:fill="auto"/>
          </w:tcPr>
          <w:p w:rsidR="00D81DAD" w:rsidRDefault="002E7CBD" w:rsidP="00293635">
            <w:pPr>
              <w:pStyle w:val="GPSDefinitionTerm"/>
            </w:pPr>
            <w:r w:rsidRPr="006875AD">
              <w:lastRenderedPageBreak/>
              <w:t>"</w:t>
            </w:r>
            <w:r w:rsidR="0066375B" w:rsidRPr="006875AD">
              <w:t>Comparable Supply</w:t>
            </w:r>
            <w:r w:rsidRPr="006875AD">
              <w:t>"</w:t>
            </w:r>
          </w:p>
        </w:tc>
        <w:tc>
          <w:tcPr>
            <w:tcW w:w="6237" w:type="dxa"/>
            <w:shd w:val="clear" w:color="auto" w:fill="auto"/>
          </w:tcPr>
          <w:p w:rsidR="00D81DAD" w:rsidRDefault="0066375B" w:rsidP="00293635">
            <w:pPr>
              <w:pStyle w:val="GPsDefinition"/>
            </w:pPr>
            <w:r w:rsidRPr="006875AD">
              <w:t xml:space="preserve">means the supply of </w:t>
            </w:r>
            <w:r w:rsidR="002D491C">
              <w:t>s</w:t>
            </w:r>
            <w:r w:rsidRPr="006875AD">
              <w:t>ervices to another customer of the Supplier that are the same or similar to the Services;</w:t>
            </w:r>
          </w:p>
        </w:tc>
      </w:tr>
      <w:tr w:rsidR="0066375B" w:rsidRPr="006875AD" w:rsidTr="00A04D6A">
        <w:tc>
          <w:tcPr>
            <w:tcW w:w="1984" w:type="dxa"/>
            <w:shd w:val="clear" w:color="auto" w:fill="auto"/>
          </w:tcPr>
          <w:p w:rsidR="00D81DAD" w:rsidRDefault="002E7CBD" w:rsidP="00293635">
            <w:pPr>
              <w:pStyle w:val="GPSDefinitionTerm"/>
            </w:pPr>
            <w:r w:rsidRPr="006875AD">
              <w:t>"</w:t>
            </w:r>
            <w:r w:rsidR="0066375B" w:rsidRPr="006875AD">
              <w:t>Complaint</w:t>
            </w:r>
            <w:r w:rsidRPr="006875AD">
              <w:t>"</w:t>
            </w:r>
          </w:p>
        </w:tc>
        <w:tc>
          <w:tcPr>
            <w:tcW w:w="6237" w:type="dxa"/>
            <w:shd w:val="clear" w:color="auto" w:fill="auto"/>
          </w:tcPr>
          <w:p w:rsidR="0066375B" w:rsidRPr="006875AD" w:rsidRDefault="0066375B" w:rsidP="00293635">
            <w:pPr>
              <w:pStyle w:val="GPsDefinition"/>
            </w:pPr>
            <w:r w:rsidRPr="006875AD">
              <w:t>means any formal written complaint raised by a Contracting Body in relation to the performance of this Framework Agreement or any Call</w:t>
            </w:r>
            <w:r w:rsidR="005953A1" w:rsidRPr="006875AD">
              <w:t xml:space="preserve"> </w:t>
            </w:r>
            <w:r w:rsidRPr="006875AD">
              <w:t>Off Agreement in accordance with Clause </w:t>
            </w:r>
            <w:r w:rsidR="000822F5">
              <w:fldChar w:fldCharType="begin"/>
            </w:r>
            <w:r w:rsidR="000822F5">
              <w:instrText xml:space="preserve"> REF _Ref311674926 \r \h  \* MERGEFORMAT </w:instrText>
            </w:r>
            <w:r w:rsidR="000822F5">
              <w:fldChar w:fldCharType="separate"/>
            </w:r>
            <w:r w:rsidR="00B3040B">
              <w:t>44</w:t>
            </w:r>
            <w:r w:rsidR="000822F5">
              <w:fldChar w:fldCharType="end"/>
            </w:r>
            <w:r w:rsidRPr="006875AD">
              <w:t xml:space="preserve"> (Complaints Handling);</w:t>
            </w:r>
          </w:p>
        </w:tc>
      </w:tr>
      <w:tr w:rsidR="00531544" w:rsidRPr="006875AD" w:rsidTr="00A04D6A">
        <w:tc>
          <w:tcPr>
            <w:tcW w:w="1984" w:type="dxa"/>
            <w:shd w:val="clear" w:color="auto" w:fill="auto"/>
          </w:tcPr>
          <w:p w:rsidR="00D81DAD" w:rsidRDefault="00531544" w:rsidP="00293635">
            <w:pPr>
              <w:pStyle w:val="GPSDefinitionTerm"/>
            </w:pPr>
            <w:r w:rsidRPr="006875AD">
              <w:t>"Confidential Information"</w:t>
            </w:r>
          </w:p>
        </w:tc>
        <w:tc>
          <w:tcPr>
            <w:tcW w:w="6237" w:type="dxa"/>
            <w:shd w:val="clear" w:color="auto" w:fill="auto"/>
          </w:tcPr>
          <w:p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rsidTr="00A04D6A">
        <w:tc>
          <w:tcPr>
            <w:tcW w:w="1984" w:type="dxa"/>
            <w:shd w:val="clear" w:color="auto" w:fill="auto"/>
          </w:tcPr>
          <w:p w:rsidR="00D81DAD" w:rsidRDefault="002E7CBD" w:rsidP="00293635">
            <w:pPr>
              <w:pStyle w:val="GPSDefinitionTerm"/>
            </w:pPr>
            <w:r w:rsidRPr="006875AD">
              <w:t>"</w:t>
            </w:r>
            <w:r w:rsidR="00EF703D">
              <w:t>Continuous Improvement</w:t>
            </w:r>
            <w:r w:rsidRPr="006875AD">
              <w:t>"</w:t>
            </w:r>
          </w:p>
        </w:tc>
        <w:tc>
          <w:tcPr>
            <w:tcW w:w="6237" w:type="dxa"/>
            <w:shd w:val="clear" w:color="auto" w:fill="auto"/>
          </w:tcPr>
          <w:p w:rsidR="00D81DAD" w:rsidRDefault="00EF703D" w:rsidP="00293635">
            <w:pPr>
              <w:pStyle w:val="GPsDefinition"/>
            </w:pPr>
            <w:r w:rsidRPr="00893741">
              <w:t xml:space="preserve">means a plan for improving the provision of the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rsidTr="00A04D6A">
        <w:tc>
          <w:tcPr>
            <w:tcW w:w="1984" w:type="dxa"/>
            <w:shd w:val="clear" w:color="auto" w:fill="auto"/>
          </w:tcPr>
          <w:p w:rsidR="00D81DAD" w:rsidRDefault="0066375B" w:rsidP="00293635">
            <w:pPr>
              <w:pStyle w:val="GPSDefinitionTerm"/>
            </w:pPr>
            <w:r w:rsidRPr="006875AD">
              <w:t>"Contract Year"</w:t>
            </w:r>
          </w:p>
        </w:tc>
        <w:tc>
          <w:tcPr>
            <w:tcW w:w="6237" w:type="dxa"/>
            <w:shd w:val="clear" w:color="auto" w:fill="auto"/>
          </w:tcPr>
          <w:p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rsidTr="00A04D6A">
        <w:tc>
          <w:tcPr>
            <w:tcW w:w="1984" w:type="dxa"/>
            <w:shd w:val="clear" w:color="auto" w:fill="auto"/>
          </w:tcPr>
          <w:p w:rsidR="00D81DAD" w:rsidRDefault="0066375B" w:rsidP="00293635">
            <w:pPr>
              <w:pStyle w:val="GPSDefinitionTerm"/>
            </w:pPr>
            <w:r w:rsidRPr="006875AD">
              <w:t>"Contracting Bodies"</w:t>
            </w:r>
          </w:p>
        </w:tc>
        <w:tc>
          <w:tcPr>
            <w:tcW w:w="6237" w:type="dxa"/>
            <w:shd w:val="clear" w:color="auto" w:fill="auto"/>
          </w:tcPr>
          <w:p w:rsidR="00D81DAD" w:rsidRDefault="0066375B" w:rsidP="00293635">
            <w:pPr>
              <w:pStyle w:val="GPsDefinition"/>
            </w:pPr>
            <w:r w:rsidRPr="006875AD">
              <w:t xml:space="preserve">means bodies listed in paragraph </w:t>
            </w:r>
            <w:r w:rsidR="00225C7E" w:rsidRPr="00225C7E">
              <w:t>VI.3</w:t>
            </w:r>
            <w:r w:rsidRPr="006875AD">
              <w:t xml:space="preserve"> of the OJEU Notice and </w:t>
            </w:r>
            <w:r w:rsidR="002E7CBD">
              <w:t>“</w:t>
            </w:r>
            <w:r w:rsidRPr="006875AD">
              <w:rPr>
                <w:b/>
              </w:rPr>
              <w:t>Contracting Body</w:t>
            </w:r>
            <w:r w:rsidRPr="006875AD">
              <w:t xml:space="preserve">” shall be construed accordingly; </w:t>
            </w:r>
          </w:p>
          <w:p w:rsidR="00D81DAD" w:rsidRDefault="00D81DAD" w:rsidP="00293635">
            <w:pPr>
              <w:pStyle w:val="GPSDefinitionL1Guidance"/>
            </w:pPr>
          </w:p>
        </w:tc>
      </w:tr>
      <w:tr w:rsidR="003A1391" w:rsidRPr="006875AD" w:rsidTr="00A04D6A">
        <w:tc>
          <w:tcPr>
            <w:tcW w:w="1984" w:type="dxa"/>
            <w:shd w:val="clear" w:color="auto" w:fill="auto"/>
          </w:tcPr>
          <w:p w:rsidR="003A1391" w:rsidRDefault="003A1391" w:rsidP="00293635">
            <w:pPr>
              <w:pStyle w:val="GPSDefinitionTerm"/>
            </w:pPr>
            <w:r w:rsidRPr="006875AD">
              <w:t>"Control"</w:t>
            </w:r>
          </w:p>
        </w:tc>
        <w:tc>
          <w:tcPr>
            <w:tcW w:w="6237" w:type="dxa"/>
            <w:shd w:val="clear" w:color="auto" w:fill="auto"/>
          </w:tcPr>
          <w:p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0E07BE" w:rsidRPr="006875AD" w:rsidTr="00A04D6A">
        <w:tc>
          <w:tcPr>
            <w:tcW w:w="1984" w:type="dxa"/>
            <w:shd w:val="clear" w:color="auto" w:fill="auto"/>
          </w:tcPr>
          <w:p w:rsidR="000E07BE" w:rsidRDefault="000E07BE" w:rsidP="00293635">
            <w:pPr>
              <w:pStyle w:val="GPSDefinitionTerm"/>
            </w:pPr>
            <w:r>
              <w:t>“Core Component</w:t>
            </w:r>
            <w:r w:rsidR="00371AFF">
              <w:t>s</w:t>
            </w:r>
            <w:r>
              <w:t>”</w:t>
            </w:r>
          </w:p>
        </w:tc>
        <w:tc>
          <w:tcPr>
            <w:tcW w:w="6237" w:type="dxa"/>
            <w:shd w:val="clear" w:color="auto" w:fill="auto"/>
          </w:tcPr>
          <w:p w:rsidR="000E07BE" w:rsidRDefault="000E07BE" w:rsidP="00293635">
            <w:pPr>
              <w:pStyle w:val="GPsDefinition"/>
            </w:pPr>
            <w:r>
              <w:t>means those components set out in paragraph 1.2</w:t>
            </w:r>
            <w:r w:rsidR="00371AFF">
              <w:t>.1</w:t>
            </w:r>
            <w:r>
              <w:t xml:space="preserve"> of </w:t>
            </w:r>
            <w:r w:rsidR="00371AFF">
              <w:t>Part A of Schedule 2(Services and Key Performance Indicators);</w:t>
            </w:r>
          </w:p>
        </w:tc>
      </w:tr>
      <w:tr w:rsidR="00706C7C" w:rsidRPr="006875AD" w:rsidTr="00A04D6A">
        <w:tc>
          <w:tcPr>
            <w:tcW w:w="1984" w:type="dxa"/>
            <w:shd w:val="clear" w:color="auto" w:fill="auto"/>
          </w:tcPr>
          <w:p w:rsidR="00706C7C" w:rsidRPr="006875AD" w:rsidRDefault="00706C7C" w:rsidP="00293635">
            <w:pPr>
              <w:pStyle w:val="GPSDefinitionTerm"/>
            </w:pPr>
            <w:r>
              <w:t>"Costs"</w:t>
            </w:r>
          </w:p>
        </w:tc>
        <w:tc>
          <w:tcPr>
            <w:tcW w:w="6237" w:type="dxa"/>
            <w:shd w:val="clear" w:color="auto" w:fill="auto"/>
          </w:tcPr>
          <w:p w:rsidR="00706C7C" w:rsidRDefault="00156907" w:rsidP="00293635">
            <w:pPr>
              <w:pStyle w:val="GPsDefinition"/>
            </w:pPr>
            <w:r>
              <w:t xml:space="preserve">means </w:t>
            </w:r>
            <w:r w:rsidR="00706C7C">
              <w:t>the following costs (without double recovery) to the extent that they are reasonably and properly incurred by the Supplier in providing the Services:</w:t>
            </w:r>
          </w:p>
          <w:p w:rsidR="00706C7C" w:rsidRDefault="00706C7C"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rsidR="00706C7C" w:rsidRDefault="00706C7C" w:rsidP="00293635">
            <w:pPr>
              <w:pStyle w:val="GPSDefinitionL3"/>
            </w:pPr>
            <w:r>
              <w:t>base salary paid to the Supplier Personnel;</w:t>
            </w:r>
          </w:p>
          <w:p w:rsidR="00706C7C" w:rsidRDefault="00706C7C" w:rsidP="00293635">
            <w:pPr>
              <w:pStyle w:val="GPSDefinitionL3"/>
            </w:pPr>
            <w:r>
              <w:t>employer’s national insurance contributions;</w:t>
            </w:r>
          </w:p>
          <w:p w:rsidR="00706C7C" w:rsidRDefault="00706C7C" w:rsidP="00293635">
            <w:pPr>
              <w:pStyle w:val="GPSDefinitionL3"/>
            </w:pPr>
            <w:r>
              <w:t>pension contributions;</w:t>
            </w:r>
          </w:p>
          <w:p w:rsidR="00706C7C" w:rsidRDefault="00706C7C" w:rsidP="00293635">
            <w:pPr>
              <w:pStyle w:val="GPSDefinitionL3"/>
            </w:pPr>
            <w:r>
              <w:t xml:space="preserve">car allowances; </w:t>
            </w:r>
          </w:p>
          <w:p w:rsidR="00706C7C" w:rsidRDefault="00706C7C" w:rsidP="00293635">
            <w:pPr>
              <w:pStyle w:val="GPSDefinitionL3"/>
            </w:pPr>
            <w:r>
              <w:t>any other contractual employment benefits;</w:t>
            </w:r>
          </w:p>
          <w:p w:rsidR="00706C7C" w:rsidRDefault="00706C7C" w:rsidP="00293635">
            <w:pPr>
              <w:pStyle w:val="GPSDefinitionL3"/>
            </w:pPr>
            <w:r>
              <w:t>staff training;</w:t>
            </w:r>
          </w:p>
          <w:p w:rsidR="00706C7C" w:rsidRDefault="00706C7C" w:rsidP="00293635">
            <w:pPr>
              <w:pStyle w:val="GPSDefinitionL3"/>
            </w:pPr>
            <w:r>
              <w:t>work place accommodation;</w:t>
            </w:r>
          </w:p>
          <w:p w:rsidR="00706C7C" w:rsidRDefault="00706C7C" w:rsidP="00293635">
            <w:pPr>
              <w:pStyle w:val="GPSDefinitionL3"/>
            </w:pPr>
            <w:r>
              <w:t>work place IT equipment and tools reasonably necessary to provide  the Services (but not including items included within limb (b) below); and</w:t>
            </w:r>
          </w:p>
          <w:p w:rsidR="00706C7C" w:rsidRDefault="00706C7C" w:rsidP="00293635">
            <w:pPr>
              <w:pStyle w:val="GPSDefinitionL3"/>
            </w:pPr>
            <w:r>
              <w:t xml:space="preserve">reasonable recruitment costs, as agreed with the Contracting Bodies under any Call Off </w:t>
            </w:r>
            <w:r>
              <w:lastRenderedPageBreak/>
              <w:t xml:space="preserve">Agreements; </w:t>
            </w:r>
          </w:p>
          <w:p w:rsidR="00706C7C" w:rsidRDefault="00706C7C" w:rsidP="00293635">
            <w:pPr>
              <w:pStyle w:val="GPSDefinitionL2"/>
            </w:pPr>
            <w:r>
              <w:t>costs incurred in respect of those Supplier Assets which are detailed on the Registers (</w:t>
            </w:r>
            <w:r w:rsidR="002E7CBD">
              <w:rPr>
                <w:color w:val="1F497D"/>
              </w:rPr>
              <w:t>“</w:t>
            </w:r>
            <w:r>
              <w:t>Supplier Assets</w:t>
            </w:r>
            <w:r>
              <w:rPr>
                <w:color w:val="1F497D"/>
              </w:rPr>
              <w:t>”</w:t>
            </w:r>
            <w:r>
              <w:t xml:space="preserve"> and </w:t>
            </w:r>
            <w:r w:rsidR="002E7CBD">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w:t>
            </w:r>
          </w:p>
          <w:p w:rsidR="00706C7C" w:rsidRDefault="00706C7C" w:rsidP="00293635">
            <w:pPr>
              <w:pStyle w:val="GPSDefinitionL2"/>
            </w:pPr>
            <w:r>
              <w:t>operational costs which are not included within (a) or (b) above, to the extent that such costs are necessary and properly incurred by the Supplier in the provision of the Services;</w:t>
            </w:r>
          </w:p>
          <w:p w:rsidR="00706C7C" w:rsidRDefault="00706C7C" w:rsidP="00293635">
            <w:pPr>
              <w:pStyle w:val="GPsDefinition"/>
            </w:pPr>
            <w:r>
              <w:t>but excluding:</w:t>
            </w:r>
          </w:p>
          <w:p w:rsidR="00706C7C" w:rsidRDefault="00706C7C" w:rsidP="00293635">
            <w:pPr>
              <w:pStyle w:val="GPSDefinitionL3"/>
            </w:pPr>
            <w:r>
              <w:t>Overhead;</w:t>
            </w:r>
          </w:p>
          <w:p w:rsidR="00706C7C" w:rsidRDefault="00706C7C" w:rsidP="00293635">
            <w:pPr>
              <w:pStyle w:val="GPSDefinitionL3"/>
            </w:pPr>
            <w:r>
              <w:t>financing or similar costs;</w:t>
            </w:r>
          </w:p>
          <w:p w:rsidR="00706C7C" w:rsidRDefault="00706C7C"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rsidR="00706C7C" w:rsidRDefault="00706C7C" w:rsidP="00293635">
            <w:pPr>
              <w:pStyle w:val="GPSDefinitionL3"/>
            </w:pPr>
            <w:r>
              <w:t>taxation;</w:t>
            </w:r>
          </w:p>
          <w:p w:rsidR="00706C7C" w:rsidRDefault="00706C7C" w:rsidP="00293635">
            <w:pPr>
              <w:pStyle w:val="GPSDefinitionL3"/>
            </w:pPr>
            <w:r>
              <w:t>fines and penalties;</w:t>
            </w:r>
          </w:p>
          <w:p w:rsidR="00706C7C" w:rsidRDefault="00706C7C" w:rsidP="00293635">
            <w:pPr>
              <w:pStyle w:val="GPSDefinitionL3"/>
            </w:pPr>
            <w:r>
              <w:t>amounts payable under the benchmarking provisions of Framework Schedule 12  (Continuous Improvement and Benchmarking); and</w:t>
            </w:r>
          </w:p>
          <w:p w:rsidR="00706C7C" w:rsidRPr="006875AD" w:rsidDel="00070292" w:rsidRDefault="00706C7C" w:rsidP="00293635">
            <w:pPr>
              <w:pStyle w:val="GPSDefinitionL3"/>
            </w:pPr>
            <w:r>
              <w:t>non-cash items (including depreciation, amortisation, impairments and movements in provisions);</w:t>
            </w:r>
          </w:p>
        </w:tc>
      </w:tr>
      <w:tr w:rsidR="00531544" w:rsidRPr="006875AD" w:rsidTr="00A04D6A">
        <w:tc>
          <w:tcPr>
            <w:tcW w:w="1984" w:type="dxa"/>
            <w:shd w:val="clear" w:color="auto" w:fill="auto"/>
          </w:tcPr>
          <w:p w:rsidR="00B93455" w:rsidRDefault="00531544" w:rsidP="00293635">
            <w:pPr>
              <w:pStyle w:val="GPSDefinitionTerm"/>
            </w:pPr>
            <w:r w:rsidRPr="006875AD">
              <w:lastRenderedPageBreak/>
              <w:t>"</w:t>
            </w:r>
            <w:r w:rsidR="003A1391" w:rsidRPr="006875AD">
              <w:t>C</w:t>
            </w:r>
            <w:r w:rsidR="003A1391">
              <w:t>rown Body</w:t>
            </w:r>
            <w:r w:rsidRPr="006875AD">
              <w:t>"</w:t>
            </w:r>
          </w:p>
        </w:tc>
        <w:tc>
          <w:tcPr>
            <w:tcW w:w="6237" w:type="dxa"/>
            <w:shd w:val="clear" w:color="auto" w:fill="auto"/>
          </w:tcPr>
          <w:p w:rsidR="00B93455" w:rsidRDefault="00070292" w:rsidP="00293635">
            <w:pPr>
              <w:pStyle w:val="GPsDefinition"/>
            </w:pPr>
            <w:r w:rsidRPr="00D03934">
              <w:t>means any department, office or executive agency of the Crown</w:t>
            </w:r>
            <w:r w:rsidR="00531544" w:rsidRPr="006875AD">
              <w:t>;</w:t>
            </w:r>
          </w:p>
        </w:tc>
      </w:tr>
      <w:tr w:rsidR="0066375B" w:rsidRPr="006875AD" w:rsidTr="00A04D6A">
        <w:tc>
          <w:tcPr>
            <w:tcW w:w="1984" w:type="dxa"/>
            <w:shd w:val="clear" w:color="auto" w:fill="auto"/>
          </w:tcPr>
          <w:p w:rsidR="00D81DAD" w:rsidRDefault="002E7CBD" w:rsidP="00293635">
            <w:pPr>
              <w:pStyle w:val="GPSDefinitionTerm"/>
            </w:pPr>
            <w:r w:rsidRPr="006875AD">
              <w:t>"</w:t>
            </w:r>
            <w:r w:rsidR="00635BC6">
              <w:t>CRTPA</w:t>
            </w:r>
            <w:r w:rsidRPr="006875AD">
              <w:t>"</w:t>
            </w:r>
          </w:p>
        </w:tc>
        <w:tc>
          <w:tcPr>
            <w:tcW w:w="6237" w:type="dxa"/>
            <w:shd w:val="clear" w:color="auto" w:fill="auto"/>
          </w:tcPr>
          <w:p w:rsidR="00D81DAD" w:rsidRDefault="00635BC6" w:rsidP="00293635">
            <w:pPr>
              <w:pStyle w:val="GPsDefinition"/>
            </w:pPr>
            <w:r>
              <w:t xml:space="preserve">means </w:t>
            </w:r>
            <w:r w:rsidRPr="002A3AE8">
              <w:t>the Contracts (Rights of Third Parties) Act 1999</w:t>
            </w:r>
            <w:r>
              <w:t>;</w:t>
            </w:r>
          </w:p>
        </w:tc>
      </w:tr>
      <w:tr w:rsidR="0066375B" w:rsidRPr="006875AD" w:rsidTr="00A04D6A">
        <w:tc>
          <w:tcPr>
            <w:tcW w:w="1984" w:type="dxa"/>
            <w:shd w:val="clear" w:color="auto" w:fill="auto"/>
          </w:tcPr>
          <w:p w:rsidR="00D81DAD" w:rsidRDefault="0066375B" w:rsidP="00293635">
            <w:pPr>
              <w:pStyle w:val="GPSDefinitionTerm"/>
            </w:pPr>
            <w:r w:rsidRPr="006875AD">
              <w:t>"Data Controller"</w:t>
            </w:r>
          </w:p>
        </w:tc>
        <w:tc>
          <w:tcPr>
            <w:tcW w:w="6237" w:type="dxa"/>
            <w:shd w:val="clear" w:color="auto" w:fill="auto"/>
          </w:tcPr>
          <w:p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rsidTr="00A04D6A">
        <w:tc>
          <w:tcPr>
            <w:tcW w:w="1984" w:type="dxa"/>
            <w:shd w:val="clear" w:color="auto" w:fill="auto"/>
          </w:tcPr>
          <w:p w:rsidR="00D81DAD" w:rsidRDefault="0066375B" w:rsidP="00293635">
            <w:pPr>
              <w:pStyle w:val="GPSDefinitionTerm"/>
            </w:pPr>
            <w:r w:rsidRPr="006875AD">
              <w:t>"Data Processor"</w:t>
            </w:r>
          </w:p>
        </w:tc>
        <w:tc>
          <w:tcPr>
            <w:tcW w:w="6237" w:type="dxa"/>
            <w:shd w:val="clear" w:color="auto" w:fill="auto"/>
          </w:tcPr>
          <w:p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rsidTr="00A04D6A">
        <w:tc>
          <w:tcPr>
            <w:tcW w:w="1984" w:type="dxa"/>
            <w:shd w:val="clear" w:color="auto" w:fill="auto"/>
          </w:tcPr>
          <w:p w:rsidR="00D81DAD" w:rsidRDefault="0066375B" w:rsidP="00293635">
            <w:pPr>
              <w:pStyle w:val="GPSDefinitionTerm"/>
            </w:pPr>
            <w:r w:rsidRPr="006875AD">
              <w:t>"Data Protection Legislation"</w:t>
            </w:r>
          </w:p>
        </w:tc>
        <w:tc>
          <w:tcPr>
            <w:tcW w:w="6237" w:type="dxa"/>
            <w:shd w:val="clear" w:color="auto" w:fill="auto"/>
          </w:tcPr>
          <w:p w:rsidR="00D81DAD" w:rsidRDefault="0066375B" w:rsidP="00293635">
            <w:pPr>
              <w:pStyle w:val="GPsDefinition"/>
            </w:pPr>
            <w:r w:rsidRPr="006875AD">
              <w:t>means the Data Protection Act 1998</w:t>
            </w:r>
            <w:r w:rsidR="00982FB4">
              <w:t xml:space="preserve"> </w:t>
            </w:r>
            <w:r w:rsidR="00982FB4" w:rsidRPr="006875AD">
              <w:t>, as amended from time to time</w:t>
            </w:r>
            <w:r w:rsidRPr="006875AD">
              <w:t xml:space="preserve"> and all applicable laws and regulations relating to processing of personal data and privacy, including where applicable the guidance and codes of practice issued by the Information Commissioner or relevant Government </w:t>
            </w:r>
            <w:r w:rsidRPr="006875AD">
              <w:lastRenderedPageBreak/>
              <w:t xml:space="preserve">department in relation to such legislation; </w:t>
            </w:r>
          </w:p>
        </w:tc>
      </w:tr>
      <w:tr w:rsidR="00531544" w:rsidRPr="006875AD" w:rsidTr="00A04D6A">
        <w:tc>
          <w:tcPr>
            <w:tcW w:w="1984" w:type="dxa"/>
            <w:shd w:val="clear" w:color="auto" w:fill="auto"/>
          </w:tcPr>
          <w:p w:rsidR="00D81DAD" w:rsidRDefault="00531544" w:rsidP="00293635">
            <w:pPr>
              <w:pStyle w:val="GPSDefinitionTerm"/>
            </w:pPr>
            <w:r w:rsidRPr="006875AD">
              <w:lastRenderedPageBreak/>
              <w:t>"Data Subject"</w:t>
            </w:r>
          </w:p>
        </w:tc>
        <w:tc>
          <w:tcPr>
            <w:tcW w:w="6237" w:type="dxa"/>
            <w:shd w:val="clear" w:color="auto" w:fill="auto"/>
          </w:tcPr>
          <w:p w:rsidR="00D81DAD" w:rsidRDefault="00156907" w:rsidP="00293635">
            <w:pPr>
              <w:pStyle w:val="GPsDefinition"/>
            </w:pPr>
            <w:r w:rsidRPr="00D03934">
              <w:t xml:space="preserve">has the meaning given to it in </w:t>
            </w:r>
            <w:r w:rsidR="00531544" w:rsidRPr="006875AD">
              <w:t>the Data Protection Act 1998, as amended from time to time;</w:t>
            </w:r>
          </w:p>
        </w:tc>
      </w:tr>
      <w:tr w:rsidR="0066375B" w:rsidRPr="006875AD" w:rsidTr="00A04D6A">
        <w:tc>
          <w:tcPr>
            <w:tcW w:w="1984" w:type="dxa"/>
            <w:shd w:val="clear" w:color="auto" w:fill="auto"/>
          </w:tcPr>
          <w:p w:rsidR="00D81DAD" w:rsidRDefault="002E7CBD" w:rsidP="00293635">
            <w:pPr>
              <w:pStyle w:val="GPSDefinitionTerm"/>
            </w:pPr>
            <w:r w:rsidRPr="006875AD">
              <w:t>"</w:t>
            </w:r>
            <w:r w:rsidR="00051DA2">
              <w:t>Data Subject Access Request</w:t>
            </w:r>
            <w:r w:rsidRPr="006875AD">
              <w:t>"</w:t>
            </w:r>
          </w:p>
        </w:tc>
        <w:tc>
          <w:tcPr>
            <w:tcW w:w="6237" w:type="dxa"/>
            <w:shd w:val="clear" w:color="auto" w:fill="auto"/>
          </w:tcPr>
          <w:p w:rsidR="00D81DAD" w:rsidRDefault="00051DA2" w:rsidP="00293635">
            <w:pPr>
              <w:pStyle w:val="GPsDefinition"/>
            </w:pPr>
            <w:r w:rsidRPr="00893741">
              <w:t>means a request made by a Data Subject in accordance with rights granted pursuant to the DPA to access his or her Personal Data;</w:t>
            </w:r>
          </w:p>
        </w:tc>
      </w:tr>
      <w:tr w:rsidR="0066375B" w:rsidRPr="006875AD" w:rsidTr="00A04D6A">
        <w:tc>
          <w:tcPr>
            <w:tcW w:w="1984" w:type="dxa"/>
            <w:shd w:val="clear" w:color="auto" w:fill="auto"/>
          </w:tcPr>
          <w:p w:rsidR="00D81DAD" w:rsidRDefault="0066375B" w:rsidP="00293635">
            <w:pPr>
              <w:pStyle w:val="GPSDefinitionTerm"/>
            </w:pPr>
            <w:r w:rsidRPr="006875AD">
              <w:t>"Default"</w:t>
            </w:r>
          </w:p>
        </w:tc>
        <w:tc>
          <w:tcPr>
            <w:tcW w:w="6237" w:type="dxa"/>
            <w:shd w:val="clear" w:color="auto" w:fill="auto"/>
          </w:tcPr>
          <w:p w:rsidR="00D81DAD" w:rsidRDefault="0066375B" w:rsidP="00293635">
            <w:pPr>
              <w:pStyle w:val="GPsDefinition"/>
            </w:pPr>
            <w:r w:rsidRPr="006875AD">
              <w:t xml:space="preserve">means any breach of the obligations of the Supplier (including but not limited to any fundamental breach or breach of a fundamental term) or any other default, act, omission, misrepresentation, negligence or negligent statement of the Supplier or the </w:t>
            </w:r>
            <w:r w:rsidR="00225FCA" w:rsidRPr="006875AD">
              <w:t>S</w:t>
            </w:r>
            <w:r w:rsidR="00225FCA">
              <w:t>upplier Personnel</w:t>
            </w:r>
            <w:r w:rsidRPr="006875AD">
              <w:t xml:space="preserve"> in connection with or in relation to this Framework Agreement or the subject matter of this Framework Agreement and in respect of which the Supplier is liable to the Authority;</w:t>
            </w:r>
          </w:p>
        </w:tc>
      </w:tr>
      <w:tr w:rsidR="00120532" w:rsidRPr="006875AD" w:rsidTr="00A04D6A">
        <w:tc>
          <w:tcPr>
            <w:tcW w:w="1984" w:type="dxa"/>
            <w:shd w:val="clear" w:color="auto" w:fill="auto"/>
          </w:tcPr>
          <w:p w:rsidR="00D81DAD" w:rsidRDefault="00156907" w:rsidP="00293635">
            <w:pPr>
              <w:pStyle w:val="GPSDefinitionTerm"/>
            </w:pPr>
            <w:r w:rsidRPr="006875AD">
              <w:t>"</w:t>
            </w:r>
            <w:r w:rsidR="00120532" w:rsidRPr="006875AD">
              <w:t>Default Management Charge</w:t>
            </w:r>
            <w:r w:rsidRPr="006875AD">
              <w:t>"</w:t>
            </w:r>
          </w:p>
        </w:tc>
        <w:tc>
          <w:tcPr>
            <w:tcW w:w="6237" w:type="dxa"/>
            <w:shd w:val="clear" w:color="auto" w:fill="auto"/>
          </w:tcPr>
          <w:p w:rsidR="00120532" w:rsidRPr="006875AD" w:rsidRDefault="00156907" w:rsidP="00293635">
            <w:pPr>
              <w:pStyle w:val="GPsDefinition"/>
            </w:pPr>
            <w:r w:rsidRPr="00D03934">
              <w:t xml:space="preserve">has the meaning given to it in </w:t>
            </w:r>
            <w:r w:rsidR="00120532" w:rsidRPr="006875AD">
              <w:t>paragraph</w:t>
            </w:r>
            <w:r w:rsidR="00706C7C">
              <w:t xml:space="preserve"> </w:t>
            </w:r>
            <w:r w:rsidR="00F71B15">
              <w:fldChar w:fldCharType="begin"/>
            </w:r>
            <w:r w:rsidR="00706C7C">
              <w:instrText xml:space="preserve"> REF _Ref366090436 \r \h </w:instrText>
            </w:r>
            <w:r w:rsidR="00F71B15">
              <w:fldChar w:fldCharType="separate"/>
            </w:r>
            <w:r w:rsidR="00B3040B">
              <w:t>6.2</w:t>
            </w:r>
            <w:r w:rsidR="00F71B15">
              <w:fldChar w:fldCharType="end"/>
            </w:r>
            <w:r w:rsidR="00120532" w:rsidRPr="006875AD">
              <w:t xml:space="preserve"> of Framework Schedule </w:t>
            </w:r>
            <w:r w:rsidR="00EA6CAB">
              <w:t>9</w:t>
            </w:r>
            <w:r w:rsidR="00120532" w:rsidRPr="006875AD">
              <w:t xml:space="preserve"> (Management Information);</w:t>
            </w:r>
          </w:p>
        </w:tc>
      </w:tr>
      <w:tr w:rsidR="001F6685" w:rsidRPr="006875AD" w:rsidTr="00A04D6A">
        <w:tc>
          <w:tcPr>
            <w:tcW w:w="1984" w:type="dxa"/>
            <w:shd w:val="clear" w:color="auto" w:fill="auto"/>
          </w:tcPr>
          <w:p w:rsidR="00D81DAD" w:rsidRDefault="001F6685" w:rsidP="00293635">
            <w:pPr>
              <w:pStyle w:val="GPSDefinitionTerm"/>
            </w:pPr>
            <w:r w:rsidRPr="006875AD">
              <w:t>"Direct Award Criteria"</w:t>
            </w:r>
          </w:p>
        </w:tc>
        <w:tc>
          <w:tcPr>
            <w:tcW w:w="6237" w:type="dxa"/>
            <w:shd w:val="clear" w:color="auto" w:fill="auto"/>
          </w:tcPr>
          <w:p w:rsidR="00D81DAD" w:rsidRDefault="001F6685" w:rsidP="00293635">
            <w:pPr>
              <w:pStyle w:val="GPsDefinition"/>
            </w:pPr>
            <w:r w:rsidRPr="006875AD">
              <w:t>means the award criteria to be applied for the direct award of Call Off Agreements for Services set out in Part A of Framework Schedule 6 (Award Criteria);</w:t>
            </w:r>
          </w:p>
        </w:tc>
      </w:tr>
      <w:tr w:rsidR="006944C2" w:rsidRPr="006875AD" w:rsidTr="00A04D6A">
        <w:tc>
          <w:tcPr>
            <w:tcW w:w="1984" w:type="dxa"/>
            <w:shd w:val="clear" w:color="auto" w:fill="auto"/>
          </w:tcPr>
          <w:p w:rsidR="006944C2" w:rsidRDefault="002E7CBD" w:rsidP="00293635">
            <w:pPr>
              <w:pStyle w:val="GPSDefinitionTerm"/>
            </w:pPr>
            <w:r w:rsidRPr="006875AD">
              <w:t>"</w:t>
            </w:r>
            <w:r w:rsidR="006944C2">
              <w:t>Dispute</w:t>
            </w:r>
            <w:r w:rsidRPr="006875AD">
              <w:t>"</w:t>
            </w:r>
          </w:p>
        </w:tc>
        <w:tc>
          <w:tcPr>
            <w:tcW w:w="6237" w:type="dxa"/>
            <w:shd w:val="clear" w:color="auto" w:fill="auto"/>
          </w:tcPr>
          <w:p w:rsidR="006944C2" w:rsidRDefault="006944C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375B" w:rsidRPr="006875AD" w:rsidTr="00A04D6A">
        <w:tc>
          <w:tcPr>
            <w:tcW w:w="1984" w:type="dxa"/>
            <w:shd w:val="clear" w:color="auto" w:fill="auto"/>
          </w:tcPr>
          <w:p w:rsidR="00D81DAD" w:rsidRDefault="002E7CBD" w:rsidP="00293635">
            <w:pPr>
              <w:pStyle w:val="GPSDefinitionTerm"/>
            </w:pPr>
            <w:r w:rsidRPr="006875AD">
              <w:t>"</w:t>
            </w:r>
            <w:r w:rsidR="005404A4">
              <w:t>Dispute</w:t>
            </w:r>
            <w:r w:rsidR="006944C2">
              <w:t xml:space="preserve"> Notice</w:t>
            </w:r>
            <w:r w:rsidRPr="006875AD">
              <w:t>"</w:t>
            </w:r>
          </w:p>
        </w:tc>
        <w:tc>
          <w:tcPr>
            <w:tcW w:w="6237" w:type="dxa"/>
            <w:shd w:val="clear" w:color="auto" w:fill="auto"/>
          </w:tcPr>
          <w:p w:rsidR="00D81DAD" w:rsidRDefault="005404A4" w:rsidP="00293635">
            <w:pPr>
              <w:pStyle w:val="GPsDefinition"/>
            </w:pPr>
            <w:r>
              <w:t xml:space="preserve">means </w:t>
            </w:r>
            <w:r w:rsidR="006944C2" w:rsidRPr="00F41317">
              <w:t>a written notice served by one Party on the other stating that the Party serving the notice believes that there is a Dispute</w:t>
            </w:r>
            <w:r>
              <w:t>;</w:t>
            </w:r>
          </w:p>
        </w:tc>
      </w:tr>
      <w:tr w:rsidR="001F6685" w:rsidRPr="006875AD" w:rsidTr="00A04D6A">
        <w:tc>
          <w:tcPr>
            <w:tcW w:w="1984" w:type="dxa"/>
            <w:shd w:val="clear" w:color="auto" w:fill="auto"/>
          </w:tcPr>
          <w:p w:rsidR="00D81DAD" w:rsidRDefault="002E7CBD" w:rsidP="00293635">
            <w:pPr>
              <w:pStyle w:val="GPSDefinitionTerm"/>
            </w:pPr>
            <w:r w:rsidRPr="006875AD">
              <w:t>"</w:t>
            </w:r>
            <w:r w:rsidR="001F6685" w:rsidRPr="006875AD">
              <w:t>Dispute Resolution Procedure</w:t>
            </w:r>
            <w:r w:rsidRPr="006875AD">
              <w:t>"</w:t>
            </w:r>
          </w:p>
        </w:tc>
        <w:tc>
          <w:tcPr>
            <w:tcW w:w="6237" w:type="dxa"/>
            <w:shd w:val="clear" w:color="auto" w:fill="auto"/>
          </w:tcPr>
          <w:p w:rsidR="00D81DAD" w:rsidRDefault="001F6685" w:rsidP="00293635">
            <w:pPr>
              <w:pStyle w:val="GPsDefinition"/>
            </w:pPr>
            <w:r w:rsidRPr="006875AD">
              <w:t xml:space="preserve">means the dispute resolution procedure set out in </w:t>
            </w:r>
            <w:r w:rsidR="00DF1A55">
              <w:t xml:space="preserve">Framework </w:t>
            </w:r>
            <w:r>
              <w:t>Schedule</w:t>
            </w:r>
            <w:r w:rsidR="00DF1A55">
              <w:t xml:space="preserve"> 18 (Dispute Resolution); </w:t>
            </w:r>
            <w:r>
              <w:t xml:space="preserve"> </w:t>
            </w:r>
          </w:p>
        </w:tc>
      </w:tr>
      <w:tr w:rsidR="006944C2" w:rsidRPr="006875AD" w:rsidTr="00A04D6A">
        <w:tc>
          <w:tcPr>
            <w:tcW w:w="1984" w:type="dxa"/>
            <w:shd w:val="clear" w:color="auto" w:fill="auto"/>
          </w:tcPr>
          <w:p w:rsidR="006944C2" w:rsidRDefault="002E7CBD" w:rsidP="00293635">
            <w:pPr>
              <w:pStyle w:val="GPSDefinitionTerm"/>
            </w:pPr>
            <w:r w:rsidRPr="006875AD">
              <w:t>"</w:t>
            </w:r>
            <w:r w:rsidR="006944C2">
              <w:t>DOTAS</w:t>
            </w:r>
            <w:r w:rsidRPr="006875AD">
              <w:t>"</w:t>
            </w:r>
          </w:p>
        </w:tc>
        <w:tc>
          <w:tcPr>
            <w:tcW w:w="6237" w:type="dxa"/>
            <w:shd w:val="clear" w:color="auto" w:fill="auto"/>
          </w:tcPr>
          <w:p w:rsidR="006944C2" w:rsidRDefault="006944C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w:t>
            </w:r>
            <w:proofErr w:type="spellStart"/>
            <w:r w:rsidRPr="00AC16C8">
              <w:t>notifiable</w:t>
            </w:r>
            <w:proofErr w:type="spellEnd"/>
            <w:r w:rsidRPr="00AC16C8">
              <w:t xml:space="preserv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375B" w:rsidRPr="006875AD" w:rsidTr="00A04D6A">
        <w:tc>
          <w:tcPr>
            <w:tcW w:w="1984" w:type="dxa"/>
            <w:shd w:val="clear" w:color="auto" w:fill="auto"/>
          </w:tcPr>
          <w:p w:rsidR="00B93455" w:rsidRDefault="002E7CBD" w:rsidP="00293635">
            <w:pPr>
              <w:pStyle w:val="GPSDefinitionTerm"/>
            </w:pPr>
            <w:r w:rsidRPr="006875AD">
              <w:t>"</w:t>
            </w:r>
            <w:r w:rsidR="006944C2">
              <w:t>DPA</w:t>
            </w:r>
            <w:r w:rsidRPr="006875AD">
              <w:t>"</w:t>
            </w:r>
          </w:p>
        </w:tc>
        <w:tc>
          <w:tcPr>
            <w:tcW w:w="6237" w:type="dxa"/>
            <w:shd w:val="clear" w:color="auto" w:fill="auto"/>
          </w:tcPr>
          <w:p w:rsidR="00B93455" w:rsidRDefault="003D744F" w:rsidP="00293635">
            <w:pPr>
              <w:pStyle w:val="GPsDefinition"/>
            </w:pPr>
            <w:r>
              <w:t xml:space="preserve">means </w:t>
            </w:r>
            <w:r w:rsidR="006944C2">
              <w:t>the Data Protection Act 1998 as amended from time to time</w:t>
            </w:r>
            <w:r>
              <w:t>;</w:t>
            </w:r>
          </w:p>
        </w:tc>
      </w:tr>
      <w:tr w:rsidR="0066375B" w:rsidRPr="006875AD" w:rsidTr="00A04D6A">
        <w:tc>
          <w:tcPr>
            <w:tcW w:w="1984" w:type="dxa"/>
            <w:shd w:val="clear" w:color="auto" w:fill="auto"/>
          </w:tcPr>
          <w:p w:rsidR="00D81DAD" w:rsidRDefault="0066375B" w:rsidP="00293635">
            <w:pPr>
              <w:pStyle w:val="GPSDefinitionTerm"/>
            </w:pPr>
            <w:r w:rsidRPr="006875AD">
              <w:lastRenderedPageBreak/>
              <w:t>"Environmental Information Regulations</w:t>
            </w:r>
            <w:r w:rsidR="00932D0F">
              <w:t xml:space="preserve"> or EIRs</w:t>
            </w:r>
            <w:r w:rsidRPr="006875AD">
              <w:t>"</w:t>
            </w:r>
          </w:p>
        </w:tc>
        <w:tc>
          <w:tcPr>
            <w:tcW w:w="6237" w:type="dxa"/>
            <w:shd w:val="clear" w:color="auto" w:fill="auto"/>
          </w:tcPr>
          <w:p w:rsidR="00D81DAD" w:rsidRDefault="0066375B"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Equivalent Services</w:t>
            </w:r>
            <w:r w:rsidRPr="006875AD">
              <w:t>"</w:t>
            </w:r>
          </w:p>
        </w:tc>
        <w:tc>
          <w:tcPr>
            <w:tcW w:w="6237" w:type="dxa"/>
            <w:shd w:val="clear" w:color="auto" w:fill="auto"/>
          </w:tcPr>
          <w:p w:rsidR="00D81DAD" w:rsidRDefault="0066375B" w:rsidP="00293635">
            <w:pPr>
              <w:pStyle w:val="GPsDefinition"/>
            </w:pPr>
            <w:r w:rsidRPr="006875AD">
              <w:t>means services which the Supplier can supply which are the same or similar to the Services;</w:t>
            </w:r>
          </w:p>
        </w:tc>
      </w:tr>
      <w:tr w:rsidR="00D96F3F" w:rsidRPr="006875AD" w:rsidTr="00A04D6A">
        <w:tc>
          <w:tcPr>
            <w:tcW w:w="1984" w:type="dxa"/>
            <w:shd w:val="clear" w:color="auto" w:fill="auto"/>
          </w:tcPr>
          <w:p w:rsidR="00D96F3F" w:rsidRPr="00373ADC" w:rsidRDefault="00D96F3F" w:rsidP="00293635">
            <w:pPr>
              <w:pStyle w:val="GPSDefinitionTerm"/>
            </w:pPr>
            <w:r w:rsidRPr="00373ADC">
              <w:t>“Extension Framework Period”</w:t>
            </w:r>
          </w:p>
        </w:tc>
        <w:tc>
          <w:tcPr>
            <w:tcW w:w="6237" w:type="dxa"/>
            <w:shd w:val="clear" w:color="auto" w:fill="auto"/>
          </w:tcPr>
          <w:p w:rsidR="00D96F3F" w:rsidRPr="00373ADC" w:rsidRDefault="00D96F3F" w:rsidP="00293635">
            <w:pPr>
              <w:pStyle w:val="GPsDefinition"/>
            </w:pPr>
            <w:r w:rsidRPr="00373ADC">
              <w:t xml:space="preserve">means such period or periods up to a maximum of two years in total as may be specified by the Authority pursuant to Clause </w:t>
            </w:r>
            <w:r w:rsidR="000822F5">
              <w:fldChar w:fldCharType="begin"/>
            </w:r>
            <w:r w:rsidR="000822F5">
              <w:instrText xml:space="preserve"> REF _Ref364956352 \r \h  \* MERGEFORMAT </w:instrText>
            </w:r>
            <w:r w:rsidR="000822F5">
              <w:fldChar w:fldCharType="separate"/>
            </w:r>
            <w:r w:rsidRPr="00373ADC">
              <w:t>8.2</w:t>
            </w:r>
            <w:r w:rsidR="000822F5">
              <w:fldChar w:fldCharType="end"/>
            </w:r>
            <w:r w:rsidRPr="00373ADC">
              <w:t xml:space="preserve"> (Framework Period);</w:t>
            </w:r>
          </w:p>
        </w:tc>
      </w:tr>
      <w:tr w:rsidR="0066375B" w:rsidRPr="006875AD" w:rsidTr="00A04D6A">
        <w:tc>
          <w:tcPr>
            <w:tcW w:w="1984" w:type="dxa"/>
            <w:shd w:val="clear" w:color="auto" w:fill="auto"/>
          </w:tcPr>
          <w:p w:rsidR="00D81DAD" w:rsidRDefault="0066375B" w:rsidP="00293635">
            <w:pPr>
              <w:pStyle w:val="GPSDefinitionTerm"/>
            </w:pPr>
            <w:r w:rsidRPr="006875AD">
              <w:t>"FOIA"</w:t>
            </w:r>
          </w:p>
        </w:tc>
        <w:tc>
          <w:tcPr>
            <w:tcW w:w="6237" w:type="dxa"/>
            <w:shd w:val="clear" w:color="auto" w:fill="auto"/>
          </w:tcPr>
          <w:p w:rsidR="00D81DAD" w:rsidRDefault="0066375B" w:rsidP="00293635">
            <w:pPr>
              <w:pStyle w:val="GPsDefinition"/>
            </w:pPr>
            <w:r w:rsidRPr="006875AD">
              <w:t xml:space="preserve">means the Freedom of Information Act 2000 </w:t>
            </w:r>
            <w:r w:rsidR="00982FB4">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66375B" w:rsidRPr="006875AD" w:rsidTr="00A04D6A">
        <w:tc>
          <w:tcPr>
            <w:tcW w:w="1984" w:type="dxa"/>
            <w:shd w:val="clear" w:color="auto" w:fill="auto"/>
          </w:tcPr>
          <w:p w:rsidR="00D81DAD" w:rsidRDefault="0066375B" w:rsidP="00293635">
            <w:pPr>
              <w:pStyle w:val="GPSDefinitionTerm"/>
            </w:pPr>
            <w:r w:rsidRPr="006875AD">
              <w:t>"Framework"</w:t>
            </w:r>
          </w:p>
        </w:tc>
        <w:tc>
          <w:tcPr>
            <w:tcW w:w="6237" w:type="dxa"/>
            <w:shd w:val="clear" w:color="auto" w:fill="auto"/>
          </w:tcPr>
          <w:p w:rsidR="00D81DAD" w:rsidRDefault="0066375B" w:rsidP="00293635">
            <w:pPr>
              <w:pStyle w:val="GPsDefinition"/>
            </w:pPr>
            <w:r w:rsidRPr="006875AD">
              <w:t>means the framework arrangements established by the Authority for the provision of the Services to Contracting Bodies by suppliers (including the Supplier) pursuant to the OJEU Notice;</w:t>
            </w:r>
          </w:p>
        </w:tc>
      </w:tr>
      <w:tr w:rsidR="00527D5D" w:rsidRPr="006875AD" w:rsidTr="00A04D6A">
        <w:tc>
          <w:tcPr>
            <w:tcW w:w="1984" w:type="dxa"/>
            <w:shd w:val="clear" w:color="auto" w:fill="auto"/>
          </w:tcPr>
          <w:p w:rsidR="00D81DAD" w:rsidRDefault="00527D5D" w:rsidP="00293635">
            <w:pPr>
              <w:pStyle w:val="GPSDefinitionTerm"/>
            </w:pPr>
            <w:r w:rsidRPr="006875AD">
              <w:t>"Framework Agreement"</w:t>
            </w:r>
          </w:p>
        </w:tc>
        <w:tc>
          <w:tcPr>
            <w:tcW w:w="6237" w:type="dxa"/>
            <w:shd w:val="clear" w:color="auto" w:fill="auto"/>
          </w:tcPr>
          <w:p w:rsidR="00D81DAD" w:rsidRDefault="00527D5D" w:rsidP="00293635">
            <w:pPr>
              <w:pStyle w:val="GPsDefinition"/>
            </w:pPr>
            <w:r w:rsidRPr="006875AD">
              <w:t>means this agreement consisting of the  Clauses together with the Framework Schedules and any appendices and annexes to the same;</w:t>
            </w:r>
          </w:p>
        </w:tc>
      </w:tr>
      <w:tr w:rsidR="0066375B" w:rsidRPr="006875AD" w:rsidTr="00A04D6A">
        <w:tc>
          <w:tcPr>
            <w:tcW w:w="1984" w:type="dxa"/>
            <w:shd w:val="clear" w:color="auto" w:fill="auto"/>
          </w:tcPr>
          <w:p w:rsidR="00D81DAD" w:rsidRDefault="00527D5D" w:rsidP="00293635">
            <w:pPr>
              <w:pStyle w:val="GPSDefinitionTerm"/>
            </w:pPr>
            <w:r w:rsidRPr="006875AD">
              <w:t>"Framework Commencement Date"</w:t>
            </w:r>
          </w:p>
        </w:tc>
        <w:tc>
          <w:tcPr>
            <w:tcW w:w="6237" w:type="dxa"/>
            <w:shd w:val="clear" w:color="auto" w:fill="auto"/>
          </w:tcPr>
          <w:p w:rsidR="00D81DAD" w:rsidRDefault="00527D5D" w:rsidP="00390EFB">
            <w:pPr>
              <w:pStyle w:val="GPsDefinition"/>
            </w:pPr>
            <w:r w:rsidRPr="006875AD">
              <w:t xml:space="preserve">means </w:t>
            </w:r>
            <w:r w:rsidR="00390EFB">
              <w:t>[</w:t>
            </w:r>
            <w:r w:rsidR="00051095">
              <w:t>]</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Framework E</w:t>
            </w:r>
            <w:r w:rsidR="001A6669">
              <w:t>xecution</w:t>
            </w:r>
            <w:r w:rsidR="0066375B" w:rsidRPr="006875AD">
              <w:t xml:space="preserve"> Date</w:t>
            </w:r>
            <w:r w:rsidRPr="006875AD">
              <w:t>"</w:t>
            </w:r>
          </w:p>
        </w:tc>
        <w:tc>
          <w:tcPr>
            <w:tcW w:w="6237" w:type="dxa"/>
            <w:shd w:val="clear" w:color="auto" w:fill="auto"/>
          </w:tcPr>
          <w:p w:rsidR="00D81DAD" w:rsidRDefault="0066375B" w:rsidP="00293635">
            <w:pPr>
              <w:pStyle w:val="GPsDefinition"/>
            </w:pPr>
            <w:r w:rsidRPr="006875AD">
              <w:t>means the date of execution of this Framework Agreement;</w:t>
            </w:r>
          </w:p>
        </w:tc>
      </w:tr>
      <w:tr w:rsidR="0066375B" w:rsidRPr="006875AD" w:rsidTr="00A04D6A">
        <w:tc>
          <w:tcPr>
            <w:tcW w:w="1984" w:type="dxa"/>
            <w:shd w:val="clear" w:color="auto" w:fill="auto"/>
          </w:tcPr>
          <w:p w:rsidR="00D81DAD" w:rsidRPr="00197AEC" w:rsidRDefault="00225C7E" w:rsidP="00293635">
            <w:pPr>
              <w:pStyle w:val="GPSDefinitionTerm"/>
            </w:pPr>
            <w:r w:rsidRPr="00225C7E">
              <w:t>"Framework Guarantee"</w:t>
            </w:r>
          </w:p>
        </w:tc>
        <w:tc>
          <w:tcPr>
            <w:tcW w:w="6237" w:type="dxa"/>
            <w:shd w:val="clear" w:color="auto" w:fill="auto"/>
          </w:tcPr>
          <w:p w:rsidR="00D81DAD" w:rsidRPr="00197AEC" w:rsidRDefault="00225C7E" w:rsidP="00AA1756">
            <w:pPr>
              <w:pStyle w:val="GPsDefinition"/>
            </w:pPr>
            <w:r w:rsidRPr="00225C7E">
              <w:t>means a deed of guarantee in favour of the Authority in the form set out in Framework Schedule 13 (</w:t>
            </w:r>
            <w:r w:rsidR="00AA1756">
              <w:t>Template</w:t>
            </w:r>
            <w:r w:rsidR="00AA1756" w:rsidRPr="00225C7E">
              <w:t xml:space="preserve"> </w:t>
            </w:r>
            <w:r w:rsidRPr="00225C7E">
              <w:t xml:space="preserve">Guarantee) granted pursuant to Clause </w:t>
            </w:r>
            <w:r w:rsidR="00F71B15" w:rsidRPr="00225C7E">
              <w:fldChar w:fldCharType="begin"/>
            </w:r>
            <w:r w:rsidRPr="00225C7E">
              <w:instrText xml:space="preserve"> REF _Ref364954598 \r \h </w:instrText>
            </w:r>
            <w:r w:rsidR="00F71B15" w:rsidRPr="00225C7E">
              <w:fldChar w:fldCharType="separate"/>
            </w:r>
            <w:r w:rsidRPr="00225C7E">
              <w:t>7</w:t>
            </w:r>
            <w:r w:rsidR="00F71B15" w:rsidRPr="00225C7E">
              <w:fldChar w:fldCharType="end"/>
            </w:r>
            <w:r w:rsidRPr="00225C7E">
              <w:t>(Guarantee);</w:t>
            </w:r>
          </w:p>
        </w:tc>
      </w:tr>
      <w:tr w:rsidR="0066375B" w:rsidRPr="006875AD" w:rsidTr="00A04D6A">
        <w:tc>
          <w:tcPr>
            <w:tcW w:w="1984" w:type="dxa"/>
            <w:shd w:val="clear" w:color="auto" w:fill="auto"/>
          </w:tcPr>
          <w:p w:rsidR="00D81DAD" w:rsidRPr="00197AEC" w:rsidRDefault="00225C7E" w:rsidP="00293635">
            <w:pPr>
              <w:pStyle w:val="GPSDefinitionTerm"/>
            </w:pPr>
            <w:r w:rsidRPr="00225C7E">
              <w:t>"Framework Guarantor"</w:t>
            </w:r>
          </w:p>
        </w:tc>
        <w:tc>
          <w:tcPr>
            <w:tcW w:w="6237" w:type="dxa"/>
            <w:shd w:val="clear" w:color="auto" w:fill="auto"/>
          </w:tcPr>
          <w:p w:rsidR="00D81DAD" w:rsidRPr="00197AEC" w:rsidRDefault="00225C7E" w:rsidP="00293635">
            <w:pPr>
              <w:pStyle w:val="GPsDefinition"/>
            </w:pPr>
            <w:r w:rsidRPr="00225C7E">
              <w:t>means any person acceptable to the Authority to give a Framework Guarantee;</w:t>
            </w:r>
          </w:p>
        </w:tc>
      </w:tr>
      <w:tr w:rsidR="0066375B" w:rsidRPr="006875AD" w:rsidTr="00A04D6A">
        <w:tc>
          <w:tcPr>
            <w:tcW w:w="1984" w:type="dxa"/>
            <w:shd w:val="clear" w:color="auto" w:fill="auto"/>
          </w:tcPr>
          <w:p w:rsidR="00D81DAD" w:rsidRPr="001D59B7" w:rsidRDefault="00156907" w:rsidP="00293635">
            <w:pPr>
              <w:pStyle w:val="GPSDefinitionTerm"/>
            </w:pPr>
            <w:r w:rsidRPr="001D59B7">
              <w:t>"</w:t>
            </w:r>
            <w:r w:rsidR="0066375B" w:rsidRPr="001D59B7">
              <w:t>Framework Period</w:t>
            </w:r>
            <w:r w:rsidRPr="001D59B7">
              <w:t>"</w:t>
            </w:r>
          </w:p>
        </w:tc>
        <w:tc>
          <w:tcPr>
            <w:tcW w:w="6237" w:type="dxa"/>
            <w:shd w:val="clear" w:color="auto" w:fill="auto"/>
          </w:tcPr>
          <w:p w:rsidR="00D81DAD" w:rsidRPr="001D59B7" w:rsidRDefault="0066375B" w:rsidP="00293635">
            <w:pPr>
              <w:pStyle w:val="GPsDefinition"/>
            </w:pPr>
            <w:r w:rsidRPr="001D59B7">
              <w:t>means the period from the Framework Commencement Date until the expiry or earlier termination of this Framework Agreement;</w:t>
            </w:r>
          </w:p>
        </w:tc>
      </w:tr>
      <w:tr w:rsidR="0066375B" w:rsidRPr="006875AD" w:rsidTr="00A04D6A">
        <w:tc>
          <w:tcPr>
            <w:tcW w:w="1984" w:type="dxa"/>
            <w:shd w:val="clear" w:color="auto" w:fill="auto"/>
          </w:tcPr>
          <w:p w:rsidR="00D81DAD" w:rsidRDefault="0066375B" w:rsidP="00293635">
            <w:pPr>
              <w:pStyle w:val="GPSDefinitionTerm"/>
            </w:pPr>
            <w:r w:rsidRPr="006875AD">
              <w:t>"Framework Price(s)"</w:t>
            </w:r>
          </w:p>
        </w:tc>
        <w:tc>
          <w:tcPr>
            <w:tcW w:w="6237" w:type="dxa"/>
            <w:shd w:val="clear" w:color="auto" w:fill="auto"/>
          </w:tcPr>
          <w:p w:rsidR="00D81DAD" w:rsidRDefault="0066375B" w:rsidP="009731DF">
            <w:pPr>
              <w:pStyle w:val="GPsDefinition"/>
            </w:pPr>
            <w:r w:rsidRPr="006875AD">
              <w:t>means the price(s)</w:t>
            </w:r>
            <w:r w:rsidR="006B55A6">
              <w:t xml:space="preserve"> </w:t>
            </w:r>
            <w:r w:rsidR="006B55A6" w:rsidRPr="006875AD">
              <w:t>set out in</w:t>
            </w:r>
            <w:r w:rsidR="006B55A6">
              <w:t xml:space="preserve"> the Price Card of each Service Package (incl</w:t>
            </w:r>
            <w:r w:rsidR="003954B7">
              <w:t>uding the Mandatory Service Package</w:t>
            </w:r>
            <w:r w:rsidR="006B55A6">
              <w:t>) that forms part of the Supplier’s Service Catalogue;</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Framework Schedules</w:t>
            </w:r>
            <w:r w:rsidRPr="006875AD">
              <w:t>"</w:t>
            </w:r>
          </w:p>
        </w:tc>
        <w:tc>
          <w:tcPr>
            <w:tcW w:w="6237" w:type="dxa"/>
            <w:shd w:val="clear" w:color="auto" w:fill="auto"/>
          </w:tcPr>
          <w:p w:rsidR="00D81DAD" w:rsidRDefault="0066375B" w:rsidP="00293635">
            <w:pPr>
              <w:pStyle w:val="GPsDefinition"/>
            </w:pPr>
            <w:r w:rsidRPr="006875AD">
              <w:t xml:space="preserve">means the schedules to this </w:t>
            </w:r>
            <w:r w:rsidR="0097652C">
              <w:t>Framework A</w:t>
            </w:r>
            <w:r w:rsidRPr="006875AD">
              <w:t>greement;</w:t>
            </w:r>
          </w:p>
        </w:tc>
      </w:tr>
      <w:tr w:rsidR="0066375B" w:rsidRPr="006875AD" w:rsidTr="00A04D6A">
        <w:tc>
          <w:tcPr>
            <w:tcW w:w="1984" w:type="dxa"/>
            <w:shd w:val="clear" w:color="auto" w:fill="auto"/>
          </w:tcPr>
          <w:p w:rsidR="00D81DAD" w:rsidRDefault="0066375B" w:rsidP="00293635">
            <w:pPr>
              <w:pStyle w:val="GPSDefinitionTerm"/>
            </w:pPr>
            <w:r w:rsidRPr="006875AD">
              <w:t>"Framework Suppliers"</w:t>
            </w:r>
          </w:p>
        </w:tc>
        <w:tc>
          <w:tcPr>
            <w:tcW w:w="6237" w:type="dxa"/>
            <w:shd w:val="clear" w:color="auto" w:fill="auto"/>
          </w:tcPr>
          <w:p w:rsidR="00D81DAD" w:rsidRDefault="0066375B"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375B" w:rsidRPr="006875AD" w:rsidTr="00A04D6A">
        <w:tc>
          <w:tcPr>
            <w:tcW w:w="1984" w:type="dxa"/>
            <w:shd w:val="clear" w:color="auto" w:fill="auto"/>
          </w:tcPr>
          <w:p w:rsidR="00D81DAD" w:rsidRDefault="0066375B" w:rsidP="00293635">
            <w:pPr>
              <w:pStyle w:val="GPSDefinitionTerm"/>
            </w:pPr>
            <w:r w:rsidRPr="006875AD">
              <w:t>"Fraud"</w:t>
            </w:r>
          </w:p>
        </w:tc>
        <w:tc>
          <w:tcPr>
            <w:tcW w:w="6237" w:type="dxa"/>
            <w:shd w:val="clear" w:color="auto" w:fill="auto"/>
          </w:tcPr>
          <w:p w:rsidR="00D81DAD" w:rsidRDefault="0066375B" w:rsidP="00293635">
            <w:pPr>
              <w:pStyle w:val="GPsDefinition"/>
            </w:pPr>
            <w:r w:rsidRPr="006875AD">
              <w:t xml:space="preserve">means any offence under Laws creating offences in respect of fraudulent acts (including the Misrepresentation Act </w:t>
            </w:r>
            <w:r w:rsidRPr="006875AD">
              <w:lastRenderedPageBreak/>
              <w:t>1967) or at common law in respect of fraudulent acts including acts of</w:t>
            </w:r>
            <w:r w:rsidRPr="006875AD">
              <w:rPr>
                <w:b/>
              </w:rPr>
              <w:t xml:space="preserve"> </w:t>
            </w:r>
            <w:r w:rsidRPr="006875AD">
              <w:t>forgery;</w:t>
            </w:r>
          </w:p>
        </w:tc>
      </w:tr>
      <w:tr w:rsidR="0066375B" w:rsidRPr="006875AD" w:rsidTr="00A04D6A">
        <w:tc>
          <w:tcPr>
            <w:tcW w:w="1984" w:type="dxa"/>
            <w:shd w:val="clear" w:color="auto" w:fill="auto"/>
          </w:tcPr>
          <w:p w:rsidR="00D81DAD" w:rsidRDefault="0066375B" w:rsidP="00293635">
            <w:pPr>
              <w:pStyle w:val="GPSDefinitionTerm"/>
            </w:pPr>
            <w:r w:rsidRPr="006875AD">
              <w:lastRenderedPageBreak/>
              <w:t>"Further Competition Award Criteria"</w:t>
            </w:r>
          </w:p>
        </w:tc>
        <w:tc>
          <w:tcPr>
            <w:tcW w:w="6237" w:type="dxa"/>
            <w:shd w:val="clear" w:color="auto" w:fill="auto"/>
          </w:tcPr>
          <w:p w:rsidR="00D81DAD" w:rsidRDefault="0066375B" w:rsidP="00293635">
            <w:pPr>
              <w:pStyle w:val="GPsDefinition"/>
            </w:pPr>
            <w:r w:rsidRPr="006875AD">
              <w:t>means the award criteria set out in Part </w:t>
            </w:r>
            <w:r w:rsidR="0097652C">
              <w:t>B</w:t>
            </w:r>
            <w:r w:rsidR="0097652C" w:rsidRPr="006875AD">
              <w:t xml:space="preserve"> </w:t>
            </w:r>
            <w:r w:rsidRPr="006875AD">
              <w:t>of Framework Schedule 6 (Award Criteria);</w:t>
            </w:r>
          </w:p>
        </w:tc>
      </w:tr>
      <w:tr w:rsidR="006A4956" w:rsidRPr="006875AD" w:rsidTr="00A04D6A">
        <w:tc>
          <w:tcPr>
            <w:tcW w:w="1984" w:type="dxa"/>
            <w:shd w:val="clear" w:color="auto" w:fill="auto"/>
          </w:tcPr>
          <w:p w:rsidR="00D81DAD" w:rsidRDefault="006A4956" w:rsidP="00293635">
            <w:pPr>
              <w:pStyle w:val="GPSDefinitionTerm"/>
            </w:pPr>
            <w:r w:rsidRPr="006875AD">
              <w:t>"Further Competition Procedure"</w:t>
            </w:r>
          </w:p>
        </w:tc>
        <w:tc>
          <w:tcPr>
            <w:tcW w:w="6237" w:type="dxa"/>
            <w:shd w:val="clear" w:color="auto" w:fill="auto"/>
          </w:tcPr>
          <w:p w:rsidR="00D81DAD" w:rsidRDefault="006A4956" w:rsidP="00293635">
            <w:pPr>
              <w:pStyle w:val="GPsDefinition"/>
            </w:pPr>
            <w:r w:rsidRPr="006875AD">
              <w:t>means the further competition procedure described in paragraph </w:t>
            </w:r>
            <w:r w:rsidR="00F71B15">
              <w:fldChar w:fldCharType="begin"/>
            </w:r>
            <w:r w:rsidR="00706C7C">
              <w:instrText xml:space="preserve"> REF _Ref365977578 \r \h </w:instrText>
            </w:r>
            <w:r w:rsidR="00F71B15">
              <w:fldChar w:fldCharType="separate"/>
            </w:r>
            <w:r w:rsidR="00B3040B">
              <w:t>3</w:t>
            </w:r>
            <w:r w:rsidR="00F71B15">
              <w:fldChar w:fldCharType="end"/>
            </w:r>
            <w:r w:rsidRPr="006875AD">
              <w:t xml:space="preserve"> of Framework Schedule 5 (Call Off Procedure);</w:t>
            </w:r>
          </w:p>
        </w:tc>
      </w:tr>
      <w:tr w:rsidR="0066375B" w:rsidRPr="006875AD" w:rsidTr="00A04D6A">
        <w:tc>
          <w:tcPr>
            <w:tcW w:w="1984" w:type="dxa"/>
            <w:shd w:val="clear" w:color="auto" w:fill="auto"/>
          </w:tcPr>
          <w:p w:rsidR="00D81DAD" w:rsidRDefault="00156907" w:rsidP="00293635">
            <w:pPr>
              <w:pStyle w:val="GPSDefinitionTerm"/>
            </w:pPr>
            <w:r w:rsidRPr="006875AD">
              <w:t>"</w:t>
            </w:r>
            <w:r w:rsidR="003D744F">
              <w:t>General Anti-Abuse Rule</w:t>
            </w:r>
            <w:r w:rsidRPr="006875AD">
              <w:t>"</w:t>
            </w:r>
          </w:p>
        </w:tc>
        <w:tc>
          <w:tcPr>
            <w:tcW w:w="6237" w:type="dxa"/>
            <w:shd w:val="clear" w:color="auto" w:fill="auto"/>
          </w:tcPr>
          <w:p w:rsidR="00D81DAD" w:rsidRDefault="003D744F" w:rsidP="00293635">
            <w:pPr>
              <w:pStyle w:val="GPsDefinition"/>
            </w:pPr>
            <w:r>
              <w:t xml:space="preserve">means </w:t>
            </w:r>
            <w:r w:rsidRPr="00AC16C8">
              <w:t xml:space="preserve">the legislation in </w:t>
            </w:r>
            <w:r w:rsidR="00225C7E" w:rsidRPr="00225C7E">
              <w:t>Part 5</w:t>
            </w:r>
            <w:r w:rsidRPr="00AC16C8">
              <w:t xml:space="preserve"> of the Finance </w:t>
            </w:r>
            <w:r>
              <w:t xml:space="preserve">Act </w:t>
            </w:r>
            <w:r w:rsidRPr="00AC16C8">
              <w:t>2013</w:t>
            </w:r>
            <w:r>
              <w:t xml:space="preserve">; </w:t>
            </w:r>
            <w:r w:rsidRPr="0045356E">
              <w:t>and</w:t>
            </w:r>
            <w:r>
              <w:t xml:space="preserve"> </w:t>
            </w:r>
            <w:r w:rsidRPr="004B797A">
              <w:t>any future legislation introduced into parliament to counteract tax advantages arising from abusive arrangements to avoid national insurance contributions;</w:t>
            </w:r>
          </w:p>
          <w:p w:rsidR="00F20C99" w:rsidRDefault="00F20C99" w:rsidP="00293635">
            <w:pPr>
              <w:pStyle w:val="GPSDefinitionL1Guidance"/>
            </w:pP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General Change in Law</w:t>
            </w:r>
            <w:r w:rsidRPr="006875AD">
              <w:t>"</w:t>
            </w:r>
          </w:p>
        </w:tc>
        <w:tc>
          <w:tcPr>
            <w:tcW w:w="6237" w:type="dxa"/>
            <w:shd w:val="clear" w:color="auto" w:fill="auto"/>
          </w:tcPr>
          <w:p w:rsidR="00D81DAD" w:rsidRDefault="0066375B"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375B" w:rsidRPr="006875AD" w:rsidTr="00A04D6A">
        <w:tc>
          <w:tcPr>
            <w:tcW w:w="1984" w:type="dxa"/>
            <w:shd w:val="clear" w:color="auto" w:fill="auto"/>
          </w:tcPr>
          <w:p w:rsidR="00D81DAD" w:rsidRDefault="0066375B" w:rsidP="00293635">
            <w:pPr>
              <w:pStyle w:val="GPSDefinitionTerm"/>
            </w:pPr>
            <w:r w:rsidRPr="006875AD">
              <w:t>"Good Industry Practice"</w:t>
            </w:r>
          </w:p>
        </w:tc>
        <w:tc>
          <w:tcPr>
            <w:tcW w:w="6237" w:type="dxa"/>
            <w:shd w:val="clear" w:color="auto" w:fill="auto"/>
          </w:tcPr>
          <w:p w:rsidR="00D81DAD" w:rsidRDefault="0066375B"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Goods</w:t>
            </w:r>
            <w:r w:rsidRPr="006875AD">
              <w:t>"</w:t>
            </w:r>
          </w:p>
        </w:tc>
        <w:tc>
          <w:tcPr>
            <w:tcW w:w="6237" w:type="dxa"/>
            <w:shd w:val="clear" w:color="auto" w:fill="auto"/>
          </w:tcPr>
          <w:p w:rsidR="00D81DAD" w:rsidRDefault="0066375B" w:rsidP="00293635">
            <w:pPr>
              <w:pStyle w:val="GPsDefinition"/>
            </w:pPr>
            <w:r w:rsidRPr="006875AD">
              <w:t xml:space="preserve">means the goods described in Framework Schedule </w:t>
            </w:r>
            <w:r w:rsidR="0097652C">
              <w:t>2</w:t>
            </w:r>
            <w:r w:rsidR="0097652C" w:rsidRPr="006875AD">
              <w:t xml:space="preserve"> </w:t>
            </w:r>
            <w:r w:rsidRPr="006875AD">
              <w:t>(Services and Key Performance Indicators) which the Supplier shall make available to Contracting Bodies;</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Services Requirements</w:t>
            </w:r>
            <w:r w:rsidRPr="006875AD">
              <w:t>"</w:t>
            </w:r>
          </w:p>
        </w:tc>
        <w:tc>
          <w:tcPr>
            <w:tcW w:w="6237" w:type="dxa"/>
            <w:shd w:val="clear" w:color="auto" w:fill="auto"/>
          </w:tcPr>
          <w:p w:rsidR="00D81DAD" w:rsidRDefault="0066375B" w:rsidP="00293635">
            <w:pPr>
              <w:pStyle w:val="GPsDefinition"/>
            </w:pPr>
            <w:r w:rsidRPr="006875AD">
              <w:t>means the requirements of the Authority or any other Contracting Body (as appropriate) for the Services from time to time;</w:t>
            </w:r>
          </w:p>
        </w:tc>
      </w:tr>
      <w:tr w:rsidR="006A4956" w:rsidRPr="006875AD" w:rsidTr="00A04D6A">
        <w:tc>
          <w:tcPr>
            <w:tcW w:w="1984" w:type="dxa"/>
            <w:shd w:val="clear" w:color="auto" w:fill="auto"/>
          </w:tcPr>
          <w:p w:rsidR="006A4956" w:rsidRPr="006875AD" w:rsidRDefault="00156907" w:rsidP="00293635">
            <w:pPr>
              <w:pStyle w:val="GPSDefinitionTerm"/>
            </w:pPr>
            <w:r w:rsidRPr="006875AD">
              <w:t>"</w:t>
            </w:r>
            <w:r w:rsidR="006A4956" w:rsidRPr="006875AD">
              <w:t>Government</w:t>
            </w:r>
            <w:r w:rsidRPr="006875AD">
              <w:t>"</w:t>
            </w:r>
          </w:p>
        </w:tc>
        <w:tc>
          <w:tcPr>
            <w:tcW w:w="6237" w:type="dxa"/>
            <w:shd w:val="clear" w:color="auto" w:fill="auto"/>
          </w:tcPr>
          <w:p w:rsidR="00D81DAD" w:rsidRDefault="006A4956"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66375B" w:rsidRPr="006875AD" w:rsidTr="00A04D6A">
        <w:tc>
          <w:tcPr>
            <w:tcW w:w="1984" w:type="dxa"/>
            <w:shd w:val="clear" w:color="auto" w:fill="auto"/>
          </w:tcPr>
          <w:p w:rsidR="00D81DAD" w:rsidRDefault="00156907" w:rsidP="00293635">
            <w:pPr>
              <w:pStyle w:val="GPSDefinitionTerm"/>
            </w:pPr>
            <w:r w:rsidRPr="006875AD">
              <w:t>"</w:t>
            </w:r>
            <w:r w:rsidR="003D744F">
              <w:t>Halifax Abuse Principle</w:t>
            </w:r>
            <w:r w:rsidRPr="006875AD">
              <w:t>"</w:t>
            </w:r>
          </w:p>
        </w:tc>
        <w:tc>
          <w:tcPr>
            <w:tcW w:w="6237" w:type="dxa"/>
            <w:shd w:val="clear" w:color="auto" w:fill="auto"/>
          </w:tcPr>
          <w:p w:rsidR="00F20C99" w:rsidRDefault="003D744F" w:rsidP="00293635">
            <w:pPr>
              <w:pStyle w:val="GPsDefinition"/>
            </w:pPr>
            <w:r>
              <w:t xml:space="preserve">means </w:t>
            </w:r>
            <w:r w:rsidRPr="00AC16C8">
              <w:t>the principle explained in the CJEU Case C-255/02 Halifax and others</w:t>
            </w:r>
            <w:r>
              <w:t>;</w:t>
            </w:r>
          </w:p>
        </w:tc>
      </w:tr>
      <w:tr w:rsidR="007C203A" w:rsidRPr="006875AD" w:rsidTr="00A04D6A">
        <w:tc>
          <w:tcPr>
            <w:tcW w:w="1984" w:type="dxa"/>
            <w:shd w:val="clear" w:color="auto" w:fill="auto"/>
          </w:tcPr>
          <w:p w:rsidR="007C203A" w:rsidRPr="006875AD" w:rsidRDefault="007C203A" w:rsidP="00293635">
            <w:pPr>
              <w:pStyle w:val="GPSDefinitionTerm"/>
            </w:pPr>
            <w:r w:rsidRPr="006875AD">
              <w:t>"</w:t>
            </w:r>
            <w:r>
              <w:t>HM Government’s ICT Strategy</w:t>
            </w:r>
            <w:r w:rsidRPr="006875AD">
              <w:t>"</w:t>
            </w:r>
          </w:p>
        </w:tc>
        <w:tc>
          <w:tcPr>
            <w:tcW w:w="6237" w:type="dxa"/>
            <w:shd w:val="clear" w:color="auto" w:fill="auto"/>
          </w:tcPr>
          <w:p w:rsidR="007C203A" w:rsidRPr="00D03934" w:rsidRDefault="007C203A" w:rsidP="00293635">
            <w:pPr>
              <w:pStyle w:val="GPsDefinition"/>
            </w:pPr>
            <w:r w:rsidRPr="006875AD">
              <w:t>means</w:t>
            </w:r>
            <w:r>
              <w:t xml:space="preserve"> </w:t>
            </w:r>
            <w:r w:rsidRPr="002B49ED">
              <w:t xml:space="preserve">the </w:t>
            </w:r>
            <w:r>
              <w:t xml:space="preserve">HM Government ICT Strategy </w:t>
            </w:r>
            <w:r w:rsidRPr="002B49ED">
              <w:t xml:space="preserve">published by the </w:t>
            </w:r>
            <w:r>
              <w:t xml:space="preserve">Cabinet Office here: </w:t>
            </w:r>
            <w:r w:rsidRPr="000062C2">
              <w:t>https://www.gov.uk/government/collections/ict-strategy-resources</w:t>
            </w:r>
            <w:r>
              <w:t xml:space="preserve">; </w:t>
            </w:r>
          </w:p>
        </w:tc>
      </w:tr>
      <w:tr w:rsidR="0066375B" w:rsidRPr="006875AD" w:rsidTr="00A04D6A">
        <w:tc>
          <w:tcPr>
            <w:tcW w:w="1984" w:type="dxa"/>
            <w:shd w:val="clear" w:color="auto" w:fill="auto"/>
          </w:tcPr>
          <w:p w:rsidR="00D81DAD" w:rsidRDefault="0066375B" w:rsidP="00293635">
            <w:pPr>
              <w:pStyle w:val="GPSDefinitionTerm"/>
            </w:pPr>
            <w:r w:rsidRPr="006875AD">
              <w:t>"Holding Company"</w:t>
            </w:r>
          </w:p>
        </w:tc>
        <w:tc>
          <w:tcPr>
            <w:tcW w:w="6237" w:type="dxa"/>
            <w:shd w:val="clear" w:color="auto" w:fill="auto"/>
          </w:tcPr>
          <w:p w:rsidR="00D81DAD" w:rsidRDefault="00156907" w:rsidP="00293635">
            <w:pPr>
              <w:pStyle w:val="GPsDefinition"/>
            </w:pPr>
            <w:r w:rsidRPr="00D03934">
              <w:t xml:space="preserve">has the meaning given to it in </w:t>
            </w:r>
            <w:r w:rsidR="0066375B" w:rsidRPr="006875AD">
              <w:t>section 1159 of the Companies Act 2006;</w:t>
            </w:r>
          </w:p>
        </w:tc>
      </w:tr>
      <w:tr w:rsidR="00057725" w:rsidRPr="006875AD" w:rsidTr="00A04D6A">
        <w:tc>
          <w:tcPr>
            <w:tcW w:w="1984" w:type="dxa"/>
            <w:shd w:val="clear" w:color="auto" w:fill="auto"/>
          </w:tcPr>
          <w:p w:rsidR="00057725" w:rsidRDefault="00057725" w:rsidP="00293635">
            <w:pPr>
              <w:pStyle w:val="GPSDefinitionTerm"/>
            </w:pPr>
            <w:r w:rsidRPr="006875AD">
              <w:t>"I</w:t>
            </w:r>
            <w:r>
              <w:t>mprovement Plan</w:t>
            </w:r>
            <w:r w:rsidR="00156907" w:rsidRPr="006875AD">
              <w:t>"</w:t>
            </w:r>
          </w:p>
        </w:tc>
        <w:tc>
          <w:tcPr>
            <w:tcW w:w="6237" w:type="dxa"/>
            <w:shd w:val="clear" w:color="auto" w:fill="auto"/>
          </w:tcPr>
          <w:p w:rsidR="002B49ED" w:rsidRDefault="00057725" w:rsidP="00293635">
            <w:pPr>
              <w:pStyle w:val="GPsDefinition"/>
            </w:pPr>
            <w:r>
              <w:t xml:space="preserve">means the plan required by the Authority from the Supplier which shall detail how the Supplier will improve the provision of the Services pursuant to Clause </w:t>
            </w:r>
            <w:r w:rsidR="00F71B15">
              <w:fldChar w:fldCharType="begin"/>
            </w:r>
            <w:r>
              <w:instrText xml:space="preserve"> REF _Ref366088754 \r \h </w:instrText>
            </w:r>
            <w:r w:rsidR="00F71B15">
              <w:fldChar w:fldCharType="separate"/>
            </w:r>
            <w:r w:rsidR="00B3040B">
              <w:t>29.1.1</w:t>
            </w:r>
            <w:r w:rsidR="00F71B15">
              <w:fldChar w:fldCharType="end"/>
            </w:r>
            <w:r>
              <w:t xml:space="preserve"> </w:t>
            </w:r>
            <w:r>
              <w:lastRenderedPageBreak/>
              <w:t>(Authority Remedies)</w:t>
            </w:r>
            <w:r w:rsidRPr="00156907">
              <w:t>;</w:t>
            </w:r>
          </w:p>
        </w:tc>
      </w:tr>
      <w:tr w:rsidR="003A1391" w:rsidRPr="006875AD" w:rsidTr="00A04D6A">
        <w:tc>
          <w:tcPr>
            <w:tcW w:w="1984" w:type="dxa"/>
            <w:shd w:val="clear" w:color="auto" w:fill="auto"/>
          </w:tcPr>
          <w:p w:rsidR="002B49ED" w:rsidRDefault="003A1391" w:rsidP="00293635">
            <w:pPr>
              <w:pStyle w:val="GPSDefinitionTerm"/>
            </w:pPr>
            <w:r w:rsidRPr="006875AD">
              <w:lastRenderedPageBreak/>
              <w:t>"I</w:t>
            </w:r>
            <w:r>
              <w:t>mp</w:t>
            </w:r>
            <w:r w:rsidR="00057725">
              <w:t>rovement Notice</w:t>
            </w:r>
            <w:r w:rsidR="00156907" w:rsidRPr="006875AD">
              <w:t>"</w:t>
            </w:r>
          </w:p>
        </w:tc>
        <w:tc>
          <w:tcPr>
            <w:tcW w:w="6237" w:type="dxa"/>
            <w:shd w:val="clear" w:color="auto" w:fill="auto"/>
          </w:tcPr>
          <w:p w:rsidR="002B49ED" w:rsidRDefault="00057725" w:rsidP="00293635">
            <w:pPr>
              <w:pStyle w:val="GPsDefinition"/>
            </w:pPr>
            <w:r>
              <w:t xml:space="preserve">means the notice issued by the Authority to the Supplier pursuant to Clause </w:t>
            </w:r>
            <w:r w:rsidR="00F71B15">
              <w:fldChar w:fldCharType="begin"/>
            </w:r>
            <w:r>
              <w:instrText xml:space="preserve"> REF _Ref366088885 \r \h </w:instrText>
            </w:r>
            <w:r w:rsidR="00F71B15">
              <w:fldChar w:fldCharType="separate"/>
            </w:r>
            <w:r w:rsidR="00B3040B">
              <w:t>29.1.3</w:t>
            </w:r>
            <w:r w:rsidR="00F71B15">
              <w:fldChar w:fldCharType="end"/>
            </w:r>
            <w:r>
              <w:t xml:space="preserve"> (Authority Remedies) which will detail how the Supplier shall improve the provision of the Services;</w:t>
            </w:r>
          </w:p>
        </w:tc>
      </w:tr>
      <w:tr w:rsidR="0066375B" w:rsidRPr="006875AD" w:rsidTr="00A04D6A">
        <w:tc>
          <w:tcPr>
            <w:tcW w:w="1984" w:type="dxa"/>
            <w:shd w:val="clear" w:color="auto" w:fill="auto"/>
          </w:tcPr>
          <w:p w:rsidR="00D81DAD" w:rsidRDefault="0066375B" w:rsidP="00293635">
            <w:pPr>
              <w:pStyle w:val="GPSDefinitionTerm"/>
            </w:pPr>
            <w:r w:rsidRPr="006875AD">
              <w:t>"Information"</w:t>
            </w:r>
          </w:p>
        </w:tc>
        <w:tc>
          <w:tcPr>
            <w:tcW w:w="6237" w:type="dxa"/>
            <w:shd w:val="clear" w:color="auto" w:fill="auto"/>
          </w:tcPr>
          <w:p w:rsidR="00D81DAD" w:rsidRDefault="0066375B" w:rsidP="00293635">
            <w:pPr>
              <w:pStyle w:val="GPsDefinition"/>
            </w:pPr>
            <w:r w:rsidRPr="006875AD">
              <w:t>has the meaning given under section 84 of the Freedom of Information Act 2000</w:t>
            </w:r>
            <w:r w:rsidR="0097652C">
              <w:t xml:space="preserve"> as amended from time to time</w:t>
            </w:r>
            <w:r w:rsidRPr="00156907">
              <w:t>;</w:t>
            </w:r>
          </w:p>
        </w:tc>
      </w:tr>
      <w:tr w:rsidR="00D96F3F" w:rsidRPr="006875AD" w:rsidTr="00A04D6A">
        <w:tc>
          <w:tcPr>
            <w:tcW w:w="1984" w:type="dxa"/>
            <w:shd w:val="clear" w:color="auto" w:fill="auto"/>
          </w:tcPr>
          <w:p w:rsidR="00D96F3F" w:rsidRPr="00173F67" w:rsidRDefault="00D96F3F" w:rsidP="00293635">
            <w:pPr>
              <w:pStyle w:val="GPSDefinitionTerm"/>
            </w:pPr>
            <w:r w:rsidRPr="00173F67">
              <w:t>“Initial Framework Period”</w:t>
            </w:r>
          </w:p>
        </w:tc>
        <w:tc>
          <w:tcPr>
            <w:tcW w:w="6237" w:type="dxa"/>
            <w:shd w:val="clear" w:color="auto" w:fill="auto"/>
          </w:tcPr>
          <w:p w:rsidR="00D96F3F" w:rsidRPr="00173F67" w:rsidRDefault="00D96F3F" w:rsidP="00293635">
            <w:pPr>
              <w:pStyle w:val="GPsDefinition"/>
            </w:pPr>
            <w:r w:rsidRPr="00173F67">
              <w:t>means the period from the Framework Commencement Date until its second anniversary</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Insolvency Event</w:t>
            </w:r>
            <w:r w:rsidRPr="006875AD">
              <w:t>"</w:t>
            </w:r>
          </w:p>
        </w:tc>
        <w:tc>
          <w:tcPr>
            <w:tcW w:w="6237" w:type="dxa"/>
            <w:shd w:val="clear" w:color="auto" w:fill="auto"/>
          </w:tcPr>
          <w:p w:rsidR="00D81DAD" w:rsidRDefault="0066375B" w:rsidP="00293635">
            <w:pPr>
              <w:pStyle w:val="GPsDefinition"/>
            </w:pPr>
            <w:r w:rsidRPr="006875AD">
              <w:t>means, in respect of the Supplier or Framework Guarantor</w:t>
            </w:r>
            <w:r w:rsidR="00E231C0">
              <w:t xml:space="preserve"> or Call Off Guarantor</w:t>
            </w:r>
            <w:r w:rsidRPr="006875AD">
              <w:t xml:space="preserve"> (as applicable):</w:t>
            </w:r>
          </w:p>
          <w:p w:rsidR="00D81DAD" w:rsidRDefault="0066375B"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rsidR="00D81DAD" w:rsidRDefault="0066375B"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81DAD" w:rsidRDefault="0066375B"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81DAD" w:rsidRDefault="0066375B" w:rsidP="00293635">
            <w:pPr>
              <w:pStyle w:val="GPSDefinitionL2"/>
            </w:pPr>
            <w:r w:rsidRPr="006875AD">
              <w:t xml:space="preserve">a receiver, administrative receiver or similar officer is appointed over the whole or any part of its business or assets; or </w:t>
            </w:r>
          </w:p>
          <w:p w:rsidR="00D81DAD" w:rsidRDefault="0066375B"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rsidR="00D81DAD" w:rsidRDefault="0066375B" w:rsidP="00293635">
            <w:pPr>
              <w:pStyle w:val="GPSDefinitionL2"/>
            </w:pPr>
            <w:r w:rsidRPr="006875AD">
              <w:t xml:space="preserve">it is or becomes insolvent within the meaning of section 123 of the Insolvency Act 1986; or </w:t>
            </w:r>
          </w:p>
          <w:p w:rsidR="00D81DAD" w:rsidRDefault="0066375B" w:rsidP="00293635">
            <w:pPr>
              <w:pStyle w:val="GPSDefinitionL2"/>
            </w:pPr>
            <w:r w:rsidRPr="006875AD">
              <w:t xml:space="preserve">being a "small company" within the meaning of section 382(3) of the Companies Act 2006, a moratorium comes into force pursuant to Schedule A1 of the Insolvency Act 1986; or </w:t>
            </w:r>
          </w:p>
          <w:p w:rsidR="00D81DAD" w:rsidRDefault="0066375B" w:rsidP="00293635">
            <w:pPr>
              <w:pStyle w:val="GPSDefinitionL2"/>
            </w:pPr>
            <w:r w:rsidRPr="006875AD">
              <w:t>where the Supplier or Framework Guarantor</w:t>
            </w:r>
            <w:r w:rsidR="00E231C0">
              <w:t xml:space="preserve"> or Call Off Guarantor</w:t>
            </w:r>
            <w:r w:rsidRPr="006875AD">
              <w:t xml:space="preserve"> is an individual or partnership, any event analogous to those listed in limbs (a) to (g) (inclusive) occurs in relation to that individual or partnership; or</w:t>
            </w:r>
          </w:p>
          <w:p w:rsidR="00D81DAD" w:rsidRDefault="0066375B" w:rsidP="00293635">
            <w:pPr>
              <w:pStyle w:val="GPSDefinitionL2"/>
            </w:pPr>
            <w:r w:rsidRPr="006875AD">
              <w:t xml:space="preserve">any event analogous to those listed in limbs (a) to (h) </w:t>
            </w:r>
            <w:r w:rsidRPr="006875AD">
              <w:lastRenderedPageBreak/>
              <w:t>(inclusive) occurs under the law of any other jurisdiction</w:t>
            </w:r>
            <w:r w:rsidR="00BD3F71">
              <w:t>;</w:t>
            </w:r>
            <w:r w:rsidR="00F71B15" w:rsidRPr="00850F42">
              <w:rPr>
                <w:sz w:val="16"/>
              </w:rPr>
              <w:fldChar w:fldCharType="begin"/>
            </w:r>
            <w:r w:rsidR="00BD3F71" w:rsidRPr="00850F42">
              <w:rPr>
                <w:sz w:val="16"/>
              </w:rPr>
              <w:instrText>LISTNUM \l 1 \s 0</w:instrText>
            </w:r>
            <w:r w:rsidR="00F71B15" w:rsidRPr="00850F42">
              <w:rPr>
                <w:sz w:val="16"/>
              </w:rPr>
              <w:fldChar w:fldCharType="separate"/>
            </w:r>
            <w:r w:rsidR="00BD3F71" w:rsidRPr="00850F42">
              <w:rPr>
                <w:sz w:val="16"/>
              </w:rPr>
              <w:t xml:space="preserve"> </w:t>
            </w:r>
            <w:r w:rsidR="00F71B15" w:rsidRPr="00850F42">
              <w:rPr>
                <w:sz w:val="16"/>
              </w:rPr>
              <w:fldChar w:fldCharType="end">
                <w:numberingChange w:id="686" w:author="potterj" w:date="2014-08-28T12:26:00Z" w:original=""/>
              </w:fldChar>
            </w:r>
          </w:p>
        </w:tc>
      </w:tr>
      <w:tr w:rsidR="00686287" w:rsidRPr="006875AD" w:rsidTr="001473BE">
        <w:tc>
          <w:tcPr>
            <w:tcW w:w="1984" w:type="dxa"/>
            <w:shd w:val="clear" w:color="auto" w:fill="auto"/>
          </w:tcPr>
          <w:p w:rsidR="00686287" w:rsidRDefault="00686287" w:rsidP="001473BE">
            <w:pPr>
              <w:pStyle w:val="GPSDefinitionTerm"/>
            </w:pPr>
            <w:r w:rsidRPr="006875AD">
              <w:lastRenderedPageBreak/>
              <w:t>"</w:t>
            </w:r>
            <w:r>
              <w:t>IPR Claim</w:t>
            </w:r>
            <w:r w:rsidRPr="006875AD">
              <w:t>"</w:t>
            </w:r>
          </w:p>
        </w:tc>
        <w:tc>
          <w:tcPr>
            <w:tcW w:w="6237" w:type="dxa"/>
            <w:shd w:val="clear" w:color="auto" w:fill="auto"/>
          </w:tcPr>
          <w:p w:rsidR="00686287" w:rsidRDefault="00686287" w:rsidP="001473BE">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66375B" w:rsidRPr="006875AD" w:rsidTr="00A04D6A">
        <w:tc>
          <w:tcPr>
            <w:tcW w:w="1984" w:type="dxa"/>
            <w:shd w:val="clear" w:color="auto" w:fill="auto"/>
          </w:tcPr>
          <w:p w:rsidR="00D81DAD" w:rsidRDefault="0066375B" w:rsidP="00293635">
            <w:pPr>
              <w:pStyle w:val="GPSDefinitionTerm"/>
            </w:pPr>
            <w:r w:rsidRPr="006875AD">
              <w:t>"Intellectual Property Rights" or "IPR"</w:t>
            </w:r>
          </w:p>
        </w:tc>
        <w:tc>
          <w:tcPr>
            <w:tcW w:w="6237" w:type="dxa"/>
            <w:shd w:val="clear" w:color="auto" w:fill="auto"/>
          </w:tcPr>
          <w:p w:rsidR="00D81DAD" w:rsidRDefault="0066375B" w:rsidP="00293635">
            <w:pPr>
              <w:pStyle w:val="GPsDefinition"/>
            </w:pPr>
            <w:r w:rsidRPr="006875AD">
              <w:t>means:</w:t>
            </w:r>
          </w:p>
          <w:p w:rsidR="00D81DAD" w:rsidRDefault="003D744F"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0066375B" w:rsidRPr="006875AD">
              <w:t>;</w:t>
            </w:r>
          </w:p>
          <w:p w:rsidR="00D81DAD" w:rsidRDefault="003D744F"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0066375B" w:rsidRPr="006875AD">
              <w:t>; and</w:t>
            </w:r>
          </w:p>
          <w:p w:rsidR="00D81DAD" w:rsidRDefault="003D744F" w:rsidP="00293635">
            <w:pPr>
              <w:pStyle w:val="GPSDefinitionL2"/>
            </w:pPr>
            <w:r w:rsidRPr="00140497">
              <w:t>all other rights having equivalent or similar effect in any country or jurisdiction</w:t>
            </w:r>
            <w:r w:rsidR="0066375B" w:rsidRPr="006875AD">
              <w:t>;</w:t>
            </w:r>
            <w:r w:rsidR="00F71B15" w:rsidRPr="00850F42">
              <w:rPr>
                <w:sz w:val="16"/>
              </w:rPr>
              <w:fldChar w:fldCharType="begin"/>
            </w:r>
            <w:r w:rsidR="00BD3F71" w:rsidRPr="00850F42">
              <w:rPr>
                <w:sz w:val="16"/>
              </w:rPr>
              <w:instrText>LISTNUM \l 1 \s 0</w:instrText>
            </w:r>
            <w:r w:rsidR="00F71B15" w:rsidRPr="00850F42">
              <w:rPr>
                <w:sz w:val="16"/>
              </w:rPr>
              <w:fldChar w:fldCharType="separate"/>
            </w:r>
            <w:r w:rsidR="00BD3F71" w:rsidRPr="00850F42">
              <w:rPr>
                <w:sz w:val="16"/>
              </w:rPr>
              <w:t xml:space="preserve"> </w:t>
            </w:r>
            <w:r w:rsidR="00F71B15" w:rsidRPr="00850F42">
              <w:rPr>
                <w:sz w:val="16"/>
              </w:rPr>
              <w:fldChar w:fldCharType="end">
                <w:numberingChange w:id="687" w:author="potterj" w:date="2014-08-28T12:26:00Z" w:original=""/>
              </w:fldChar>
            </w:r>
          </w:p>
        </w:tc>
      </w:tr>
      <w:tr w:rsidR="006A4956" w:rsidRPr="006875AD" w:rsidTr="00173F67">
        <w:trPr>
          <w:trHeight w:val="606"/>
        </w:trPr>
        <w:tc>
          <w:tcPr>
            <w:tcW w:w="1984" w:type="dxa"/>
            <w:shd w:val="clear" w:color="auto" w:fill="auto"/>
          </w:tcPr>
          <w:p w:rsidR="00D81DAD" w:rsidRDefault="006A4956" w:rsidP="00293635">
            <w:pPr>
              <w:pStyle w:val="GPSDefinitionTerm"/>
            </w:pPr>
            <w:r w:rsidRPr="006875AD">
              <w:t>"Invitation to Tender"</w:t>
            </w:r>
            <w:r w:rsidR="00610F5D">
              <w:t xml:space="preserve"> or “ITT”</w:t>
            </w:r>
          </w:p>
        </w:tc>
        <w:tc>
          <w:tcPr>
            <w:tcW w:w="6237" w:type="dxa"/>
            <w:shd w:val="clear" w:color="auto" w:fill="auto"/>
          </w:tcPr>
          <w:p w:rsidR="000A7672" w:rsidRDefault="00373ADC" w:rsidP="00173F67">
            <w:pPr>
              <w:pStyle w:val="GPsDefinition"/>
            </w:pPr>
            <w:r>
              <w:t xml:space="preserve">means the invitation by the Authority to submit </w:t>
            </w:r>
            <w:r w:rsidR="006C68DA">
              <w:t>a tender for the Services.</w:t>
            </w:r>
          </w:p>
        </w:tc>
      </w:tr>
      <w:tr w:rsidR="009D4F4F" w:rsidRPr="006875AD" w:rsidTr="00A04D6A">
        <w:tc>
          <w:tcPr>
            <w:tcW w:w="1984" w:type="dxa"/>
            <w:shd w:val="clear" w:color="auto" w:fill="auto"/>
          </w:tcPr>
          <w:p w:rsidR="009D4F4F" w:rsidRDefault="00156907" w:rsidP="00293635">
            <w:pPr>
              <w:pStyle w:val="GPSDefinitionTerm"/>
            </w:pPr>
            <w:r w:rsidRPr="006875AD">
              <w:t>"</w:t>
            </w:r>
            <w:r w:rsidR="009D4F4F">
              <w:t>Key Sub-Contract</w:t>
            </w:r>
            <w:r w:rsidRPr="006875AD">
              <w:t>"</w:t>
            </w:r>
          </w:p>
        </w:tc>
        <w:tc>
          <w:tcPr>
            <w:tcW w:w="6237" w:type="dxa"/>
            <w:shd w:val="clear" w:color="auto" w:fill="auto"/>
          </w:tcPr>
          <w:p w:rsidR="009D4F4F" w:rsidRDefault="009D4F4F" w:rsidP="00293635">
            <w:pPr>
              <w:pStyle w:val="GPsDefinition"/>
            </w:pPr>
            <w:r w:rsidRPr="00D03934">
              <w:t>means each Sub-Contract with a Key Sub-Contractor;</w:t>
            </w:r>
          </w:p>
        </w:tc>
      </w:tr>
      <w:tr w:rsidR="003A1391" w:rsidRPr="006875AD" w:rsidTr="00A04D6A">
        <w:tc>
          <w:tcPr>
            <w:tcW w:w="1984" w:type="dxa"/>
            <w:shd w:val="clear" w:color="auto" w:fill="auto"/>
          </w:tcPr>
          <w:p w:rsidR="002B49ED" w:rsidRDefault="00156907" w:rsidP="00293635">
            <w:pPr>
              <w:pStyle w:val="GPSDefinitionTerm"/>
            </w:pPr>
            <w:r w:rsidRPr="006875AD">
              <w:t>"</w:t>
            </w:r>
            <w:r w:rsidR="003A1391">
              <w:t>Key Sub-Contractors</w:t>
            </w:r>
            <w:r w:rsidRPr="006875AD">
              <w:t>"</w:t>
            </w:r>
          </w:p>
        </w:tc>
        <w:tc>
          <w:tcPr>
            <w:tcW w:w="6237" w:type="dxa"/>
            <w:shd w:val="clear" w:color="auto" w:fill="auto"/>
          </w:tcPr>
          <w:p w:rsidR="002B49ED" w:rsidRDefault="003A1391" w:rsidP="00293635">
            <w:pPr>
              <w:pStyle w:val="GPsDefinition"/>
            </w:pPr>
            <w:r w:rsidRPr="00893741">
              <w:t xml:space="preserve">means </w:t>
            </w:r>
            <w:r w:rsidR="00F04C83" w:rsidRPr="00F41317">
              <w:t>any Sub-</w:t>
            </w:r>
            <w:r w:rsidR="007E48FD">
              <w:t>C</w:t>
            </w:r>
            <w:r w:rsidR="00F04C83" w:rsidRPr="00F41317">
              <w:t>ontractor</w:t>
            </w:r>
            <w:r w:rsidR="00F04C83">
              <w:t xml:space="preserve"> </w:t>
            </w:r>
            <w:r w:rsidR="00F04C83" w:rsidRPr="00140497">
              <w:t xml:space="preserve">which, in the opinion of the </w:t>
            </w:r>
            <w:r w:rsidR="00F04C83" w:rsidRPr="00F41317">
              <w:t>Authority</w:t>
            </w:r>
            <w:r w:rsidR="00F04C83" w:rsidRPr="00140497">
              <w:t xml:space="preserve">, </w:t>
            </w:r>
            <w:r w:rsidR="00F04C83" w:rsidRPr="00F41317">
              <w:t>performs</w:t>
            </w:r>
            <w:r w:rsidR="00F04C83" w:rsidRPr="00140497">
              <w:t xml:space="preserve"> (or would perform if appointed) a critical role in the provi</w:t>
            </w:r>
            <w:r w:rsidR="00F04C83">
              <w:t>sion of all or any part of the S</w:t>
            </w:r>
            <w:r w:rsidR="00F04C83" w:rsidRPr="00140497">
              <w:t xml:space="preserve">ervices; </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Key Performance Indicators</w:t>
            </w:r>
            <w:r w:rsidRPr="006875AD">
              <w:t>"</w:t>
            </w:r>
            <w:r w:rsidR="0066375B" w:rsidRPr="006875AD">
              <w:t xml:space="preserve"> or </w:t>
            </w:r>
            <w:r w:rsidRPr="006875AD">
              <w:t>"</w:t>
            </w:r>
            <w:r w:rsidR="0066375B" w:rsidRPr="006875AD">
              <w:t>KPIs</w:t>
            </w:r>
            <w:r w:rsidRPr="006875AD">
              <w:t>"</w:t>
            </w:r>
          </w:p>
        </w:tc>
        <w:tc>
          <w:tcPr>
            <w:tcW w:w="6237" w:type="dxa"/>
            <w:shd w:val="clear" w:color="auto" w:fill="auto"/>
          </w:tcPr>
          <w:p w:rsidR="00D81DAD" w:rsidRDefault="0066375B" w:rsidP="00293635">
            <w:pPr>
              <w:pStyle w:val="GPsDefinition"/>
            </w:pPr>
            <w:r w:rsidRPr="006875AD">
              <w:t xml:space="preserve">means the performance measurements and targets set out in Part </w:t>
            </w:r>
            <w:r w:rsidR="00825AE9">
              <w:t>E</w:t>
            </w:r>
            <w:r w:rsidRPr="006875AD">
              <w:t xml:space="preserve"> of Framework Schedule </w:t>
            </w:r>
            <w:r w:rsidR="00D5706B">
              <w:t>2</w:t>
            </w:r>
            <w:r w:rsidRPr="006875AD">
              <w:t xml:space="preserve"> (Services and Key Performance Indicators);</w:t>
            </w:r>
          </w:p>
        </w:tc>
      </w:tr>
      <w:tr w:rsidR="0066375B" w:rsidRPr="006875AD" w:rsidTr="00A04D6A">
        <w:tc>
          <w:tcPr>
            <w:tcW w:w="1984" w:type="dxa"/>
            <w:shd w:val="clear" w:color="auto" w:fill="auto"/>
          </w:tcPr>
          <w:p w:rsidR="00D81DAD" w:rsidRDefault="0066375B" w:rsidP="00293635">
            <w:pPr>
              <w:pStyle w:val="GPSDefinitionTerm"/>
            </w:pPr>
            <w:r w:rsidRPr="006875AD">
              <w:t>"Know-How"</w:t>
            </w:r>
          </w:p>
        </w:tc>
        <w:tc>
          <w:tcPr>
            <w:tcW w:w="6237" w:type="dxa"/>
            <w:shd w:val="clear" w:color="auto" w:fill="auto"/>
          </w:tcPr>
          <w:p w:rsidR="00D81DAD" w:rsidRDefault="003D744F" w:rsidP="00293635">
            <w:pPr>
              <w:pStyle w:val="GPsDefinition"/>
            </w:pPr>
            <w:r w:rsidRPr="00C83EE6">
              <w:t>means all ideas, concepts, schemes, information, knowledge, techniques, methodology, and anything else in the nature of know-how relating to the Services but excluding know-how already in the</w:t>
            </w:r>
            <w:r>
              <w:t xml:space="preserve"> other Party</w:t>
            </w:r>
            <w:r w:rsidRPr="00C83EE6">
              <w:t>'s</w:t>
            </w:r>
            <w:r>
              <w:t xml:space="preserve"> possession before the Framework </w:t>
            </w:r>
            <w:r w:rsidRPr="00C83EE6">
              <w:t>Commencement Date</w:t>
            </w:r>
            <w:r>
              <w:t>;</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KPI Target</w:t>
            </w:r>
            <w:r w:rsidRPr="006875AD">
              <w:t>"</w:t>
            </w:r>
          </w:p>
        </w:tc>
        <w:tc>
          <w:tcPr>
            <w:tcW w:w="6237" w:type="dxa"/>
            <w:shd w:val="clear" w:color="auto" w:fill="auto"/>
          </w:tcPr>
          <w:p w:rsidR="00D81DAD" w:rsidRDefault="0066375B" w:rsidP="00293635">
            <w:pPr>
              <w:pStyle w:val="GPsDefinition"/>
            </w:pPr>
            <w:r w:rsidRPr="006875AD">
              <w:t xml:space="preserve">means the acceptable performance level for a KPI as set out in </w:t>
            </w:r>
            <w:r w:rsidR="003D744F">
              <w:t xml:space="preserve">relation to </w:t>
            </w:r>
            <w:r w:rsidRPr="006875AD">
              <w:t>each KPI;</w:t>
            </w:r>
          </w:p>
        </w:tc>
      </w:tr>
      <w:tr w:rsidR="0066375B" w:rsidRPr="006875AD" w:rsidTr="00A04D6A">
        <w:tc>
          <w:tcPr>
            <w:tcW w:w="1984" w:type="dxa"/>
            <w:shd w:val="clear" w:color="auto" w:fill="auto"/>
          </w:tcPr>
          <w:p w:rsidR="00D81DAD" w:rsidRDefault="0066375B" w:rsidP="00293635">
            <w:pPr>
              <w:pStyle w:val="GPSDefinitionTerm"/>
            </w:pPr>
            <w:r w:rsidRPr="006875AD">
              <w:t>"Law"</w:t>
            </w:r>
          </w:p>
        </w:tc>
        <w:tc>
          <w:tcPr>
            <w:tcW w:w="6237" w:type="dxa"/>
            <w:shd w:val="clear" w:color="auto" w:fill="auto"/>
          </w:tcPr>
          <w:p w:rsidR="00D81DAD" w:rsidRDefault="0066375B" w:rsidP="00293635">
            <w:pPr>
              <w:pStyle w:val="GPsDefinition"/>
            </w:pPr>
            <w:r w:rsidRPr="006875AD">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w:t>
            </w:r>
            <w:r w:rsidRPr="006875AD">
              <w:lastRenderedPageBreak/>
              <w:t>requirements with which the Supplier is bound to comply;</w:t>
            </w:r>
          </w:p>
        </w:tc>
      </w:tr>
      <w:tr w:rsidR="0066375B" w:rsidRPr="006875AD" w:rsidTr="00A04D6A">
        <w:tc>
          <w:tcPr>
            <w:tcW w:w="1984" w:type="dxa"/>
            <w:shd w:val="clear" w:color="auto" w:fill="auto"/>
          </w:tcPr>
          <w:p w:rsidR="00D81DAD" w:rsidRDefault="00156907" w:rsidP="00293635">
            <w:pPr>
              <w:pStyle w:val="GPSDefinitionTerm"/>
            </w:pPr>
            <w:r w:rsidRPr="006875AD">
              <w:lastRenderedPageBreak/>
              <w:t>"</w:t>
            </w:r>
            <w:r w:rsidR="0066375B" w:rsidRPr="006875AD">
              <w:t>Legacy Services"</w:t>
            </w:r>
          </w:p>
        </w:tc>
        <w:tc>
          <w:tcPr>
            <w:tcW w:w="6237" w:type="dxa"/>
            <w:shd w:val="clear" w:color="auto" w:fill="auto"/>
          </w:tcPr>
          <w:p w:rsidR="00D81DAD" w:rsidRDefault="0066375B" w:rsidP="00293635">
            <w:pPr>
              <w:pStyle w:val="GPsDefinition"/>
            </w:pPr>
            <w:r w:rsidRPr="006875AD">
              <w:t>means services similar to the New Services and/or services which interface with or are intended to interface with or be replaced by the New Services;</w:t>
            </w:r>
          </w:p>
        </w:tc>
      </w:tr>
      <w:tr w:rsidR="0087201A" w:rsidRPr="006875AD" w:rsidTr="00A04D6A">
        <w:tc>
          <w:tcPr>
            <w:tcW w:w="1984" w:type="dxa"/>
            <w:shd w:val="clear" w:color="auto" w:fill="auto"/>
          </w:tcPr>
          <w:p w:rsidR="00D81DAD" w:rsidRDefault="00156907" w:rsidP="00293635">
            <w:pPr>
              <w:pStyle w:val="GPSDefinitionTerm"/>
            </w:pPr>
            <w:r w:rsidRPr="006875AD">
              <w:t>"</w:t>
            </w:r>
            <w:r w:rsidR="001827DA" w:rsidRPr="001827DA">
              <w:t>Losses</w:t>
            </w:r>
            <w:r w:rsidRPr="006875AD">
              <w:t>"</w:t>
            </w:r>
          </w:p>
        </w:tc>
        <w:tc>
          <w:tcPr>
            <w:tcW w:w="6237" w:type="dxa"/>
            <w:shd w:val="clear" w:color="auto" w:fill="auto"/>
          </w:tcPr>
          <w:p w:rsidR="00D81DAD" w:rsidRDefault="001827DA"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002E7CBD">
              <w:rPr>
                <w:b/>
              </w:rPr>
              <w:t>“</w:t>
            </w:r>
            <w:r w:rsidRPr="001827DA">
              <w:rPr>
                <w:b/>
              </w:rPr>
              <w:t>Loss”</w:t>
            </w:r>
            <w:r w:rsidRPr="001827DA">
              <w:t xml:space="preserve"> shall be interpreted accordingly;</w:t>
            </w:r>
          </w:p>
        </w:tc>
      </w:tr>
      <w:tr w:rsidR="0066375B" w:rsidRPr="006875AD" w:rsidTr="00A04D6A">
        <w:tc>
          <w:tcPr>
            <w:tcW w:w="1984" w:type="dxa"/>
            <w:shd w:val="clear" w:color="auto" w:fill="auto"/>
          </w:tcPr>
          <w:p w:rsidR="00D81DAD" w:rsidRPr="00173F67" w:rsidRDefault="0066375B" w:rsidP="00293635">
            <w:pPr>
              <w:pStyle w:val="GPSDefinitionTerm"/>
            </w:pPr>
            <w:r w:rsidRPr="00173F67">
              <w:t>"Lot"</w:t>
            </w:r>
          </w:p>
        </w:tc>
        <w:tc>
          <w:tcPr>
            <w:tcW w:w="6237" w:type="dxa"/>
            <w:shd w:val="clear" w:color="auto" w:fill="auto"/>
          </w:tcPr>
          <w:p w:rsidR="00D81DAD" w:rsidRPr="00173F67" w:rsidRDefault="0066375B" w:rsidP="00173F67">
            <w:pPr>
              <w:pStyle w:val="GPsDefinition"/>
            </w:pPr>
            <w:r w:rsidRPr="00173F67">
              <w:t xml:space="preserve">means any of the </w:t>
            </w:r>
            <w:r w:rsidR="006C68DA" w:rsidRPr="00173F67">
              <w:rPr>
                <w:b/>
              </w:rPr>
              <w:t>3</w:t>
            </w:r>
            <w:r w:rsidRPr="00173F67">
              <w:t xml:space="preserve"> lots specified in Framework Schedule </w:t>
            </w:r>
            <w:r w:rsidR="0097652C" w:rsidRPr="00173F67">
              <w:t xml:space="preserve">2 </w:t>
            </w:r>
            <w:r w:rsidRPr="00173F67">
              <w:t>(Services and Key Performance Indicators) and "Lots" shall be construed accordingly;</w:t>
            </w:r>
          </w:p>
        </w:tc>
      </w:tr>
      <w:tr w:rsidR="007F778F" w:rsidRPr="006875AD" w:rsidTr="00A04D6A">
        <w:tc>
          <w:tcPr>
            <w:tcW w:w="1984" w:type="dxa"/>
            <w:shd w:val="clear" w:color="auto" w:fill="auto"/>
          </w:tcPr>
          <w:p w:rsidR="007F778F" w:rsidRPr="006875AD" w:rsidRDefault="007F778F" w:rsidP="00293635">
            <w:pPr>
              <w:pStyle w:val="GPSDefinitionTerm"/>
            </w:pPr>
            <w:r>
              <w:t>“Lot 1”</w:t>
            </w:r>
          </w:p>
        </w:tc>
        <w:tc>
          <w:tcPr>
            <w:tcW w:w="6237" w:type="dxa"/>
            <w:shd w:val="clear" w:color="auto" w:fill="auto"/>
          </w:tcPr>
          <w:p w:rsidR="007F778F" w:rsidRPr="006875AD" w:rsidRDefault="007F778F" w:rsidP="00927AC4">
            <w:pPr>
              <w:pStyle w:val="GPsDefinition"/>
            </w:pPr>
            <w:r>
              <w:t xml:space="preserve">means Lot 1 of this Framework as specified in Framework Schedule 2 </w:t>
            </w:r>
            <w:r w:rsidRPr="00173F67">
              <w:t>(Services and Key Performance Indicators)</w:t>
            </w:r>
            <w:r>
              <w:t>;</w:t>
            </w:r>
          </w:p>
        </w:tc>
      </w:tr>
      <w:tr w:rsidR="007F778F" w:rsidRPr="006875AD" w:rsidTr="00C26EA5">
        <w:tc>
          <w:tcPr>
            <w:tcW w:w="1984" w:type="dxa"/>
            <w:shd w:val="clear" w:color="auto" w:fill="auto"/>
          </w:tcPr>
          <w:p w:rsidR="007F778F" w:rsidRPr="006875AD" w:rsidRDefault="007F778F" w:rsidP="00C26EA5">
            <w:pPr>
              <w:pStyle w:val="GPSDefinitionTerm"/>
            </w:pPr>
            <w:r>
              <w:t>“Lot 2”</w:t>
            </w:r>
          </w:p>
        </w:tc>
        <w:tc>
          <w:tcPr>
            <w:tcW w:w="6237" w:type="dxa"/>
            <w:shd w:val="clear" w:color="auto" w:fill="auto"/>
          </w:tcPr>
          <w:p w:rsidR="007F778F" w:rsidRPr="006875AD" w:rsidRDefault="007F778F" w:rsidP="00927AC4">
            <w:pPr>
              <w:pStyle w:val="GPsDefinition"/>
            </w:pPr>
            <w:r>
              <w:t xml:space="preserve">means Lot 2 of this Framework as specified in Framework Schedule 2 </w:t>
            </w:r>
            <w:r w:rsidRPr="00173F67">
              <w:t>(Services and Key Performance Indicators)</w:t>
            </w:r>
            <w:r>
              <w:t>;</w:t>
            </w:r>
          </w:p>
        </w:tc>
      </w:tr>
      <w:tr w:rsidR="007F778F" w:rsidRPr="006875AD" w:rsidTr="00C26EA5">
        <w:tc>
          <w:tcPr>
            <w:tcW w:w="1984" w:type="dxa"/>
            <w:shd w:val="clear" w:color="auto" w:fill="auto"/>
          </w:tcPr>
          <w:p w:rsidR="007F778F" w:rsidRPr="006875AD" w:rsidRDefault="007F778F" w:rsidP="00C26EA5">
            <w:pPr>
              <w:pStyle w:val="GPSDefinitionTerm"/>
            </w:pPr>
            <w:r>
              <w:t>“Lot 3”</w:t>
            </w:r>
          </w:p>
        </w:tc>
        <w:tc>
          <w:tcPr>
            <w:tcW w:w="6237" w:type="dxa"/>
            <w:shd w:val="clear" w:color="auto" w:fill="auto"/>
          </w:tcPr>
          <w:p w:rsidR="007F778F" w:rsidRPr="006875AD" w:rsidRDefault="007F778F" w:rsidP="00927AC4">
            <w:pPr>
              <w:pStyle w:val="GPsDefinition"/>
            </w:pPr>
            <w:r>
              <w:t xml:space="preserve">means Lot 3 of this Framework as specified in Framework Schedule 2 </w:t>
            </w:r>
            <w:r w:rsidRPr="00173F67">
              <w:t>(Services and Key Performance Indicators)</w:t>
            </w:r>
            <w:r>
              <w:t>;</w:t>
            </w:r>
          </w:p>
        </w:tc>
      </w:tr>
      <w:tr w:rsidR="00B81364" w:rsidRPr="006875AD" w:rsidTr="00A04D6A">
        <w:tc>
          <w:tcPr>
            <w:tcW w:w="1984" w:type="dxa"/>
            <w:shd w:val="clear" w:color="auto" w:fill="auto"/>
          </w:tcPr>
          <w:p w:rsidR="00B81364" w:rsidRPr="006875AD" w:rsidRDefault="00B81364" w:rsidP="00293635">
            <w:pPr>
              <w:pStyle w:val="GPSDefinitionTerm"/>
            </w:pPr>
            <w:r>
              <w:t>Mailbox</w:t>
            </w:r>
          </w:p>
        </w:tc>
        <w:tc>
          <w:tcPr>
            <w:tcW w:w="6237" w:type="dxa"/>
            <w:shd w:val="clear" w:color="auto" w:fill="auto"/>
          </w:tcPr>
          <w:p w:rsidR="00B81364" w:rsidRPr="006875AD" w:rsidRDefault="00B81364" w:rsidP="00B81364">
            <w:pPr>
              <w:pStyle w:val="GPsDefinition"/>
            </w:pPr>
            <w:r>
              <w:t xml:space="preserve">means a single implementation of the Secure Email Core Component </w:t>
            </w:r>
            <w:r w:rsidRPr="004A5F98">
              <w:rPr>
                <w:rFonts w:eastAsia="STZhongsong"/>
                <w:szCs w:val="18"/>
                <w:lang w:eastAsia="zh-CN"/>
              </w:rPr>
              <w:t>provid</w:t>
            </w:r>
            <w:r>
              <w:rPr>
                <w:rFonts w:eastAsia="STZhongsong"/>
                <w:szCs w:val="18"/>
                <w:lang w:eastAsia="zh-CN"/>
              </w:rPr>
              <w:t>ing</w:t>
            </w:r>
            <w:r w:rsidRPr="004A5F98">
              <w:rPr>
                <w:rFonts w:eastAsia="STZhongsong"/>
                <w:szCs w:val="18"/>
                <w:lang w:eastAsia="zh-CN"/>
              </w:rPr>
              <w:t xml:space="preserve"> email, calendar, contacts and tasks functionality</w:t>
            </w:r>
            <w:r>
              <w:rPr>
                <w:rFonts w:eastAsia="STZhongsong"/>
                <w:szCs w:val="18"/>
                <w:lang w:eastAsia="zh-CN"/>
              </w:rPr>
              <w:t xml:space="preserve"> in accordance with the requirements specified in Part A Schedule 2</w:t>
            </w:r>
            <w:r w:rsidRPr="004A5F98">
              <w:rPr>
                <w:rFonts w:eastAsia="STZhongsong"/>
                <w:szCs w:val="18"/>
                <w:lang w:eastAsia="zh-CN"/>
              </w:rPr>
              <w:t>,</w:t>
            </w:r>
          </w:p>
        </w:tc>
      </w:tr>
      <w:tr w:rsidR="0066375B" w:rsidRPr="006875AD" w:rsidTr="00A04D6A">
        <w:tc>
          <w:tcPr>
            <w:tcW w:w="1984" w:type="dxa"/>
            <w:shd w:val="clear" w:color="auto" w:fill="auto"/>
          </w:tcPr>
          <w:p w:rsidR="00D81DAD" w:rsidRDefault="0066375B" w:rsidP="00293635">
            <w:pPr>
              <w:pStyle w:val="GPSDefinitionTerm"/>
            </w:pPr>
            <w:r w:rsidRPr="006875AD">
              <w:t>"Management Charge"</w:t>
            </w:r>
          </w:p>
        </w:tc>
        <w:tc>
          <w:tcPr>
            <w:tcW w:w="6237" w:type="dxa"/>
            <w:shd w:val="clear" w:color="auto" w:fill="auto"/>
          </w:tcPr>
          <w:p w:rsidR="00D81DAD" w:rsidRDefault="0066375B" w:rsidP="00173F67">
            <w:pPr>
              <w:pStyle w:val="GPsDefinition"/>
            </w:pPr>
            <w:r w:rsidRPr="006875AD">
              <w:t xml:space="preserve">means the sum payable by the Supplier to the Authority being an amount </w:t>
            </w:r>
            <w:r w:rsidRPr="00955EFC">
              <w:t xml:space="preserve">equal to </w:t>
            </w:r>
            <w:r w:rsidR="00173F67" w:rsidRPr="00955EFC">
              <w:t xml:space="preserve">one point </w:t>
            </w:r>
            <w:r w:rsidR="00955EFC" w:rsidRPr="00955EFC">
              <w:t>four</w:t>
            </w:r>
            <w:r w:rsidR="00173F67" w:rsidRPr="00955EFC">
              <w:t xml:space="preserve"> five </w:t>
            </w:r>
            <w:r w:rsidRPr="00955EFC">
              <w:t>per cent (1</w:t>
            </w:r>
            <w:r w:rsidR="00173F67" w:rsidRPr="00955EFC">
              <w:t>.</w:t>
            </w:r>
            <w:r w:rsidR="00955EFC" w:rsidRPr="00955EFC">
              <w:t>4</w:t>
            </w:r>
            <w:r w:rsidR="00173F67" w:rsidRPr="00955EFC">
              <w:t>5</w:t>
            </w:r>
            <w:r w:rsidRPr="00955EFC">
              <w:t>%)</w:t>
            </w:r>
            <w:r w:rsidR="00707348" w:rsidRPr="00955EFC">
              <w:t xml:space="preserve"> </w:t>
            </w:r>
            <w:r w:rsidRPr="00955EFC">
              <w:t>of</w:t>
            </w:r>
            <w:r w:rsidRPr="006875AD">
              <w:t xml:space="preserve"> all Charges for the Services invoiced to the Contracting Bodies</w:t>
            </w:r>
            <w:r w:rsidR="003D744F">
              <w:t xml:space="preserve"> by the Supplier</w:t>
            </w:r>
            <w:r w:rsidRPr="006875AD">
              <w:t xml:space="preserve"> (net of VAT) in each Month throughout the </w:t>
            </w:r>
            <w:r w:rsidR="00D138D2">
              <w:t>Framework Period</w:t>
            </w:r>
            <w:r w:rsidRPr="006875AD">
              <w:t xml:space="preserve"> and thereafter until the expiry or earlier termination of a</w:t>
            </w:r>
            <w:r w:rsidR="002448CF">
              <w:t>ll</w:t>
            </w:r>
            <w:r w:rsidRPr="006875AD">
              <w:t xml:space="preserve"> Call</w:t>
            </w:r>
            <w:r w:rsidR="002824B9" w:rsidRPr="006875AD">
              <w:t xml:space="preserve"> </w:t>
            </w:r>
            <w:r w:rsidRPr="006875AD">
              <w:t>Off Agreement</w:t>
            </w:r>
            <w:r w:rsidR="002448CF">
              <w:t>s entered pursuant to this Framework Agreement</w:t>
            </w:r>
            <w:r w:rsidRPr="006875AD">
              <w:t xml:space="preserve">; </w:t>
            </w:r>
          </w:p>
        </w:tc>
      </w:tr>
      <w:tr w:rsidR="006A4956" w:rsidRPr="006875AD" w:rsidTr="00A04D6A">
        <w:tc>
          <w:tcPr>
            <w:tcW w:w="1984" w:type="dxa"/>
            <w:shd w:val="clear" w:color="auto" w:fill="auto"/>
          </w:tcPr>
          <w:p w:rsidR="00D81DAD" w:rsidRDefault="006A4956" w:rsidP="00293635">
            <w:pPr>
              <w:pStyle w:val="GPSDefinitionTerm"/>
            </w:pPr>
            <w:r w:rsidRPr="006875AD">
              <w:t xml:space="preserve">"Management Information" or </w:t>
            </w:r>
            <w:r w:rsidR="002E7CBD">
              <w:t>“</w:t>
            </w:r>
            <w:r w:rsidRPr="006875AD">
              <w:t>MI”</w:t>
            </w:r>
          </w:p>
        </w:tc>
        <w:tc>
          <w:tcPr>
            <w:tcW w:w="6237" w:type="dxa"/>
            <w:shd w:val="clear" w:color="auto" w:fill="auto"/>
          </w:tcPr>
          <w:p w:rsidR="00D81DAD" w:rsidRDefault="006A4956" w:rsidP="00293635">
            <w:pPr>
              <w:pStyle w:val="GPsDefinition"/>
            </w:pPr>
            <w:r w:rsidRPr="006875AD">
              <w:t xml:space="preserve">means the management information specified in Framework Schedule </w:t>
            </w:r>
            <w:r>
              <w:t>9</w:t>
            </w:r>
            <w:r w:rsidRPr="006875AD">
              <w:t xml:space="preserve"> (Management Information);</w:t>
            </w:r>
          </w:p>
        </w:tc>
      </w:tr>
      <w:tr w:rsidR="00646F99" w:rsidRPr="006875AD" w:rsidTr="00910649">
        <w:tc>
          <w:tcPr>
            <w:tcW w:w="1984" w:type="dxa"/>
            <w:shd w:val="clear" w:color="auto" w:fill="auto"/>
          </w:tcPr>
          <w:p w:rsidR="00646F99" w:rsidRPr="006875AD" w:rsidRDefault="00646F99" w:rsidP="00910649">
            <w:pPr>
              <w:pStyle w:val="GPSDefinitionTerm"/>
            </w:pPr>
            <w:r>
              <w:t>“Mandatory Service Package”</w:t>
            </w:r>
          </w:p>
        </w:tc>
        <w:tc>
          <w:tcPr>
            <w:tcW w:w="6237" w:type="dxa"/>
            <w:shd w:val="clear" w:color="auto" w:fill="auto"/>
          </w:tcPr>
          <w:p w:rsidR="00646F99" w:rsidRDefault="003954B7" w:rsidP="00934A0E">
            <w:pPr>
              <w:pStyle w:val="GPsDefinition"/>
            </w:pPr>
            <w:r w:rsidRPr="0026348C">
              <w:t>means the price and delivery proposals submitted by the Supplier as part of its Tender in respect of the Mandatory Service Package Requirement and as set out in Part A, Annex 1  of Framework Schedule 3 (Framework Prices)</w:t>
            </w:r>
            <w:r w:rsidR="00934A0E">
              <w:t>;</w:t>
            </w:r>
          </w:p>
        </w:tc>
      </w:tr>
      <w:tr w:rsidR="00D33D1B" w:rsidRPr="006875AD" w:rsidTr="00A04D6A">
        <w:tc>
          <w:tcPr>
            <w:tcW w:w="1984" w:type="dxa"/>
            <w:shd w:val="clear" w:color="auto" w:fill="auto"/>
          </w:tcPr>
          <w:p w:rsidR="00D33D1B" w:rsidRPr="006875AD" w:rsidRDefault="00D33D1B" w:rsidP="00293635">
            <w:pPr>
              <w:pStyle w:val="GPSDefinitionTerm"/>
            </w:pPr>
            <w:r>
              <w:t>“Mandatory Service Package</w:t>
            </w:r>
            <w:r w:rsidR="00646F99">
              <w:t xml:space="preserve"> Requirement</w:t>
            </w:r>
            <w:r>
              <w:t>”</w:t>
            </w:r>
          </w:p>
        </w:tc>
        <w:tc>
          <w:tcPr>
            <w:tcW w:w="6237" w:type="dxa"/>
            <w:shd w:val="clear" w:color="auto" w:fill="auto"/>
          </w:tcPr>
          <w:p w:rsidR="00D33D1B" w:rsidRDefault="00D33D1B" w:rsidP="0022692D">
            <w:pPr>
              <w:pStyle w:val="GPsDefinition"/>
            </w:pPr>
            <w:r>
              <w:t xml:space="preserve">means the </w:t>
            </w:r>
            <w:r w:rsidR="00646F99">
              <w:t xml:space="preserve">requirements </w:t>
            </w:r>
            <w:r w:rsidR="0022692D">
              <w:t>identified in Part B (Mandatory Service Package Requirement) of Framework Schedule 2 (Services and Key Performance Indicators);</w:t>
            </w:r>
            <w:r w:rsidR="00646F99">
              <w:t xml:space="preserve"> </w:t>
            </w:r>
          </w:p>
        </w:tc>
      </w:tr>
      <w:tr w:rsidR="0066375B" w:rsidRPr="006875AD" w:rsidTr="00A04D6A">
        <w:tc>
          <w:tcPr>
            <w:tcW w:w="1984" w:type="dxa"/>
            <w:shd w:val="clear" w:color="auto" w:fill="auto"/>
          </w:tcPr>
          <w:p w:rsidR="00D81DAD" w:rsidRDefault="00156907" w:rsidP="00293635">
            <w:pPr>
              <w:pStyle w:val="GPSDefinitionTerm"/>
            </w:pPr>
            <w:r w:rsidRPr="006875AD">
              <w:t>"</w:t>
            </w:r>
            <w:r w:rsidR="002448CF">
              <w:t>MI Default</w:t>
            </w:r>
            <w:r w:rsidRPr="006875AD">
              <w:t>"</w:t>
            </w:r>
          </w:p>
        </w:tc>
        <w:tc>
          <w:tcPr>
            <w:tcW w:w="6237" w:type="dxa"/>
            <w:shd w:val="clear" w:color="auto" w:fill="auto"/>
          </w:tcPr>
          <w:p w:rsidR="00D81DAD" w:rsidRDefault="002448CF" w:rsidP="00293635">
            <w:pPr>
              <w:pStyle w:val="GPsDefinition"/>
            </w:pPr>
            <w:r>
              <w:t>has the meaning given to it in paragraph</w:t>
            </w:r>
            <w:r w:rsidR="009D4F4F">
              <w:t xml:space="preserve"> 6.1</w:t>
            </w:r>
            <w:r>
              <w:t xml:space="preserve"> of Framework Schedule </w:t>
            </w:r>
            <w:r w:rsidR="00EA6CAB">
              <w:t>9</w:t>
            </w:r>
            <w:r>
              <w:t xml:space="preserve"> (Management Information);</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MI Failure</w:t>
            </w:r>
            <w:r w:rsidRPr="006875AD">
              <w:t>"</w:t>
            </w:r>
          </w:p>
        </w:tc>
        <w:tc>
          <w:tcPr>
            <w:tcW w:w="6237" w:type="dxa"/>
            <w:shd w:val="clear" w:color="auto" w:fill="auto"/>
          </w:tcPr>
          <w:p w:rsidR="00D81DAD" w:rsidRDefault="0066375B" w:rsidP="00293635">
            <w:pPr>
              <w:pStyle w:val="GPsDefinition"/>
            </w:pPr>
            <w:r w:rsidRPr="006875AD">
              <w:t>means when an MI report:</w:t>
            </w:r>
          </w:p>
          <w:p w:rsidR="00D81DAD" w:rsidRDefault="0066375B" w:rsidP="00293635">
            <w:pPr>
              <w:pStyle w:val="GPSDefinitionL2"/>
            </w:pPr>
            <w:r w:rsidRPr="006875AD">
              <w:t xml:space="preserve">contains any material errors or material omissions or a missing mandatory field; or  </w:t>
            </w:r>
          </w:p>
          <w:p w:rsidR="00D81DAD" w:rsidRDefault="0066375B" w:rsidP="00293635">
            <w:pPr>
              <w:pStyle w:val="GPSDefinitionL2"/>
            </w:pPr>
            <w:r w:rsidRPr="006875AD">
              <w:t xml:space="preserve">is submitted using an incorrect MI reporting Template; </w:t>
            </w:r>
            <w:r w:rsidRPr="006875AD">
              <w:lastRenderedPageBreak/>
              <w:t xml:space="preserve">or </w:t>
            </w:r>
          </w:p>
          <w:p w:rsidR="00D81DAD" w:rsidRDefault="0066375B" w:rsidP="00293635">
            <w:pPr>
              <w:pStyle w:val="GPSDefinitionL2"/>
            </w:pPr>
            <w:r w:rsidRPr="006875AD">
              <w:t xml:space="preserve">is not submitted by the reporting date(including where a </w:t>
            </w:r>
            <w:r w:rsidR="002448CF">
              <w:t>N</w:t>
            </w:r>
            <w:r w:rsidRPr="006875AD">
              <w:t xml:space="preserve">il </w:t>
            </w:r>
            <w:r w:rsidR="002448CF">
              <w:t>R</w:t>
            </w:r>
            <w:r w:rsidRPr="006875AD">
              <w:t>eturn should have been filed)</w:t>
            </w:r>
            <w:r w:rsidR="00BD3F71">
              <w:t>;</w:t>
            </w:r>
            <w:r w:rsidR="00F71B15" w:rsidRPr="00850F42">
              <w:rPr>
                <w:sz w:val="16"/>
              </w:rPr>
              <w:fldChar w:fldCharType="begin"/>
            </w:r>
            <w:r w:rsidR="00BD3F71" w:rsidRPr="00850F42">
              <w:rPr>
                <w:sz w:val="16"/>
              </w:rPr>
              <w:instrText>LISTNUM \l 1 \s 0</w:instrText>
            </w:r>
            <w:r w:rsidR="00F71B15" w:rsidRPr="00850F42">
              <w:rPr>
                <w:sz w:val="16"/>
              </w:rPr>
              <w:fldChar w:fldCharType="separate"/>
            </w:r>
            <w:r w:rsidR="00BD3F71" w:rsidRPr="00850F42">
              <w:rPr>
                <w:sz w:val="16"/>
              </w:rPr>
              <w:t xml:space="preserve"> </w:t>
            </w:r>
            <w:r w:rsidR="00F71B15" w:rsidRPr="00850F42">
              <w:rPr>
                <w:sz w:val="16"/>
              </w:rPr>
              <w:fldChar w:fldCharType="end">
                <w:numberingChange w:id="688" w:author="potterj" w:date="2014-08-28T12:26:00Z" w:original=""/>
              </w:fldChar>
            </w:r>
          </w:p>
        </w:tc>
      </w:tr>
      <w:tr w:rsidR="0066375B" w:rsidRPr="006875AD" w:rsidTr="00A04D6A">
        <w:tc>
          <w:tcPr>
            <w:tcW w:w="1984" w:type="dxa"/>
            <w:shd w:val="clear" w:color="auto" w:fill="auto"/>
          </w:tcPr>
          <w:p w:rsidR="00D81DAD" w:rsidRDefault="0066375B" w:rsidP="00293635">
            <w:pPr>
              <w:pStyle w:val="GPSDefinitionTerm"/>
            </w:pPr>
            <w:r w:rsidRPr="006875AD">
              <w:lastRenderedPageBreak/>
              <w:t>"MI Report"</w:t>
            </w:r>
          </w:p>
        </w:tc>
        <w:tc>
          <w:tcPr>
            <w:tcW w:w="6237" w:type="dxa"/>
            <w:shd w:val="clear" w:color="auto" w:fill="auto"/>
          </w:tcPr>
          <w:p w:rsidR="00D81DAD" w:rsidRDefault="0066375B" w:rsidP="00293635">
            <w:pPr>
              <w:pStyle w:val="GPsDefinition"/>
            </w:pPr>
            <w:r w:rsidRPr="006875AD">
              <w:t xml:space="preserve">means a report containing Management Information submitted to the Authority in accordance with Framework Schedule </w:t>
            </w:r>
            <w:r w:rsidR="00EA6CAB">
              <w:t>9</w:t>
            </w:r>
            <w:r w:rsidRPr="006875AD">
              <w:t xml:space="preserve"> (Management Information);</w:t>
            </w:r>
          </w:p>
        </w:tc>
      </w:tr>
      <w:tr w:rsidR="0066375B" w:rsidRPr="006875AD" w:rsidTr="00A04D6A">
        <w:tc>
          <w:tcPr>
            <w:tcW w:w="1984" w:type="dxa"/>
            <w:shd w:val="clear" w:color="auto" w:fill="auto"/>
          </w:tcPr>
          <w:p w:rsidR="00D81DAD" w:rsidRDefault="0066375B" w:rsidP="00293635">
            <w:pPr>
              <w:pStyle w:val="GPSDefinitionTerm"/>
            </w:pPr>
            <w:r w:rsidRPr="006875AD">
              <w:t>"MI Reporting Template"</w:t>
            </w:r>
          </w:p>
        </w:tc>
        <w:tc>
          <w:tcPr>
            <w:tcW w:w="6237" w:type="dxa"/>
            <w:shd w:val="clear" w:color="auto" w:fill="auto"/>
          </w:tcPr>
          <w:p w:rsidR="00D81DAD" w:rsidRDefault="0066375B" w:rsidP="00293635">
            <w:pPr>
              <w:pStyle w:val="GPsDefinition"/>
            </w:pPr>
            <w:r w:rsidRPr="006875AD">
              <w:t xml:space="preserve">means the form of report set out in the Annex to Framework Schedule </w:t>
            </w:r>
            <w:r w:rsidR="00EA6CAB">
              <w:t>9</w:t>
            </w:r>
            <w:r w:rsidRPr="006875AD">
              <w:t xml:space="preserve"> (Management Information) setting out the information the Supplier is required to supply to the Authority;</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Ministry of Justice Code</w:t>
            </w:r>
            <w:r w:rsidRPr="006875AD">
              <w:t>"</w:t>
            </w:r>
          </w:p>
        </w:tc>
        <w:tc>
          <w:tcPr>
            <w:tcW w:w="6237" w:type="dxa"/>
            <w:shd w:val="clear" w:color="auto" w:fill="auto"/>
          </w:tcPr>
          <w:p w:rsidR="00D81DAD" w:rsidRDefault="0066375B" w:rsidP="00293635">
            <w:pPr>
              <w:pStyle w:val="GPsDefinition"/>
            </w:pPr>
            <w:r w:rsidRPr="006875AD">
              <w:t>means the Ministry of Justice's Code of Practice on the Discharge of the Functions of Public Authorities under Part 1 of the Freedom of Information Act 2000</w:t>
            </w:r>
            <w:r w:rsidR="0097652C">
              <w:t xml:space="preserve"> as amended from time to time</w:t>
            </w:r>
            <w:r w:rsidRPr="006875AD">
              <w:t>;</w:t>
            </w:r>
          </w:p>
        </w:tc>
      </w:tr>
      <w:tr w:rsidR="0087201A" w:rsidRPr="006875AD" w:rsidTr="00A04D6A">
        <w:tc>
          <w:tcPr>
            <w:tcW w:w="1984" w:type="dxa"/>
            <w:shd w:val="clear" w:color="auto" w:fill="auto"/>
          </w:tcPr>
          <w:p w:rsidR="00D81DAD" w:rsidRDefault="0087201A" w:rsidP="00293635">
            <w:pPr>
              <w:pStyle w:val="GPSDefinitionTerm"/>
            </w:pPr>
            <w:r w:rsidRPr="006875AD">
              <w:t>"MISO"</w:t>
            </w:r>
          </w:p>
        </w:tc>
        <w:tc>
          <w:tcPr>
            <w:tcW w:w="6237" w:type="dxa"/>
            <w:shd w:val="clear" w:color="auto" w:fill="auto"/>
          </w:tcPr>
          <w:p w:rsidR="00D81DAD" w:rsidRDefault="0087201A" w:rsidP="00051095">
            <w:pPr>
              <w:pStyle w:val="GPsDefinition"/>
              <w:jc w:val="left"/>
            </w:pPr>
            <w:r w:rsidRPr="006875AD">
              <w:t xml:space="preserve">means 'Management Information System Online'. An online portal located at </w:t>
            </w:r>
            <w:hyperlink r:id="rId13" w:history="1">
              <w:r w:rsidR="00051095" w:rsidRPr="006D10EA">
                <w:rPr>
                  <w:rStyle w:val="Hyperlink"/>
                </w:rPr>
                <w:t>https://miso.ccs.cabinetoffice.gov.uk/Pub/Login.aspx?ReturnUrl=%2f</w:t>
              </w:r>
            </w:hyperlink>
            <w:r w:rsidR="00505AE7">
              <w:t xml:space="preserve"> </w:t>
            </w:r>
            <w:r w:rsidRPr="006875AD">
              <w:t>provided by the Authority for collection and receipt of Management Information;</w:t>
            </w:r>
          </w:p>
        </w:tc>
      </w:tr>
      <w:tr w:rsidR="0066375B" w:rsidRPr="006875AD" w:rsidTr="00A04D6A">
        <w:tc>
          <w:tcPr>
            <w:tcW w:w="1984" w:type="dxa"/>
            <w:shd w:val="clear" w:color="auto" w:fill="auto"/>
          </w:tcPr>
          <w:p w:rsidR="00D81DAD" w:rsidRDefault="0066375B" w:rsidP="00293635">
            <w:pPr>
              <w:pStyle w:val="GPSDefinitionTerm"/>
            </w:pPr>
            <w:r w:rsidRPr="006875AD">
              <w:t>"Month"</w:t>
            </w:r>
          </w:p>
        </w:tc>
        <w:tc>
          <w:tcPr>
            <w:tcW w:w="6237" w:type="dxa"/>
            <w:shd w:val="clear" w:color="auto" w:fill="auto"/>
          </w:tcPr>
          <w:p w:rsidR="00D81DAD" w:rsidRDefault="0066375B" w:rsidP="00293635">
            <w:pPr>
              <w:pStyle w:val="GPsDefinition"/>
            </w:pPr>
            <w:r w:rsidRPr="006875AD">
              <w:t>means a calendar month and "</w:t>
            </w:r>
            <w:r w:rsidRPr="006875AD">
              <w:rPr>
                <w:b/>
              </w:rPr>
              <w:t>Monthly</w:t>
            </w:r>
            <w:r w:rsidRPr="006875AD">
              <w:t>" shall be interpreted accordingly;</w:t>
            </w:r>
          </w:p>
        </w:tc>
      </w:tr>
      <w:tr w:rsidR="006A4956" w:rsidRPr="006875AD" w:rsidTr="00A04D6A">
        <w:tc>
          <w:tcPr>
            <w:tcW w:w="1984" w:type="dxa"/>
            <w:shd w:val="clear" w:color="auto" w:fill="auto"/>
          </w:tcPr>
          <w:p w:rsidR="00D81DAD" w:rsidRDefault="006A4956" w:rsidP="00293635">
            <w:pPr>
              <w:pStyle w:val="GPSDefinitionTerm"/>
            </w:pPr>
            <w:r w:rsidRPr="006875AD">
              <w:t>"New Services</w:t>
            </w:r>
            <w:r w:rsidR="00156907" w:rsidRPr="006875AD">
              <w:t>"</w:t>
            </w:r>
          </w:p>
        </w:tc>
        <w:tc>
          <w:tcPr>
            <w:tcW w:w="6237" w:type="dxa"/>
            <w:shd w:val="clear" w:color="auto" w:fill="auto"/>
          </w:tcPr>
          <w:p w:rsidR="00D81DAD" w:rsidRDefault="006A4956" w:rsidP="00293635">
            <w:pPr>
              <w:pStyle w:val="GPsDefinition"/>
            </w:pPr>
            <w:r w:rsidRPr="006875AD">
              <w:t>means services which a Contracting Body wishes to procure from a third party which are the same or similar to the Services;</w:t>
            </w:r>
          </w:p>
        </w:tc>
      </w:tr>
      <w:tr w:rsidR="006A4956" w:rsidRPr="006875AD" w:rsidTr="00A04D6A">
        <w:tc>
          <w:tcPr>
            <w:tcW w:w="1984" w:type="dxa"/>
            <w:shd w:val="clear" w:color="auto" w:fill="auto"/>
          </w:tcPr>
          <w:p w:rsidR="00D81DAD" w:rsidRDefault="00156907" w:rsidP="00293635">
            <w:pPr>
              <w:pStyle w:val="GPSDefinitionTerm"/>
            </w:pPr>
            <w:r w:rsidRPr="006875AD">
              <w:t>"</w:t>
            </w:r>
            <w:r w:rsidR="006A4956">
              <w:t>Nil Return</w:t>
            </w:r>
            <w:r w:rsidRPr="006875AD">
              <w:t>"</w:t>
            </w:r>
          </w:p>
        </w:tc>
        <w:tc>
          <w:tcPr>
            <w:tcW w:w="6237" w:type="dxa"/>
            <w:shd w:val="clear" w:color="auto" w:fill="auto"/>
          </w:tcPr>
          <w:p w:rsidR="00D81DAD" w:rsidRDefault="006A4956" w:rsidP="00293635">
            <w:pPr>
              <w:pStyle w:val="GPsDefinition"/>
            </w:pPr>
            <w:r>
              <w:t xml:space="preserve">has the meaning given to it in paragraph </w:t>
            </w:r>
            <w:r w:rsidR="00F65557">
              <w:t>3.3</w:t>
            </w:r>
            <w:r>
              <w:t xml:space="preserve"> of Framework Schedule 9 (Management Information);</w:t>
            </w:r>
          </w:p>
        </w:tc>
      </w:tr>
      <w:tr w:rsidR="0066375B" w:rsidRPr="006875AD" w:rsidTr="00A04D6A">
        <w:tc>
          <w:tcPr>
            <w:tcW w:w="1984" w:type="dxa"/>
            <w:shd w:val="clear" w:color="auto" w:fill="auto"/>
          </w:tcPr>
          <w:p w:rsidR="00D81DAD" w:rsidRDefault="00156907" w:rsidP="00293635">
            <w:pPr>
              <w:pStyle w:val="GPSDefinitionTerm"/>
            </w:pPr>
            <w:r w:rsidRPr="006875AD">
              <w:t>"</w:t>
            </w:r>
            <w:r w:rsidR="00D95C38">
              <w:t>Occasion of Tax Non –Compliance</w:t>
            </w:r>
            <w:r w:rsidRPr="006875AD">
              <w:t>"</w:t>
            </w:r>
          </w:p>
        </w:tc>
        <w:tc>
          <w:tcPr>
            <w:tcW w:w="6237" w:type="dxa"/>
            <w:shd w:val="clear" w:color="auto" w:fill="auto"/>
          </w:tcPr>
          <w:p w:rsidR="00D81DAD" w:rsidRDefault="002448CF" w:rsidP="00293635">
            <w:pPr>
              <w:pStyle w:val="GPsDefinition"/>
              <w:rPr>
                <w:rFonts w:eastAsia="STZhongsong"/>
              </w:rPr>
            </w:pPr>
            <w:r>
              <w:t>means</w:t>
            </w:r>
            <w:r w:rsidR="00F65557">
              <w:t xml:space="preserve"> wher</w:t>
            </w:r>
            <w:r w:rsidR="009D4F4F">
              <w:t>e</w:t>
            </w:r>
            <w:r>
              <w:t xml:space="preserve">: </w:t>
            </w:r>
          </w:p>
          <w:p w:rsidR="00D81DAD" w:rsidRDefault="002448CF" w:rsidP="00293635">
            <w:pPr>
              <w:pStyle w:val="GPSDefinitionL2"/>
              <w:rPr>
                <w:rFonts w:eastAsia="STZhongsong"/>
              </w:rPr>
            </w:pPr>
            <w:r w:rsidRPr="002448CF">
              <w:t>any tax return of the Supplier submitted to a Relevant Tax Authority on or after 1 October 2012 is found to be incorrect</w:t>
            </w:r>
            <w:r w:rsidRPr="000F358D">
              <w:t xml:space="preserve"> as a result of:</w:t>
            </w:r>
          </w:p>
          <w:p w:rsidR="002B49ED" w:rsidRDefault="002448CF"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rsidR="002B49ED" w:rsidRDefault="002448CF"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rsidR="00D81DAD" w:rsidRDefault="002448CF" w:rsidP="00293635">
            <w:pPr>
              <w:pStyle w:val="GPSDefinitionL2"/>
              <w:rPr>
                <w:rFonts w:eastAsia="STZhongsong"/>
              </w:rPr>
            </w:pPr>
            <w:r w:rsidRPr="000F358D">
              <w:t>the Supplier’s tax affairs give rise on or after 1 April 2013 to a conviction in any jurisdiction for tax related offences which is not spent at the Call Off Commencement Date or to a penalty for civil fraud or evasion;</w:t>
            </w:r>
          </w:p>
        </w:tc>
      </w:tr>
      <w:tr w:rsidR="006A4956" w:rsidRPr="006875AD" w:rsidTr="00A04D6A">
        <w:tc>
          <w:tcPr>
            <w:tcW w:w="1984" w:type="dxa"/>
            <w:shd w:val="clear" w:color="auto" w:fill="auto"/>
          </w:tcPr>
          <w:p w:rsidR="00D81DAD" w:rsidRDefault="006A4956" w:rsidP="00293635">
            <w:pPr>
              <w:pStyle w:val="GPSDefinitionTerm"/>
            </w:pPr>
            <w:r w:rsidRPr="006875AD">
              <w:lastRenderedPageBreak/>
              <w:t>"OJEU Notice"</w:t>
            </w:r>
          </w:p>
        </w:tc>
        <w:tc>
          <w:tcPr>
            <w:tcW w:w="6237" w:type="dxa"/>
            <w:shd w:val="clear" w:color="auto" w:fill="auto"/>
          </w:tcPr>
          <w:p w:rsidR="00D81DAD" w:rsidRDefault="006A4956" w:rsidP="00293635">
            <w:pPr>
              <w:pStyle w:val="GPsDefinition"/>
            </w:pPr>
            <w:r w:rsidRPr="006875AD">
              <w:t xml:space="preserve">has the meaning given to </w:t>
            </w:r>
            <w:r w:rsidR="0055061F">
              <w:t>it in</w:t>
            </w:r>
            <w:r w:rsidR="0055061F" w:rsidRPr="006875AD">
              <w:t xml:space="preserve"> </w:t>
            </w:r>
            <w:r w:rsidRPr="006875AD">
              <w:t>Recital A;</w:t>
            </w:r>
          </w:p>
        </w:tc>
      </w:tr>
      <w:tr w:rsidR="0066375B" w:rsidRPr="006875AD" w:rsidTr="00A04D6A">
        <w:tc>
          <w:tcPr>
            <w:tcW w:w="1984" w:type="dxa"/>
            <w:shd w:val="clear" w:color="auto" w:fill="auto"/>
          </w:tcPr>
          <w:p w:rsidR="00D81DAD" w:rsidRDefault="00156907" w:rsidP="00293635">
            <w:pPr>
              <w:pStyle w:val="GPSDefinitionTerm"/>
            </w:pPr>
            <w:r w:rsidRPr="006875AD">
              <w:t>"</w:t>
            </w:r>
            <w:r w:rsidR="00C83BFD">
              <w:t>Open Book Data</w:t>
            </w:r>
            <w:r w:rsidRPr="006875AD">
              <w:t>"</w:t>
            </w:r>
          </w:p>
        </w:tc>
        <w:tc>
          <w:tcPr>
            <w:tcW w:w="6237" w:type="dxa"/>
            <w:shd w:val="clear" w:color="auto" w:fill="auto"/>
          </w:tcPr>
          <w:p w:rsidR="00706C7C" w:rsidRDefault="00706C7C"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rsidR="00706C7C" w:rsidRDefault="00706C7C"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rsidR="00706C7C" w:rsidRDefault="00706C7C" w:rsidP="00293635">
            <w:pPr>
              <w:pStyle w:val="GPSDefinitionL2"/>
            </w:pPr>
            <w:r>
              <w:t>operating expenditure relating to the provision of the Services including an analysis showing:</w:t>
            </w:r>
          </w:p>
          <w:p w:rsidR="00706C7C" w:rsidRDefault="00706C7C" w:rsidP="00293635">
            <w:pPr>
              <w:pStyle w:val="GPSDefinitionL3"/>
            </w:pPr>
            <w:r>
              <w:t>the unit costs and quantity of Goods and any other consumables and bought-in services;</w:t>
            </w:r>
          </w:p>
          <w:p w:rsidR="00706C7C" w:rsidRDefault="00706C7C" w:rsidP="00293635">
            <w:pPr>
              <w:pStyle w:val="GPSDefinitionL3"/>
            </w:pPr>
            <w:r>
              <w:t>manpower resources broken down into the number and grade/role of all Supplier Personnel (free of any contingency) together with a list of agreed rates against each manpower grade;</w:t>
            </w:r>
          </w:p>
          <w:p w:rsidR="00706C7C" w:rsidRDefault="00706C7C" w:rsidP="00293635">
            <w:pPr>
              <w:pStyle w:val="GPSDefinitionL3"/>
            </w:pPr>
            <w:r>
              <w:t>a list of Costs underpinning those rates for each manpower grade, being the agreed rate less the Supplier Profit Margin; and</w:t>
            </w:r>
          </w:p>
          <w:p w:rsidR="00706C7C" w:rsidRDefault="00706C7C" w:rsidP="00293635">
            <w:pPr>
              <w:pStyle w:val="GPSDefinitionL2"/>
            </w:pPr>
            <w:r>
              <w:t xml:space="preserve">Overheads; </w:t>
            </w:r>
          </w:p>
          <w:p w:rsidR="00706C7C" w:rsidRDefault="00706C7C" w:rsidP="00293635">
            <w:pPr>
              <w:pStyle w:val="GPSDefinitionL2"/>
            </w:pPr>
            <w:r>
              <w:t>all interest, expenses and any other third party financing costs incurred in relation to the provision of the Services;</w:t>
            </w:r>
          </w:p>
          <w:p w:rsidR="00706C7C" w:rsidRDefault="00706C7C" w:rsidP="00293635">
            <w:pPr>
              <w:pStyle w:val="GPSDefinitionL2"/>
            </w:pPr>
            <w:r>
              <w:t>the Supplier Profit achieved over the Framework Period and term of any Call Off Agreements and on an annual basis;</w:t>
            </w:r>
          </w:p>
          <w:p w:rsidR="00706C7C" w:rsidRDefault="00706C7C" w:rsidP="00293635">
            <w:pPr>
              <w:pStyle w:val="GPSDefinitionL2"/>
            </w:pPr>
            <w:r>
              <w:t>confirmation that all methods of Cost apportionment and Overhead allocation are consistent with and not more onerous than such methods applied generally by the Supplier;</w:t>
            </w:r>
          </w:p>
          <w:p w:rsidR="00706C7C" w:rsidRDefault="00706C7C" w:rsidP="00293635">
            <w:pPr>
              <w:pStyle w:val="GPSDefinitionL2"/>
            </w:pPr>
            <w:r>
              <w:t>an explanation of the type and value of risk and contingencies associated with the provision of the Services, including the amount of money attributed to each risk and/or contingency; and</w:t>
            </w:r>
          </w:p>
          <w:p w:rsidR="00D81DAD" w:rsidRDefault="00706C7C" w:rsidP="00293635">
            <w:pPr>
              <w:pStyle w:val="GPSDefinitionL2"/>
            </w:pPr>
            <w:r>
              <w:t>the actual Costs profile for each Service Period under any Call Off Agreements;</w:t>
            </w:r>
          </w:p>
        </w:tc>
      </w:tr>
      <w:tr w:rsidR="0066375B" w:rsidRPr="006875AD" w:rsidTr="00A04D6A">
        <w:tc>
          <w:tcPr>
            <w:tcW w:w="1984" w:type="dxa"/>
            <w:shd w:val="clear" w:color="auto" w:fill="auto"/>
          </w:tcPr>
          <w:p w:rsidR="00D81DAD" w:rsidRDefault="0066375B" w:rsidP="00293635">
            <w:pPr>
              <w:pStyle w:val="GPSDefinitionTerm"/>
            </w:pPr>
            <w:r w:rsidRPr="006875AD">
              <w:t>"Order"</w:t>
            </w:r>
          </w:p>
        </w:tc>
        <w:tc>
          <w:tcPr>
            <w:tcW w:w="6237" w:type="dxa"/>
            <w:shd w:val="clear" w:color="auto" w:fill="auto"/>
          </w:tcPr>
          <w:p w:rsidR="00D81DAD" w:rsidRDefault="002D1685" w:rsidP="00293635">
            <w:pPr>
              <w:pStyle w:val="GPsDefinition"/>
            </w:pPr>
            <w:r w:rsidRPr="006875AD">
              <w:t>means an order for the provision of the Services placed by a Contracting Body with the Supplier under a Call Off Agreement;</w:t>
            </w:r>
          </w:p>
        </w:tc>
      </w:tr>
      <w:tr w:rsidR="007E5F3F" w:rsidRPr="006875AD" w:rsidTr="00A04D6A">
        <w:tc>
          <w:tcPr>
            <w:tcW w:w="1984" w:type="dxa"/>
            <w:shd w:val="clear" w:color="auto" w:fill="auto"/>
          </w:tcPr>
          <w:p w:rsidR="007E5F3F" w:rsidRPr="00D03934" w:rsidRDefault="007E5F3F" w:rsidP="00627157">
            <w:pPr>
              <w:pStyle w:val="GPSDefinitionTerm"/>
            </w:pPr>
            <w:r w:rsidRPr="00D03934">
              <w:t>"Order Form"</w:t>
            </w:r>
          </w:p>
        </w:tc>
        <w:tc>
          <w:tcPr>
            <w:tcW w:w="6237" w:type="dxa"/>
            <w:shd w:val="clear" w:color="auto" w:fill="auto"/>
          </w:tcPr>
          <w:p w:rsidR="007E5F3F" w:rsidRPr="00D03934" w:rsidRDefault="007E5F3F" w:rsidP="007E5F3F">
            <w:pPr>
              <w:pStyle w:val="GPsDefinition"/>
              <w:numPr>
                <w:ilvl w:val="0"/>
                <w:numId w:val="338"/>
              </w:numPr>
              <w:tabs>
                <w:tab w:val="clear" w:pos="175"/>
                <w:tab w:val="left" w:pos="-9"/>
              </w:tabs>
            </w:pPr>
            <w:r>
              <w:t>means Part 1 of Framework Schedule 4 (Template Order Form and Template Call Off Terms)</w:t>
            </w:r>
            <w:r w:rsidRPr="00D03934">
              <w:t xml:space="preserve"> as co</w:t>
            </w:r>
            <w:r>
              <w:t>mpleted and forming part of the</w:t>
            </w:r>
            <w:r w:rsidRPr="00D03934">
              <w:t xml:space="preserve"> Call Off </w:t>
            </w:r>
            <w:r>
              <w:t>Agreement</w:t>
            </w:r>
            <w:r w:rsidRPr="00D03934">
              <w:t xml:space="preserve">, which contains </w:t>
            </w:r>
            <w:r w:rsidRPr="00D03934">
              <w:lastRenderedPageBreak/>
              <w:t>details of an Order, together with other information in relation to such Order, including without limitation the description of the Services to be supplied;</w:t>
            </w:r>
          </w:p>
        </w:tc>
      </w:tr>
      <w:tr w:rsidR="0066375B" w:rsidRPr="006875AD" w:rsidTr="00A04D6A">
        <w:tc>
          <w:tcPr>
            <w:tcW w:w="1984" w:type="dxa"/>
            <w:shd w:val="clear" w:color="auto" w:fill="auto"/>
          </w:tcPr>
          <w:p w:rsidR="00D81DAD" w:rsidRDefault="0066375B" w:rsidP="00293635">
            <w:pPr>
              <w:pStyle w:val="GPSDefinitionTerm"/>
            </w:pPr>
            <w:r w:rsidRPr="006875AD">
              <w:lastRenderedPageBreak/>
              <w:t>"Other Contracting Bodies"</w:t>
            </w:r>
          </w:p>
        </w:tc>
        <w:tc>
          <w:tcPr>
            <w:tcW w:w="6237" w:type="dxa"/>
            <w:shd w:val="clear" w:color="auto" w:fill="auto"/>
          </w:tcPr>
          <w:p w:rsidR="00D81DAD" w:rsidRDefault="0066375B" w:rsidP="00293635">
            <w:pPr>
              <w:pStyle w:val="GPsDefinition"/>
            </w:pPr>
            <w:r w:rsidRPr="006875AD">
              <w:t xml:space="preserve">means all Contracting Bodies except the Authority and </w:t>
            </w:r>
            <w:r w:rsidR="002E7CBD">
              <w:rPr>
                <w:b/>
              </w:rPr>
              <w:t>“</w:t>
            </w:r>
            <w:r w:rsidRPr="006875AD">
              <w:rPr>
                <w:b/>
              </w:rPr>
              <w:t>Other Contracting Body”</w:t>
            </w:r>
            <w:r w:rsidRPr="006875AD">
              <w:t xml:space="preserve"> shall be construed accordingly;</w:t>
            </w:r>
          </w:p>
        </w:tc>
      </w:tr>
      <w:tr w:rsidR="0055061F" w:rsidRPr="006875AD" w:rsidTr="00A04D6A">
        <w:tc>
          <w:tcPr>
            <w:tcW w:w="1984" w:type="dxa"/>
            <w:shd w:val="clear" w:color="auto" w:fill="auto"/>
          </w:tcPr>
          <w:p w:rsidR="0055061F" w:rsidRPr="006875AD" w:rsidRDefault="0055061F" w:rsidP="00293635">
            <w:pPr>
              <w:pStyle w:val="GPSDefinitionTerm"/>
            </w:pPr>
            <w:r>
              <w:t>"Overhead"</w:t>
            </w:r>
          </w:p>
        </w:tc>
        <w:tc>
          <w:tcPr>
            <w:tcW w:w="6237" w:type="dxa"/>
            <w:shd w:val="clear" w:color="auto" w:fill="auto"/>
          </w:tcPr>
          <w:p w:rsidR="0055061F" w:rsidRPr="006875AD" w:rsidRDefault="0055061F" w:rsidP="00293635">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002E7CBD">
              <w:t>“</w:t>
            </w:r>
            <w:r>
              <w:t>Costs”;</w:t>
            </w:r>
          </w:p>
        </w:tc>
      </w:tr>
      <w:tr w:rsidR="0066375B" w:rsidRPr="006875AD" w:rsidTr="00A04D6A">
        <w:tc>
          <w:tcPr>
            <w:tcW w:w="1984" w:type="dxa"/>
            <w:shd w:val="clear" w:color="auto" w:fill="auto"/>
          </w:tcPr>
          <w:p w:rsidR="00D81DAD" w:rsidRDefault="0066375B" w:rsidP="00293635">
            <w:pPr>
              <w:pStyle w:val="GPSDefinitionTerm"/>
            </w:pPr>
            <w:r w:rsidRPr="006875AD">
              <w:t>"Party"</w:t>
            </w:r>
          </w:p>
        </w:tc>
        <w:tc>
          <w:tcPr>
            <w:tcW w:w="6237" w:type="dxa"/>
            <w:shd w:val="clear" w:color="auto" w:fill="auto"/>
          </w:tcPr>
          <w:p w:rsidR="00D81DAD" w:rsidRDefault="0066375B" w:rsidP="00293635">
            <w:pPr>
              <w:pStyle w:val="GPsDefinition"/>
            </w:pPr>
            <w:r w:rsidRPr="006875AD">
              <w:t xml:space="preserve">means the Authority or the Supplier and </w:t>
            </w:r>
            <w:r w:rsidRPr="006875AD">
              <w:rPr>
                <w:b/>
              </w:rPr>
              <w:t>"Parties"</w:t>
            </w:r>
            <w:r w:rsidRPr="006875AD">
              <w:t xml:space="preserve"> shall mean both of them;</w:t>
            </w:r>
          </w:p>
        </w:tc>
      </w:tr>
      <w:tr w:rsidR="0066375B" w:rsidRPr="006875AD" w:rsidTr="00A04D6A">
        <w:tc>
          <w:tcPr>
            <w:tcW w:w="1984" w:type="dxa"/>
            <w:shd w:val="clear" w:color="auto" w:fill="auto"/>
          </w:tcPr>
          <w:p w:rsidR="00D81DAD" w:rsidRDefault="0066375B" w:rsidP="00293635">
            <w:pPr>
              <w:pStyle w:val="GPSDefinitionTerm"/>
            </w:pPr>
            <w:r w:rsidRPr="006875AD">
              <w:t>"Personal Data"</w:t>
            </w:r>
          </w:p>
        </w:tc>
        <w:tc>
          <w:tcPr>
            <w:tcW w:w="6237" w:type="dxa"/>
            <w:shd w:val="clear" w:color="auto" w:fill="auto"/>
          </w:tcPr>
          <w:p w:rsidR="00D81DAD" w:rsidRDefault="00156907" w:rsidP="00293635">
            <w:pPr>
              <w:pStyle w:val="GPsDefinition"/>
            </w:pPr>
            <w:r w:rsidRPr="00D03934">
              <w:t xml:space="preserve">has the meaning given to it in </w:t>
            </w:r>
            <w:r w:rsidR="0066375B" w:rsidRPr="006875AD">
              <w:t>the Data Protection Act 1998</w:t>
            </w:r>
            <w:r w:rsidR="00A37418">
              <w:t xml:space="preserve">  as amended from time to time</w:t>
            </w:r>
            <w:r w:rsidR="0066375B" w:rsidRPr="006875AD">
              <w:t>;</w:t>
            </w:r>
          </w:p>
        </w:tc>
      </w:tr>
      <w:tr w:rsidR="0066375B" w:rsidRPr="006875AD" w:rsidTr="00A04D6A">
        <w:tc>
          <w:tcPr>
            <w:tcW w:w="1984" w:type="dxa"/>
            <w:shd w:val="clear" w:color="auto" w:fill="auto"/>
          </w:tcPr>
          <w:p w:rsidR="00D81DAD" w:rsidRDefault="0066375B" w:rsidP="00293635">
            <w:pPr>
              <w:pStyle w:val="GPSDefinitionTerm"/>
            </w:pPr>
            <w:r w:rsidRPr="006875AD">
              <w:t>"PQQ Response"</w:t>
            </w:r>
          </w:p>
        </w:tc>
        <w:tc>
          <w:tcPr>
            <w:tcW w:w="6237" w:type="dxa"/>
            <w:shd w:val="clear" w:color="auto" w:fill="auto"/>
          </w:tcPr>
          <w:p w:rsidR="00D81DAD" w:rsidRDefault="0066375B" w:rsidP="00293635">
            <w:pPr>
              <w:pStyle w:val="GPsDefinition"/>
            </w:pPr>
            <w:r w:rsidRPr="006875AD">
              <w:t xml:space="preserve">means, where the Framework Agreement has been awarded under the Restricted Procedure, the response submitted by the Supplier to the Pre-Qualification questionnaire issued by the Authority, and the expressions </w:t>
            </w:r>
            <w:r w:rsidR="002E7CBD">
              <w:t>“</w:t>
            </w:r>
            <w:r w:rsidRPr="006875AD">
              <w:t xml:space="preserve">Restricted Procedure” and </w:t>
            </w:r>
            <w:r w:rsidR="002E7CBD">
              <w:t>“</w:t>
            </w:r>
            <w:r w:rsidRPr="006875AD">
              <w:t>Pre-Qualification Questionnaire shall have the meaning given to them in the Regulations;</w:t>
            </w:r>
          </w:p>
        </w:tc>
      </w:tr>
      <w:tr w:rsidR="00934A0E" w:rsidRPr="006875AD" w:rsidTr="00A04D6A">
        <w:tc>
          <w:tcPr>
            <w:tcW w:w="1984" w:type="dxa"/>
            <w:shd w:val="clear" w:color="auto" w:fill="auto"/>
          </w:tcPr>
          <w:p w:rsidR="00934A0E" w:rsidRPr="006875AD" w:rsidRDefault="00934A0E" w:rsidP="00293635">
            <w:pPr>
              <w:pStyle w:val="GPSDefinitionTerm"/>
            </w:pPr>
            <w:r>
              <w:t>“Price Card(s)”</w:t>
            </w:r>
          </w:p>
        </w:tc>
        <w:tc>
          <w:tcPr>
            <w:tcW w:w="6237" w:type="dxa"/>
            <w:shd w:val="clear" w:color="auto" w:fill="auto"/>
          </w:tcPr>
          <w:p w:rsidR="00934A0E" w:rsidRPr="00D03934" w:rsidRDefault="00934A0E" w:rsidP="002351D3">
            <w:pPr>
              <w:pStyle w:val="GPsDefinition"/>
            </w:pPr>
            <w:r>
              <w:t xml:space="preserve">means </w:t>
            </w:r>
            <w:r w:rsidR="002351D3">
              <w:t>the</w:t>
            </w:r>
            <w:r>
              <w:t xml:space="preserve"> price card</w:t>
            </w:r>
            <w:r w:rsidR="002351D3">
              <w:t xml:space="preserve"> of any Service Package</w:t>
            </w:r>
            <w:r>
              <w:t xml:space="preserve"> set out in Annex 1 of Framework Schedule 3 including but not limited to the price cards in respect of the Mandatory Service Package;</w:t>
            </w:r>
          </w:p>
        </w:tc>
      </w:tr>
      <w:tr w:rsidR="0066375B" w:rsidRPr="006875AD" w:rsidTr="00A04D6A">
        <w:tc>
          <w:tcPr>
            <w:tcW w:w="1984" w:type="dxa"/>
            <w:shd w:val="clear" w:color="auto" w:fill="auto"/>
          </w:tcPr>
          <w:p w:rsidR="00D81DAD" w:rsidRDefault="0066375B" w:rsidP="00293635">
            <w:pPr>
              <w:pStyle w:val="GPSDefinitionTerm"/>
            </w:pPr>
            <w:r w:rsidRPr="006875AD">
              <w:t>"Processing"</w:t>
            </w:r>
          </w:p>
        </w:tc>
        <w:tc>
          <w:tcPr>
            <w:tcW w:w="6237" w:type="dxa"/>
            <w:shd w:val="clear" w:color="auto" w:fill="auto"/>
          </w:tcPr>
          <w:p w:rsidR="00D81DAD" w:rsidRDefault="00156907" w:rsidP="00293635">
            <w:pPr>
              <w:pStyle w:val="GPsDefinition"/>
            </w:pPr>
            <w:r w:rsidRPr="00D03934">
              <w:t xml:space="preserve">has the meaning given to it in </w:t>
            </w:r>
            <w:r w:rsidR="0066375B" w:rsidRPr="006875AD">
              <w:t xml:space="preserve">the Data Protection Legislation but, for the purposes of this Framework Agreement, it shall include both manual and automatic processing and </w:t>
            </w:r>
            <w:r w:rsidR="002E7CBD">
              <w:t>“</w:t>
            </w:r>
            <w:r w:rsidR="0066375B" w:rsidRPr="006875AD">
              <w:rPr>
                <w:b/>
              </w:rPr>
              <w:t>Process</w:t>
            </w:r>
            <w:r w:rsidR="0066375B" w:rsidRPr="006875AD">
              <w:t xml:space="preserve">” and </w:t>
            </w:r>
            <w:r w:rsidR="002E7CBD">
              <w:t>“</w:t>
            </w:r>
            <w:r w:rsidR="0066375B" w:rsidRPr="006875AD">
              <w:rPr>
                <w:b/>
              </w:rPr>
              <w:t>Processed</w:t>
            </w:r>
            <w:r w:rsidR="0066375B" w:rsidRPr="006875AD">
              <w:t>” shall be interpreted accordingly;</w:t>
            </w:r>
          </w:p>
        </w:tc>
      </w:tr>
      <w:tr w:rsidR="0066375B" w:rsidRPr="006875AD" w:rsidTr="00A04D6A">
        <w:tc>
          <w:tcPr>
            <w:tcW w:w="1984" w:type="dxa"/>
            <w:shd w:val="clear" w:color="auto" w:fill="auto"/>
          </w:tcPr>
          <w:p w:rsidR="00D81DAD" w:rsidRDefault="0066375B" w:rsidP="00293635">
            <w:pPr>
              <w:pStyle w:val="GPSDefinitionTerm"/>
            </w:pPr>
            <w:r w:rsidRPr="006875AD">
              <w:t>"Prohibited Act"</w:t>
            </w:r>
          </w:p>
        </w:tc>
        <w:tc>
          <w:tcPr>
            <w:tcW w:w="6237" w:type="dxa"/>
            <w:shd w:val="clear" w:color="auto" w:fill="auto"/>
          </w:tcPr>
          <w:p w:rsidR="00D81DAD" w:rsidRDefault="0066375B" w:rsidP="00293635">
            <w:pPr>
              <w:pStyle w:val="GPsDefinition"/>
            </w:pPr>
            <w:r w:rsidRPr="006875AD">
              <w:t>means:</w:t>
            </w:r>
          </w:p>
          <w:p w:rsidR="00D81DAD" w:rsidRDefault="0066375B" w:rsidP="00293635">
            <w:pPr>
              <w:pStyle w:val="GPSDefinitionL2"/>
            </w:pPr>
            <w:r w:rsidRPr="0087201A">
              <w:t>to directly or indirectly offer, promise or give any person working for or engaged by a Contracting Body and/or the Authority a financial or other advantage to:</w:t>
            </w:r>
          </w:p>
          <w:p w:rsidR="002B49ED" w:rsidRDefault="0066375B" w:rsidP="00293635">
            <w:pPr>
              <w:pStyle w:val="GPSDefinitionL3"/>
            </w:pPr>
            <w:r w:rsidRPr="006875AD">
              <w:t>induce that person to perform improperly a relevant function or activity; or</w:t>
            </w:r>
          </w:p>
          <w:p w:rsidR="002B49ED" w:rsidRDefault="0066375B" w:rsidP="00293635">
            <w:pPr>
              <w:pStyle w:val="GPSDefinitionL3"/>
            </w:pPr>
            <w:r w:rsidRPr="006875AD">
              <w:t xml:space="preserve">reward that person for improper performance of a relevant function or activity; </w:t>
            </w:r>
          </w:p>
          <w:p w:rsidR="002B49ED" w:rsidRDefault="0066375B" w:rsidP="00293635">
            <w:pPr>
              <w:pStyle w:val="GPSDefinitionL2"/>
            </w:pPr>
            <w:r w:rsidRPr="006875AD">
              <w:t xml:space="preserve">or </w:t>
            </w:r>
          </w:p>
          <w:p w:rsidR="00D81DAD" w:rsidRDefault="0066375B" w:rsidP="00293635">
            <w:pPr>
              <w:pStyle w:val="GPSDefinitionL2"/>
            </w:pPr>
            <w:r w:rsidRPr="006875AD">
              <w:t>committing any offence</w:t>
            </w:r>
            <w:r w:rsidR="00A37418">
              <w:t>:</w:t>
            </w:r>
          </w:p>
          <w:p w:rsidR="002B49ED" w:rsidRDefault="0066375B" w:rsidP="00293635">
            <w:pPr>
              <w:pStyle w:val="GPSDefinitionL3"/>
            </w:pPr>
            <w:r w:rsidRPr="006875AD">
              <w:t>under the Bribery Act 2010; or</w:t>
            </w:r>
          </w:p>
          <w:p w:rsidR="002B49ED" w:rsidRDefault="0066375B" w:rsidP="00293635">
            <w:pPr>
              <w:pStyle w:val="GPSDefinitionL3"/>
            </w:pPr>
            <w:r w:rsidRPr="006875AD">
              <w:t xml:space="preserve">under legislation creating offences concerning </w:t>
            </w:r>
            <w:r w:rsidRPr="006875AD">
              <w:lastRenderedPageBreak/>
              <w:t>Fraud; or</w:t>
            </w:r>
          </w:p>
          <w:p w:rsidR="002B49ED" w:rsidRDefault="0066375B" w:rsidP="00293635">
            <w:pPr>
              <w:pStyle w:val="GPSDefinitionL3"/>
            </w:pPr>
            <w:r w:rsidRPr="006875AD">
              <w:t>at common law concerning Fraud; or</w:t>
            </w:r>
          </w:p>
          <w:p w:rsidR="002B49ED" w:rsidRDefault="0066375B" w:rsidP="00293635">
            <w:pPr>
              <w:pStyle w:val="GPSDefinitionL3"/>
            </w:pPr>
            <w:r w:rsidRPr="006875AD">
              <w:t>committing (or attempting or conspiring to commit) Fraud;</w:t>
            </w:r>
            <w:r w:rsidR="00F71B15" w:rsidRPr="00850F42">
              <w:rPr>
                <w:sz w:val="16"/>
              </w:rPr>
              <w:fldChar w:fldCharType="begin"/>
            </w:r>
            <w:r w:rsidR="00BD3F71" w:rsidRPr="00850F42">
              <w:rPr>
                <w:sz w:val="16"/>
              </w:rPr>
              <w:instrText>LISTNUM \l 1 \s 0</w:instrText>
            </w:r>
            <w:r w:rsidR="00F71B15" w:rsidRPr="00850F42">
              <w:rPr>
                <w:sz w:val="16"/>
              </w:rPr>
              <w:fldChar w:fldCharType="separate"/>
            </w:r>
            <w:r w:rsidR="00BD3F71" w:rsidRPr="00850F42">
              <w:rPr>
                <w:sz w:val="16"/>
              </w:rPr>
              <w:t xml:space="preserve"> </w:t>
            </w:r>
            <w:r w:rsidR="00F71B15" w:rsidRPr="00850F42">
              <w:rPr>
                <w:sz w:val="16"/>
              </w:rPr>
              <w:fldChar w:fldCharType="end">
                <w:numberingChange w:id="689" w:author="potterj" w:date="2014-08-28T12:26:00Z" w:original=""/>
              </w:fldChar>
            </w:r>
          </w:p>
        </w:tc>
      </w:tr>
      <w:tr w:rsidR="006A324B" w:rsidRPr="006875AD" w:rsidTr="00A04D6A">
        <w:tc>
          <w:tcPr>
            <w:tcW w:w="1984" w:type="dxa"/>
            <w:shd w:val="clear" w:color="auto" w:fill="auto"/>
          </w:tcPr>
          <w:p w:rsidR="006A324B" w:rsidRPr="006875AD" w:rsidRDefault="006A324B" w:rsidP="00293635">
            <w:pPr>
              <w:pStyle w:val="GPSDefinitionTerm"/>
            </w:pPr>
            <w:r>
              <w:lastRenderedPageBreak/>
              <w:t>“Public Services Network or PSN”</w:t>
            </w:r>
          </w:p>
        </w:tc>
        <w:tc>
          <w:tcPr>
            <w:tcW w:w="6237" w:type="dxa"/>
            <w:shd w:val="clear" w:color="auto" w:fill="auto"/>
          </w:tcPr>
          <w:p w:rsidR="006A324B" w:rsidRPr="006875AD" w:rsidRDefault="006A324B" w:rsidP="006A324B">
            <w:pPr>
              <w:pStyle w:val="GPsDefinition"/>
              <w:ind w:firstLine="5"/>
            </w:pPr>
            <w:r w:rsidRPr="006A324B">
              <w:t>the network of networks delivered through multiple service providers, as further detailed in the PSN Operating Model</w:t>
            </w:r>
            <w:r>
              <w:t>; and described in Framework Schedule 21 (PSN Compliance);</w:t>
            </w:r>
          </w:p>
        </w:tc>
      </w:tr>
      <w:tr w:rsidR="0066375B" w:rsidRPr="006875AD" w:rsidTr="00A04D6A">
        <w:tc>
          <w:tcPr>
            <w:tcW w:w="1984" w:type="dxa"/>
            <w:shd w:val="clear" w:color="auto" w:fill="auto"/>
          </w:tcPr>
          <w:p w:rsidR="00D81DAD" w:rsidRDefault="0066375B" w:rsidP="00293635">
            <w:pPr>
              <w:pStyle w:val="GPSDefinitionTerm"/>
            </w:pPr>
            <w:r w:rsidRPr="006875AD">
              <w:t>"Regulations"</w:t>
            </w:r>
          </w:p>
        </w:tc>
        <w:tc>
          <w:tcPr>
            <w:tcW w:w="6237" w:type="dxa"/>
            <w:shd w:val="clear" w:color="auto" w:fill="auto"/>
          </w:tcPr>
          <w:p w:rsidR="00D81DAD" w:rsidRDefault="0066375B" w:rsidP="00293635">
            <w:pPr>
              <w:pStyle w:val="GPsDefinition"/>
            </w:pPr>
            <w:r w:rsidRPr="006875AD">
              <w:t xml:space="preserve">means the Public Contracts Regulations 2006 </w:t>
            </w:r>
            <w:r w:rsidR="00BD3F71">
              <w:t>(as amended)</w:t>
            </w:r>
            <w:r w:rsidRPr="006875AD">
              <w:t xml:space="preserve"> and/or the Public Contracts (Scotland) Regulations 2012 </w:t>
            </w:r>
            <w:r w:rsidR="00BD3F71">
              <w:t>(as amended)</w:t>
            </w:r>
            <w:r w:rsidR="00BD3F71" w:rsidRPr="006875AD">
              <w:t xml:space="preserve"> </w:t>
            </w:r>
            <w:r w:rsidRPr="006875AD">
              <w:t>(as the context requires) as amended from time to time;</w:t>
            </w:r>
          </w:p>
        </w:tc>
      </w:tr>
      <w:tr w:rsidR="00F57B6D" w:rsidRPr="006875AD" w:rsidTr="00A04D6A">
        <w:tc>
          <w:tcPr>
            <w:tcW w:w="1984" w:type="dxa"/>
            <w:shd w:val="clear" w:color="auto" w:fill="auto"/>
          </w:tcPr>
          <w:p w:rsidR="00D81DAD" w:rsidRDefault="00F57B6D" w:rsidP="00293635">
            <w:pPr>
              <w:pStyle w:val="GPSDefinitionTerm"/>
            </w:pPr>
            <w:r w:rsidRPr="006875AD">
              <w:t>"Relevant Person"</w:t>
            </w:r>
          </w:p>
        </w:tc>
        <w:tc>
          <w:tcPr>
            <w:tcW w:w="6237" w:type="dxa"/>
            <w:shd w:val="clear" w:color="auto" w:fill="auto"/>
          </w:tcPr>
          <w:p w:rsidR="00D81DAD" w:rsidRDefault="00F57B6D" w:rsidP="00293635">
            <w:pPr>
              <w:pStyle w:val="GPsDefinition"/>
            </w:pPr>
            <w:r w:rsidRPr="006875AD">
              <w:t>means any employee, agent, servant, or representative of the Authority, or of any Other Contracting Body or other public body;</w:t>
            </w:r>
          </w:p>
        </w:tc>
      </w:tr>
      <w:tr w:rsidR="00B50718" w:rsidRPr="006875AD" w:rsidTr="00A04D6A">
        <w:tc>
          <w:tcPr>
            <w:tcW w:w="1984" w:type="dxa"/>
            <w:shd w:val="clear" w:color="auto" w:fill="auto"/>
          </w:tcPr>
          <w:p w:rsidR="00B93455" w:rsidRDefault="00156907" w:rsidP="00293635">
            <w:pPr>
              <w:pStyle w:val="GPSDefinitionTerm"/>
            </w:pPr>
            <w:r w:rsidRPr="006875AD">
              <w:t>"</w:t>
            </w:r>
            <w:r w:rsidR="00B50718">
              <w:t>Relevant Requirements</w:t>
            </w:r>
            <w:r w:rsidRPr="006875AD">
              <w:t>"</w:t>
            </w:r>
          </w:p>
        </w:tc>
        <w:tc>
          <w:tcPr>
            <w:tcW w:w="6237" w:type="dxa"/>
            <w:shd w:val="clear" w:color="auto" w:fill="auto"/>
          </w:tcPr>
          <w:p w:rsidR="00B50718" w:rsidRDefault="00B5071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66375B" w:rsidRPr="006875AD" w:rsidTr="00A04D6A">
        <w:tc>
          <w:tcPr>
            <w:tcW w:w="1984" w:type="dxa"/>
            <w:shd w:val="clear" w:color="auto" w:fill="auto"/>
          </w:tcPr>
          <w:p w:rsidR="00F20C99" w:rsidRDefault="00156907" w:rsidP="00293635">
            <w:pPr>
              <w:pStyle w:val="GPSDefinitionTerm"/>
            </w:pPr>
            <w:r w:rsidRPr="006875AD">
              <w:t>"</w:t>
            </w:r>
            <w:r w:rsidR="00D95C38">
              <w:t>Relevant Tax Authority</w:t>
            </w:r>
            <w:r w:rsidRPr="006875AD">
              <w:t>"</w:t>
            </w:r>
          </w:p>
        </w:tc>
        <w:tc>
          <w:tcPr>
            <w:tcW w:w="6237" w:type="dxa"/>
            <w:shd w:val="clear" w:color="auto" w:fill="auto"/>
          </w:tcPr>
          <w:p w:rsidR="00D81DAD" w:rsidRDefault="00D95C38" w:rsidP="00293635">
            <w:pPr>
              <w:pStyle w:val="GPsDefinition"/>
            </w:pPr>
            <w:r w:rsidRPr="00FC2CB8">
              <w:rPr>
                <w:lang w:eastAsia="en-GB"/>
              </w:rPr>
              <w:t>means HMRC, or, if applicable, the tax authority in the jurisdiction in which the Supplier is required to submit a tax return;</w:t>
            </w:r>
          </w:p>
        </w:tc>
      </w:tr>
      <w:tr w:rsidR="00F57B6D" w:rsidRPr="006875AD" w:rsidTr="00A04D6A">
        <w:tc>
          <w:tcPr>
            <w:tcW w:w="1984" w:type="dxa"/>
            <w:shd w:val="clear" w:color="auto" w:fill="auto"/>
          </w:tcPr>
          <w:p w:rsidR="00D81DAD" w:rsidRDefault="00F57B6D" w:rsidP="00293635">
            <w:pPr>
              <w:pStyle w:val="GPSDefinitionTerm"/>
            </w:pPr>
            <w:r w:rsidRPr="006875AD">
              <w:t>"Relevant Supplier"</w:t>
            </w:r>
          </w:p>
        </w:tc>
        <w:tc>
          <w:tcPr>
            <w:tcW w:w="6237" w:type="dxa"/>
            <w:shd w:val="clear" w:color="auto" w:fill="auto"/>
          </w:tcPr>
          <w:p w:rsidR="00F57B6D" w:rsidRPr="006875AD" w:rsidRDefault="00F57B6D" w:rsidP="00293635">
            <w:pPr>
              <w:pStyle w:val="GPsDefinition"/>
            </w:pPr>
            <w:r w:rsidRPr="006875AD">
              <w:t>means a third party bidding to provide New Services;</w:t>
            </w:r>
          </w:p>
        </w:tc>
      </w:tr>
      <w:tr w:rsidR="0066375B" w:rsidRPr="006875AD" w:rsidTr="00A04D6A">
        <w:tc>
          <w:tcPr>
            <w:tcW w:w="1984" w:type="dxa"/>
            <w:shd w:val="clear" w:color="auto" w:fill="auto"/>
          </w:tcPr>
          <w:p w:rsidR="00D81DAD" w:rsidRDefault="00156907" w:rsidP="00293635">
            <w:pPr>
              <w:pStyle w:val="GPSDefinitionTerm"/>
            </w:pPr>
            <w:r w:rsidRPr="006875AD">
              <w:t>"</w:t>
            </w:r>
            <w:r w:rsidR="00353575">
              <w:t>Replacement Services</w:t>
            </w:r>
            <w:r w:rsidRPr="006875AD">
              <w:t>"</w:t>
            </w:r>
          </w:p>
        </w:tc>
        <w:tc>
          <w:tcPr>
            <w:tcW w:w="6237" w:type="dxa"/>
            <w:shd w:val="clear" w:color="auto" w:fill="auto"/>
          </w:tcPr>
          <w:p w:rsidR="00D81DAD" w:rsidRDefault="00353575" w:rsidP="00293635">
            <w:pPr>
              <w:pStyle w:val="GPsDefinition"/>
            </w:pPr>
            <w:r w:rsidRPr="00893741">
              <w:t xml:space="preserve">means any services which are substantially similar to any of the Services and which </w:t>
            </w:r>
            <w:r w:rsidR="00EF703D">
              <w:t xml:space="preserve">are received </w:t>
            </w:r>
            <w:r w:rsidRPr="00893741">
              <w:t xml:space="preserve">in substitution for the Services following the expiry or termination of </w:t>
            </w:r>
            <w:r w:rsidR="00EF703D">
              <w:t>this Framework Agreement</w:t>
            </w:r>
            <w:r w:rsidRPr="00893741">
              <w:t>;</w:t>
            </w:r>
          </w:p>
        </w:tc>
      </w:tr>
      <w:tr w:rsidR="00F57B6D" w:rsidRPr="006875AD" w:rsidTr="00A04D6A">
        <w:tc>
          <w:tcPr>
            <w:tcW w:w="1984" w:type="dxa"/>
            <w:shd w:val="clear" w:color="auto" w:fill="auto"/>
          </w:tcPr>
          <w:p w:rsidR="00F57B6D" w:rsidRPr="006875AD" w:rsidDel="00F57B6D" w:rsidRDefault="00156907" w:rsidP="00293635">
            <w:pPr>
              <w:pStyle w:val="GPSDefinitionTerm"/>
            </w:pPr>
            <w:r w:rsidRPr="006875AD">
              <w:t>"</w:t>
            </w:r>
            <w:r w:rsidR="00F57B6D">
              <w:t>Replacement Supplier</w:t>
            </w:r>
            <w:r w:rsidRPr="006875AD">
              <w:t>"</w:t>
            </w:r>
          </w:p>
        </w:tc>
        <w:tc>
          <w:tcPr>
            <w:tcW w:w="6237" w:type="dxa"/>
            <w:shd w:val="clear" w:color="auto" w:fill="auto"/>
          </w:tcPr>
          <w:p w:rsidR="00D81DAD" w:rsidRDefault="00F57B6D" w:rsidP="00293635">
            <w:pPr>
              <w:pStyle w:val="GPsDefinition"/>
            </w:pPr>
            <w:r w:rsidRPr="00893741">
              <w:t xml:space="preserve">means any third party provider of Replacement Services appointed by or at the direction of the </w:t>
            </w:r>
            <w:r>
              <w:t>Authority</w:t>
            </w:r>
            <w:r w:rsidRPr="00893741">
              <w:t xml:space="preserve"> from time to time;</w:t>
            </w:r>
          </w:p>
        </w:tc>
      </w:tr>
      <w:tr w:rsidR="0066375B" w:rsidRPr="006875AD" w:rsidTr="00A04D6A">
        <w:tc>
          <w:tcPr>
            <w:tcW w:w="1984" w:type="dxa"/>
            <w:shd w:val="clear" w:color="auto" w:fill="auto"/>
          </w:tcPr>
          <w:p w:rsidR="00D81DAD" w:rsidRDefault="0066375B" w:rsidP="00293635">
            <w:pPr>
              <w:pStyle w:val="GPSDefinitionTerm"/>
            </w:pPr>
            <w:r w:rsidRPr="006875AD">
              <w:t>"Reporting Date"</w:t>
            </w:r>
          </w:p>
        </w:tc>
        <w:tc>
          <w:tcPr>
            <w:tcW w:w="6237" w:type="dxa"/>
            <w:shd w:val="clear" w:color="auto" w:fill="auto"/>
          </w:tcPr>
          <w:p w:rsidR="00D81DAD" w:rsidRDefault="0066375B" w:rsidP="00293635">
            <w:pPr>
              <w:pStyle w:val="GPsDefinition"/>
            </w:pPr>
            <w:r w:rsidRPr="006875AD">
              <w:t>means the 7th day of each Month following the Month to which the relevant Management Information relates, or such other date as may be agreed between the Parties;</w:t>
            </w:r>
          </w:p>
        </w:tc>
      </w:tr>
      <w:tr w:rsidR="00F57B6D" w:rsidRPr="006875AD" w:rsidTr="00A04D6A">
        <w:tc>
          <w:tcPr>
            <w:tcW w:w="1984" w:type="dxa"/>
            <w:shd w:val="clear" w:color="auto" w:fill="auto"/>
          </w:tcPr>
          <w:p w:rsidR="00D81DAD" w:rsidRDefault="00F57B6D" w:rsidP="00293635">
            <w:pPr>
              <w:pStyle w:val="GPSDefinitionTerm"/>
            </w:pPr>
            <w:r w:rsidRPr="006875AD">
              <w:t>"Requests for Information"</w:t>
            </w:r>
          </w:p>
        </w:tc>
        <w:tc>
          <w:tcPr>
            <w:tcW w:w="6237" w:type="dxa"/>
            <w:shd w:val="clear" w:color="auto" w:fill="auto"/>
          </w:tcPr>
          <w:p w:rsidR="00D81DAD" w:rsidRDefault="00F57B6D" w:rsidP="00293635">
            <w:pPr>
              <w:pStyle w:val="GPsDefinition"/>
            </w:pPr>
            <w:r w:rsidRPr="006875AD">
              <w:t>means a request for information relating to this Framework Agreement or the provision of the Services or an apparent request for such information  under the Code of Practice on Access to Government Information, FOIA or the EIRs;</w:t>
            </w:r>
          </w:p>
        </w:tc>
      </w:tr>
      <w:tr w:rsidR="0066375B" w:rsidRPr="006875AD" w:rsidTr="00A04D6A">
        <w:tc>
          <w:tcPr>
            <w:tcW w:w="1984" w:type="dxa"/>
            <w:shd w:val="clear" w:color="auto" w:fill="auto"/>
          </w:tcPr>
          <w:p w:rsidR="00D81DAD" w:rsidRDefault="00156907" w:rsidP="00293635">
            <w:pPr>
              <w:pStyle w:val="GPSDefinitionTerm"/>
            </w:pPr>
            <w:r w:rsidRPr="006875AD">
              <w:t>"</w:t>
            </w:r>
            <w:r w:rsidR="00051DA2">
              <w:t>Restricted Countries</w:t>
            </w:r>
            <w:r w:rsidRPr="006875AD">
              <w:t>"</w:t>
            </w:r>
          </w:p>
        </w:tc>
        <w:tc>
          <w:tcPr>
            <w:tcW w:w="6237" w:type="dxa"/>
            <w:shd w:val="clear" w:color="auto" w:fill="auto"/>
          </w:tcPr>
          <w:p w:rsidR="00D81DAD" w:rsidRDefault="00FD1B2A" w:rsidP="00293635">
            <w:pPr>
              <w:pStyle w:val="GPsDefinition"/>
            </w:pPr>
            <w:r>
              <w:t>means any countries that are not within the  EEA or which have not been determined to be adequate by the European Commission pursuant to Article 25(6) of Directive 95/46/EC</w:t>
            </w:r>
            <w:r w:rsidDel="00123B7E">
              <w:t xml:space="preserve"> </w:t>
            </w:r>
            <w:r w:rsidR="00156907">
              <w:t>;</w:t>
            </w:r>
          </w:p>
        </w:tc>
      </w:tr>
      <w:tr w:rsidR="00982FB4" w:rsidRPr="006875AD" w:rsidTr="00A04D6A">
        <w:tc>
          <w:tcPr>
            <w:tcW w:w="1984" w:type="dxa"/>
            <w:shd w:val="clear" w:color="auto" w:fill="auto"/>
          </w:tcPr>
          <w:p w:rsidR="00982FB4" w:rsidRDefault="00982FB4" w:rsidP="00293635">
            <w:pPr>
              <w:pStyle w:val="GPSDefinitionTerm"/>
            </w:pPr>
            <w:r w:rsidRPr="006875AD">
              <w:t>"Self Audit Certificate"</w:t>
            </w:r>
          </w:p>
        </w:tc>
        <w:tc>
          <w:tcPr>
            <w:tcW w:w="6237" w:type="dxa"/>
            <w:shd w:val="clear" w:color="auto" w:fill="auto"/>
          </w:tcPr>
          <w:p w:rsidR="00982FB4" w:rsidRDefault="00982FB4" w:rsidP="00293635">
            <w:pPr>
              <w:pStyle w:val="GPsDefinition"/>
            </w:pPr>
            <w:r w:rsidRPr="006875AD">
              <w:t xml:space="preserve">means the certificate in the form as set out in Framework Schedule </w:t>
            </w:r>
            <w:r>
              <w:t>10</w:t>
            </w:r>
            <w:r w:rsidRPr="006875AD">
              <w:t xml:space="preserve"> (Annual Self</w:t>
            </w:r>
            <w:r w:rsidR="00A37418">
              <w:t xml:space="preserve"> </w:t>
            </w:r>
            <w:r w:rsidRPr="006875AD">
              <w:t>Audit Certificate) to be provided to the Authority in accordance with Clause </w:t>
            </w:r>
            <w:r w:rsidR="000822F5">
              <w:fldChar w:fldCharType="begin"/>
            </w:r>
            <w:r w:rsidR="000822F5">
              <w:instrText xml:space="preserve"> REF _Ref365017299 \r \h  \* MERGEFORMAT </w:instrText>
            </w:r>
            <w:r w:rsidR="000822F5">
              <w:fldChar w:fldCharType="separate"/>
            </w:r>
            <w:r w:rsidR="00B3040B">
              <w:t>15</w:t>
            </w:r>
            <w:r w:rsidR="000822F5">
              <w:fldChar w:fldCharType="end"/>
            </w:r>
            <w:r>
              <w:t xml:space="preserve"> </w:t>
            </w:r>
            <w:r w:rsidRPr="006875AD">
              <w:t>(</w:t>
            </w:r>
            <w:r>
              <w:t>Records, Audit Access and Open Book Data</w:t>
            </w:r>
            <w:r w:rsidRPr="006875AD">
              <w:t>);</w:t>
            </w:r>
          </w:p>
        </w:tc>
      </w:tr>
      <w:tr w:rsidR="00585133" w:rsidRPr="006875AD" w:rsidTr="00A04D6A">
        <w:tc>
          <w:tcPr>
            <w:tcW w:w="1984" w:type="dxa"/>
            <w:shd w:val="clear" w:color="auto" w:fill="auto"/>
          </w:tcPr>
          <w:p w:rsidR="00585133" w:rsidRPr="006875AD" w:rsidRDefault="00585133" w:rsidP="00293635">
            <w:pPr>
              <w:pStyle w:val="GPSDefinitionTerm"/>
            </w:pPr>
            <w:r>
              <w:lastRenderedPageBreak/>
              <w:t>“Service Catalogue”</w:t>
            </w:r>
          </w:p>
        </w:tc>
        <w:tc>
          <w:tcPr>
            <w:tcW w:w="6237" w:type="dxa"/>
            <w:shd w:val="clear" w:color="auto" w:fill="auto"/>
          </w:tcPr>
          <w:p w:rsidR="00585133" w:rsidRDefault="00934A0E" w:rsidP="00934A0E">
            <w:pPr>
              <w:pStyle w:val="GPsDefinition"/>
            </w:pPr>
            <w:r>
              <w:t xml:space="preserve">means any Service Packages that </w:t>
            </w:r>
            <w:r w:rsidRPr="006E57DF">
              <w:t>the Supplier shall make</w:t>
            </w:r>
            <w:r>
              <w:t xml:space="preserve"> available </w:t>
            </w:r>
            <w:r w:rsidRPr="006E57DF">
              <w:t xml:space="preserve">to </w:t>
            </w:r>
            <w:r>
              <w:t>Contracting Bodies</w:t>
            </w:r>
            <w:r w:rsidRPr="006E57DF">
              <w:t xml:space="preserve"> pursuant to this Framework Agreement</w:t>
            </w:r>
            <w:r>
              <w:t xml:space="preserve"> as set out in Annex 1 of Framework Schedule 3</w:t>
            </w:r>
            <w:r w:rsidR="008A51E4">
              <w:t>;</w:t>
            </w:r>
          </w:p>
        </w:tc>
      </w:tr>
      <w:tr w:rsidR="00162E5B" w:rsidRPr="006875AD" w:rsidTr="00A04D6A">
        <w:tc>
          <w:tcPr>
            <w:tcW w:w="1984" w:type="dxa"/>
            <w:shd w:val="clear" w:color="auto" w:fill="auto"/>
          </w:tcPr>
          <w:p w:rsidR="00162E5B" w:rsidRPr="006875AD" w:rsidRDefault="00162E5B" w:rsidP="00293635">
            <w:pPr>
              <w:pStyle w:val="GPSDefinitionTerm"/>
            </w:pPr>
            <w:r>
              <w:t>“Service Package”</w:t>
            </w:r>
          </w:p>
        </w:tc>
        <w:tc>
          <w:tcPr>
            <w:tcW w:w="6237" w:type="dxa"/>
            <w:shd w:val="clear" w:color="auto" w:fill="auto"/>
          </w:tcPr>
          <w:p w:rsidR="00162E5B" w:rsidRDefault="00934A0E" w:rsidP="00934A0E">
            <w:pPr>
              <w:pStyle w:val="GPsDefinition"/>
            </w:pPr>
            <w:r>
              <w:t>means a priced package of Services such as the Mandatory Service Package or any other priced package of Services proposed by the Supplier and Approved for inclusion in the Service Catalogue in accordance with Clause 16.2 (Service Package Variation Procedure)</w:t>
            </w:r>
            <w:r w:rsidR="00D85745">
              <w:t>;</w:t>
            </w:r>
          </w:p>
        </w:tc>
      </w:tr>
      <w:tr w:rsidR="0066375B" w:rsidRPr="006875AD" w:rsidTr="00A04D6A">
        <w:tc>
          <w:tcPr>
            <w:tcW w:w="1984" w:type="dxa"/>
            <w:shd w:val="clear" w:color="auto" w:fill="auto"/>
          </w:tcPr>
          <w:p w:rsidR="00D81DAD" w:rsidRDefault="0066375B" w:rsidP="00293635">
            <w:pPr>
              <w:pStyle w:val="GPSDefinitionTerm"/>
            </w:pPr>
            <w:r w:rsidRPr="006875AD">
              <w:t>"Se</w:t>
            </w:r>
            <w:r w:rsidR="00982FB4">
              <w:t>rvice Period</w:t>
            </w:r>
            <w:r w:rsidRPr="006875AD">
              <w:t>"</w:t>
            </w:r>
          </w:p>
        </w:tc>
        <w:tc>
          <w:tcPr>
            <w:tcW w:w="6237" w:type="dxa"/>
            <w:shd w:val="clear" w:color="auto" w:fill="auto"/>
          </w:tcPr>
          <w:p w:rsidR="00D81DAD" w:rsidRDefault="00982FB4" w:rsidP="00293635">
            <w:pPr>
              <w:pStyle w:val="GPsDefinition"/>
            </w:pPr>
            <w:r>
              <w:t>has the meaning given to it in Framework Schedule 4 (Template Order Form and Template Call Off Terms)</w:t>
            </w:r>
            <w:r w:rsidR="00CE27AA">
              <w:t xml:space="preserve"> as refined by a Contracting Body in a Call Off Agreement between that Contracting Body and the Supplier</w:t>
            </w:r>
            <w:r w:rsidR="0066375B" w:rsidRPr="006875AD">
              <w:t>;</w:t>
            </w:r>
          </w:p>
        </w:tc>
      </w:tr>
      <w:tr w:rsidR="0066375B" w:rsidRPr="006875AD" w:rsidTr="00A04D6A">
        <w:tc>
          <w:tcPr>
            <w:tcW w:w="1984" w:type="dxa"/>
            <w:shd w:val="clear" w:color="auto" w:fill="auto"/>
          </w:tcPr>
          <w:p w:rsidR="00D81DAD" w:rsidRDefault="0066375B" w:rsidP="00293635">
            <w:pPr>
              <w:pStyle w:val="GPSDefinitionTerm"/>
            </w:pPr>
            <w:r w:rsidRPr="006875AD">
              <w:t>"Services"</w:t>
            </w:r>
          </w:p>
        </w:tc>
        <w:tc>
          <w:tcPr>
            <w:tcW w:w="6237" w:type="dxa"/>
            <w:shd w:val="clear" w:color="auto" w:fill="auto"/>
          </w:tcPr>
          <w:p w:rsidR="00D81DAD" w:rsidRDefault="0066375B" w:rsidP="00293635">
            <w:pPr>
              <w:pStyle w:val="GPsDefinition"/>
            </w:pPr>
            <w:r w:rsidRPr="006875AD">
              <w:t xml:space="preserve">means the services described in Framework Schedule </w:t>
            </w:r>
            <w:r w:rsidR="00A37418">
              <w:t>2</w:t>
            </w:r>
            <w:r w:rsidR="00A37418" w:rsidRPr="006875AD">
              <w:t xml:space="preserve"> </w:t>
            </w:r>
            <w:r w:rsidRPr="006875AD">
              <w:t>(Services and Key Performance Indicators) which the Supplier shall make available to Contracting Bodies;</w:t>
            </w:r>
          </w:p>
        </w:tc>
      </w:tr>
      <w:tr w:rsidR="0087201A" w:rsidRPr="006875AD" w:rsidTr="00A04D6A">
        <w:trPr>
          <w:trHeight w:val="721"/>
        </w:trPr>
        <w:tc>
          <w:tcPr>
            <w:tcW w:w="1984" w:type="dxa"/>
            <w:shd w:val="clear" w:color="auto" w:fill="auto"/>
          </w:tcPr>
          <w:p w:rsidR="00D81DAD" w:rsidRDefault="0087201A" w:rsidP="00293635">
            <w:pPr>
              <w:pStyle w:val="GPSDefinitionTerm"/>
            </w:pPr>
            <w:r w:rsidRPr="006875AD">
              <w:t>"Specific Change in Law"</w:t>
            </w:r>
          </w:p>
        </w:tc>
        <w:tc>
          <w:tcPr>
            <w:tcW w:w="6237" w:type="dxa"/>
            <w:shd w:val="clear" w:color="auto" w:fill="auto"/>
          </w:tcPr>
          <w:p w:rsidR="00D81DAD" w:rsidRDefault="0087201A" w:rsidP="00293635">
            <w:pPr>
              <w:pStyle w:val="GPsDefinition"/>
            </w:pPr>
            <w:r w:rsidRPr="006875AD">
              <w:t>means a Change in Law that relates specifically to the business of the Authority and which would not affect a Comparable Supply;</w:t>
            </w:r>
          </w:p>
        </w:tc>
      </w:tr>
      <w:tr w:rsidR="0066375B" w:rsidRPr="006875AD" w:rsidTr="00A04D6A">
        <w:tc>
          <w:tcPr>
            <w:tcW w:w="1984" w:type="dxa"/>
            <w:shd w:val="clear" w:color="auto" w:fill="auto"/>
          </w:tcPr>
          <w:p w:rsidR="00D81DAD" w:rsidRDefault="00156907" w:rsidP="00293635">
            <w:pPr>
              <w:pStyle w:val="GPSDefinitionTerm"/>
            </w:pPr>
            <w:r w:rsidRPr="006875AD">
              <w:t>"</w:t>
            </w:r>
            <w:r w:rsidR="007F3026">
              <w:t>Standards</w:t>
            </w:r>
            <w:r w:rsidRPr="006875AD">
              <w:t>"</w:t>
            </w:r>
          </w:p>
        </w:tc>
        <w:tc>
          <w:tcPr>
            <w:tcW w:w="6237" w:type="dxa"/>
            <w:shd w:val="clear" w:color="auto" w:fill="auto"/>
          </w:tcPr>
          <w:p w:rsidR="00D81DAD" w:rsidRDefault="007F3026" w:rsidP="00293635">
            <w:pPr>
              <w:pStyle w:val="GPsDefinition"/>
            </w:pPr>
            <w:r>
              <w:t>m</w:t>
            </w:r>
            <w:r w:rsidRPr="00C83EE6">
              <w:t>eans</w:t>
            </w:r>
            <w:r>
              <w:t>:</w:t>
            </w:r>
          </w:p>
          <w:p w:rsidR="00D81DAD" w:rsidRDefault="007F3026"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81DAD" w:rsidRDefault="007F3026" w:rsidP="00293635">
            <w:pPr>
              <w:pStyle w:val="GPSDefinitionL2"/>
            </w:pPr>
            <w:r>
              <w:t>any standards</w:t>
            </w:r>
            <w:r w:rsidRPr="0079577B">
              <w:t xml:space="preserve"> detailed in the specification in Framework Schedule </w:t>
            </w:r>
            <w:r w:rsidR="00A37418">
              <w:t>2</w:t>
            </w:r>
            <w:r w:rsidR="00A37418" w:rsidRPr="0079577B">
              <w:t xml:space="preserve"> </w:t>
            </w:r>
            <w:r w:rsidRPr="0079577B">
              <w:t>(Services</w:t>
            </w:r>
            <w:r>
              <w:t xml:space="preserve"> and Key Performance </w:t>
            </w:r>
            <w:r w:rsidRPr="004427EF">
              <w:t>Indicators)</w:t>
            </w:r>
            <w:r>
              <w:t>;</w:t>
            </w:r>
          </w:p>
          <w:p w:rsidR="00D81DAD" w:rsidRDefault="007F3026" w:rsidP="00293635">
            <w:pPr>
              <w:pStyle w:val="GPSDefinitionL2"/>
            </w:pPr>
            <w:r w:rsidRPr="004427EF">
              <w:t>any standards detailed by the Contracting Body in the Call Off Agreement following a Further Competition Procedure</w:t>
            </w:r>
            <w:r>
              <w:t xml:space="preserve"> or </w:t>
            </w:r>
            <w:r w:rsidRPr="00A91EB5">
              <w:t>agreed between the Parties from time to time</w:t>
            </w:r>
            <w:r w:rsidRPr="004427EF">
              <w:t>;</w:t>
            </w:r>
          </w:p>
          <w:p w:rsidR="00D81DAD" w:rsidRDefault="007F3026" w:rsidP="00293635">
            <w:pPr>
              <w:pStyle w:val="GPSDefinitionL2"/>
            </w:pPr>
            <w:r w:rsidRPr="0079577B">
              <w:t xml:space="preserve">any </w:t>
            </w:r>
            <w:r>
              <w:t xml:space="preserve">relevant </w:t>
            </w:r>
            <w:r w:rsidRPr="0079577B">
              <w:t>Government codes of practice and guidance</w:t>
            </w:r>
            <w:r>
              <w:t xml:space="preserve"> applicable from time to time</w:t>
            </w:r>
            <w:r w:rsidR="001F0263">
              <w:t>.</w:t>
            </w:r>
            <w:r w:rsidR="00F71B15" w:rsidRPr="00850F42">
              <w:rPr>
                <w:sz w:val="16"/>
              </w:rPr>
              <w:fldChar w:fldCharType="begin"/>
            </w:r>
            <w:r w:rsidR="00BD3F71" w:rsidRPr="00850F42">
              <w:rPr>
                <w:sz w:val="16"/>
              </w:rPr>
              <w:instrText>LISTNUM \l 1 \s 0</w:instrText>
            </w:r>
            <w:r w:rsidR="00F71B15" w:rsidRPr="00850F42">
              <w:rPr>
                <w:sz w:val="16"/>
              </w:rPr>
              <w:fldChar w:fldCharType="separate"/>
            </w:r>
            <w:r w:rsidR="00BD3F71" w:rsidRPr="00850F42">
              <w:rPr>
                <w:sz w:val="16"/>
              </w:rPr>
              <w:t xml:space="preserve"> </w:t>
            </w:r>
            <w:r w:rsidR="00F71B15" w:rsidRPr="00850F42">
              <w:rPr>
                <w:sz w:val="16"/>
              </w:rPr>
              <w:fldChar w:fldCharType="end">
                <w:numberingChange w:id="690" w:author="potterj" w:date="2014-08-28T12:26:00Z" w:original=""/>
              </w:fldChar>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Statement of Requirements</w:t>
            </w:r>
            <w:r w:rsidRPr="006875AD">
              <w:t>"</w:t>
            </w:r>
          </w:p>
        </w:tc>
        <w:tc>
          <w:tcPr>
            <w:tcW w:w="6237" w:type="dxa"/>
            <w:shd w:val="clear" w:color="auto" w:fill="auto"/>
          </w:tcPr>
          <w:p w:rsidR="00D81DAD" w:rsidRDefault="0066375B" w:rsidP="00293635">
            <w:pPr>
              <w:pStyle w:val="GPsDefinition"/>
            </w:pPr>
            <w:r w:rsidRPr="006875AD">
              <w:t xml:space="preserve">means a statement issued by the Authority or any Other Contracting Body detailing its Services Requirements issued in accordance with the </w:t>
            </w:r>
            <w:r w:rsidR="002824B9" w:rsidRPr="006875AD">
              <w:t>Call Off</w:t>
            </w:r>
            <w:r w:rsidR="00B3216A" w:rsidRPr="006875AD">
              <w:t xml:space="preserve"> </w:t>
            </w:r>
            <w:r w:rsidRPr="006875AD">
              <w:t>Procedure;</w:t>
            </w:r>
          </w:p>
        </w:tc>
      </w:tr>
      <w:tr w:rsidR="0066375B" w:rsidRPr="006875AD" w:rsidTr="00A04D6A">
        <w:tc>
          <w:tcPr>
            <w:tcW w:w="1984" w:type="dxa"/>
            <w:shd w:val="clear" w:color="auto" w:fill="auto"/>
          </w:tcPr>
          <w:p w:rsidR="00D81DAD" w:rsidRDefault="0066375B" w:rsidP="00293635">
            <w:pPr>
              <w:pStyle w:val="GPSDefinitionTerm"/>
              <w:rPr>
                <w:rFonts w:eastAsia="SimSun"/>
                <w:spacing w:val="-3"/>
              </w:rPr>
            </w:pPr>
            <w:r w:rsidRPr="006875AD">
              <w:t>"Sub-Contract"</w:t>
            </w:r>
          </w:p>
        </w:tc>
        <w:tc>
          <w:tcPr>
            <w:tcW w:w="6237" w:type="dxa"/>
            <w:shd w:val="clear" w:color="auto" w:fill="auto"/>
          </w:tcPr>
          <w:p w:rsidR="00D81DAD" w:rsidRDefault="0066375B" w:rsidP="00293635">
            <w:pPr>
              <w:pStyle w:val="GPsDefinition"/>
              <w:rPr>
                <w:rFonts w:eastAsia="SimSun"/>
                <w:spacing w:val="-3"/>
              </w:rPr>
            </w:pPr>
            <w:r w:rsidRPr="006875AD">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66375B" w:rsidRPr="006875AD" w:rsidTr="00A04D6A">
        <w:tc>
          <w:tcPr>
            <w:tcW w:w="1984" w:type="dxa"/>
            <w:shd w:val="clear" w:color="auto" w:fill="auto"/>
          </w:tcPr>
          <w:p w:rsidR="00D81DAD" w:rsidRDefault="0066375B" w:rsidP="00293635">
            <w:pPr>
              <w:pStyle w:val="GPSDefinitionTerm"/>
            </w:pPr>
            <w:r w:rsidRPr="006875AD">
              <w:t>"Sub-Contractor"</w:t>
            </w:r>
          </w:p>
        </w:tc>
        <w:tc>
          <w:tcPr>
            <w:tcW w:w="6237" w:type="dxa"/>
            <w:shd w:val="clear" w:color="auto" w:fill="auto"/>
          </w:tcPr>
          <w:p w:rsidR="00D81DAD" w:rsidRDefault="0066375B" w:rsidP="00293635">
            <w:pPr>
              <w:pStyle w:val="GPsDefinition"/>
            </w:pPr>
            <w:r w:rsidRPr="006875AD">
              <w:t xml:space="preserve">means the third party from the list of sub-contractors in </w:t>
            </w:r>
            <w:r w:rsidRPr="006875AD">
              <w:lastRenderedPageBreak/>
              <w:t xml:space="preserve">Framework Schedule </w:t>
            </w:r>
            <w:r w:rsidR="00EA6CAB">
              <w:t>7</w:t>
            </w:r>
            <w:r w:rsidRPr="006875AD">
              <w:t> (</w:t>
            </w:r>
            <w:r w:rsidR="00EA6CAB">
              <w:t xml:space="preserve">Key </w:t>
            </w:r>
            <w:r w:rsidRPr="006875AD">
              <w:t>Sub-Contractors) or any third party engaged by the Supplier from time to time under a Sub-Contract permitted pursuant to this Framework Agreement;</w:t>
            </w:r>
          </w:p>
        </w:tc>
      </w:tr>
      <w:tr w:rsidR="00371AFF" w:rsidRPr="006875AD" w:rsidTr="00A04D6A">
        <w:tc>
          <w:tcPr>
            <w:tcW w:w="1984" w:type="dxa"/>
            <w:shd w:val="clear" w:color="auto" w:fill="auto"/>
          </w:tcPr>
          <w:p w:rsidR="00371AFF" w:rsidRPr="006875AD" w:rsidRDefault="00371AFF" w:rsidP="00293635">
            <w:pPr>
              <w:pStyle w:val="GPSDefinitionTerm"/>
            </w:pPr>
            <w:r>
              <w:lastRenderedPageBreak/>
              <w:t>“Supplementary Components”</w:t>
            </w:r>
          </w:p>
        </w:tc>
        <w:tc>
          <w:tcPr>
            <w:tcW w:w="6237" w:type="dxa"/>
            <w:shd w:val="clear" w:color="auto" w:fill="auto"/>
          </w:tcPr>
          <w:p w:rsidR="00371AFF" w:rsidRPr="006875AD" w:rsidRDefault="00371AFF" w:rsidP="00293635">
            <w:pPr>
              <w:pStyle w:val="GPsDefinition"/>
            </w:pPr>
            <w:r>
              <w:t>means those components set out in paragraph 1.2.3 of Part A of Schedule 2(Services and Key Performance Indicators);</w:t>
            </w:r>
          </w:p>
        </w:tc>
      </w:tr>
      <w:tr w:rsidR="00103F8B" w:rsidRPr="006875AD" w:rsidTr="00A04D6A">
        <w:tc>
          <w:tcPr>
            <w:tcW w:w="1984" w:type="dxa"/>
            <w:shd w:val="clear" w:color="auto" w:fill="auto"/>
          </w:tcPr>
          <w:p w:rsidR="00103F8B" w:rsidRPr="004106BC" w:rsidRDefault="00156907" w:rsidP="00293635">
            <w:pPr>
              <w:pStyle w:val="GPSDefinitionTerm"/>
            </w:pPr>
            <w:r w:rsidRPr="006875AD">
              <w:t>"</w:t>
            </w:r>
            <w:r w:rsidR="00103F8B" w:rsidRPr="004106BC">
              <w:t>Supplier</w:t>
            </w:r>
            <w:r w:rsidRPr="006875AD">
              <w:t>"</w:t>
            </w:r>
          </w:p>
        </w:tc>
        <w:tc>
          <w:tcPr>
            <w:tcW w:w="6237" w:type="dxa"/>
            <w:shd w:val="clear" w:color="auto" w:fill="auto"/>
          </w:tcPr>
          <w:p w:rsidR="00D81DAD" w:rsidRDefault="00103F8B" w:rsidP="00293635">
            <w:pPr>
              <w:pStyle w:val="GPsDefinition"/>
            </w:pPr>
            <w:r w:rsidRPr="006875AD">
              <w:t xml:space="preserve">means the person, firm or company stated in the preamble to this Framework Agreement; </w:t>
            </w:r>
          </w:p>
        </w:tc>
      </w:tr>
      <w:tr w:rsidR="00103F8B" w:rsidRPr="006875AD" w:rsidTr="00A04D6A">
        <w:tc>
          <w:tcPr>
            <w:tcW w:w="1984" w:type="dxa"/>
            <w:shd w:val="clear" w:color="auto" w:fill="auto"/>
          </w:tcPr>
          <w:p w:rsidR="00D81DAD" w:rsidRDefault="00156907" w:rsidP="00293635">
            <w:pPr>
              <w:pStyle w:val="GPSDefinitionTerm"/>
            </w:pPr>
            <w:r w:rsidRPr="006875AD">
              <w:t>"</w:t>
            </w:r>
            <w:r w:rsidR="00103F8B">
              <w:t>Supplier Action Plan</w:t>
            </w:r>
            <w:r w:rsidRPr="006875AD">
              <w:t>"</w:t>
            </w:r>
          </w:p>
        </w:tc>
        <w:tc>
          <w:tcPr>
            <w:tcW w:w="6237" w:type="dxa"/>
            <w:shd w:val="clear" w:color="auto" w:fill="auto"/>
          </w:tcPr>
          <w:p w:rsidR="00D81DAD" w:rsidRDefault="00103F8B"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66375B" w:rsidRPr="006875AD" w:rsidTr="00A04D6A">
        <w:tc>
          <w:tcPr>
            <w:tcW w:w="1984" w:type="dxa"/>
            <w:shd w:val="clear" w:color="auto" w:fill="auto"/>
          </w:tcPr>
          <w:p w:rsidR="00D81DAD" w:rsidRDefault="00156907" w:rsidP="00293635">
            <w:pPr>
              <w:pStyle w:val="GPSDefinitionTerm"/>
            </w:pPr>
            <w:r w:rsidRPr="006875AD">
              <w:t>"</w:t>
            </w:r>
            <w:r w:rsidR="00225FCA">
              <w:t>Supplier Personnel</w:t>
            </w:r>
            <w:r w:rsidRPr="006875AD">
              <w:t>"</w:t>
            </w:r>
          </w:p>
        </w:tc>
        <w:tc>
          <w:tcPr>
            <w:tcW w:w="6237" w:type="dxa"/>
            <w:shd w:val="clear" w:color="auto" w:fill="auto"/>
          </w:tcPr>
          <w:p w:rsidR="00B93455" w:rsidRDefault="00225FCA"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rsidR="00E86CA9">
              <w:t>s</w:t>
            </w:r>
            <w:r w:rsidR="00E86CA9" w:rsidRPr="006875AD">
              <w:t>ub</w:t>
            </w:r>
            <w:r w:rsidRPr="006875AD">
              <w:t>-</w:t>
            </w:r>
            <w:r w:rsidR="00E86CA9">
              <w:t>c</w:t>
            </w:r>
            <w:r w:rsidR="00E86CA9" w:rsidRPr="006875AD">
              <w:t>ontractors</w:t>
            </w:r>
            <w:r w:rsidRPr="006875AD">
              <w:t>) used in the performance of its obligations under this Framework Agreement or any Call Off Agreements;</w:t>
            </w:r>
          </w:p>
        </w:tc>
      </w:tr>
      <w:tr w:rsidR="0055061F" w:rsidRPr="006875AD" w:rsidTr="00A04D6A">
        <w:tc>
          <w:tcPr>
            <w:tcW w:w="1984" w:type="dxa"/>
            <w:shd w:val="clear" w:color="auto" w:fill="auto"/>
          </w:tcPr>
          <w:p w:rsidR="0055061F" w:rsidRPr="004106BC" w:rsidRDefault="0055061F" w:rsidP="00293635">
            <w:pPr>
              <w:pStyle w:val="GPSDefinitionTerm"/>
            </w:pPr>
            <w:r>
              <w:t>"Supplier Profit"</w:t>
            </w:r>
          </w:p>
        </w:tc>
        <w:tc>
          <w:tcPr>
            <w:tcW w:w="6237" w:type="dxa"/>
            <w:shd w:val="clear" w:color="auto" w:fill="auto"/>
          </w:tcPr>
          <w:p w:rsidR="0055061F" w:rsidRPr="006875AD" w:rsidRDefault="0055061F"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55061F" w:rsidRPr="006875AD" w:rsidTr="00A04D6A">
        <w:tc>
          <w:tcPr>
            <w:tcW w:w="1984" w:type="dxa"/>
            <w:shd w:val="clear" w:color="auto" w:fill="auto"/>
          </w:tcPr>
          <w:p w:rsidR="0055061F" w:rsidRPr="004106BC" w:rsidRDefault="0055061F" w:rsidP="00293635">
            <w:pPr>
              <w:pStyle w:val="GPSDefinitionTerm"/>
            </w:pPr>
            <w:r>
              <w:t>"Supplier Profit Margin"</w:t>
            </w:r>
          </w:p>
        </w:tc>
        <w:tc>
          <w:tcPr>
            <w:tcW w:w="6237" w:type="dxa"/>
            <w:shd w:val="clear" w:color="auto" w:fill="auto"/>
          </w:tcPr>
          <w:p w:rsidR="0055061F" w:rsidRPr="006875AD" w:rsidRDefault="0055061F" w:rsidP="00293635">
            <w:pPr>
              <w:pStyle w:val="GPsDefinition"/>
            </w:pPr>
            <w:r>
              <w:t>means, in relation to a period, the Supplier Profit for the relevant period divided by the total Charges over the same period in respect of any Call Off Agreements and expressed as a percentage;</w:t>
            </w:r>
          </w:p>
        </w:tc>
      </w:tr>
      <w:tr w:rsidR="0066375B" w:rsidRPr="006875AD" w:rsidTr="00A04D6A">
        <w:tc>
          <w:tcPr>
            <w:tcW w:w="1984" w:type="dxa"/>
            <w:shd w:val="clear" w:color="auto" w:fill="auto"/>
          </w:tcPr>
          <w:p w:rsidR="00D81DAD" w:rsidRDefault="0066375B" w:rsidP="00293635">
            <w:pPr>
              <w:pStyle w:val="GPSDefinitionTerm"/>
            </w:pPr>
            <w:r w:rsidRPr="004106BC">
              <w:t>"Supplier Representative"</w:t>
            </w:r>
          </w:p>
        </w:tc>
        <w:tc>
          <w:tcPr>
            <w:tcW w:w="6237" w:type="dxa"/>
            <w:shd w:val="clear" w:color="auto" w:fill="auto"/>
          </w:tcPr>
          <w:p w:rsidR="00D81DAD" w:rsidRDefault="0066375B" w:rsidP="00293635">
            <w:pPr>
              <w:pStyle w:val="GPsDefinition"/>
            </w:pPr>
            <w:r w:rsidRPr="006875AD">
              <w:t>means the representative appointed by the Supplier from time to time in relation to this Framework Agreement;</w:t>
            </w:r>
          </w:p>
        </w:tc>
      </w:tr>
      <w:tr w:rsidR="0066375B" w:rsidRPr="006875AD" w:rsidTr="00A04D6A">
        <w:tc>
          <w:tcPr>
            <w:tcW w:w="1984" w:type="dxa"/>
            <w:shd w:val="clear" w:color="auto" w:fill="auto"/>
          </w:tcPr>
          <w:p w:rsidR="00D81DAD" w:rsidRDefault="0066375B" w:rsidP="00293635">
            <w:pPr>
              <w:pStyle w:val="GPSDefinitionTerm"/>
            </w:pPr>
            <w:r w:rsidRPr="006875AD">
              <w:t>"Supplier's Confidential Information"</w:t>
            </w:r>
          </w:p>
        </w:tc>
        <w:tc>
          <w:tcPr>
            <w:tcW w:w="6237" w:type="dxa"/>
            <w:shd w:val="clear" w:color="auto" w:fill="auto"/>
          </w:tcPr>
          <w:p w:rsidR="00D81DAD" w:rsidRDefault="00D95C3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66375B" w:rsidRPr="006875AD" w:rsidTr="00A04D6A">
        <w:tc>
          <w:tcPr>
            <w:tcW w:w="1984" w:type="dxa"/>
            <w:shd w:val="clear" w:color="auto" w:fill="auto"/>
          </w:tcPr>
          <w:p w:rsidR="00D81DAD" w:rsidRDefault="00156907" w:rsidP="00293635">
            <w:pPr>
              <w:pStyle w:val="GPSDefinitionTerm"/>
            </w:pPr>
            <w:r w:rsidRPr="006875AD">
              <w:t>"</w:t>
            </w:r>
            <w:r w:rsidR="0066375B" w:rsidRPr="006875AD">
              <w:t>Template Call</w:t>
            </w:r>
            <w:r w:rsidR="00CF1F8A">
              <w:t xml:space="preserve"> </w:t>
            </w:r>
            <w:r w:rsidR="0066375B" w:rsidRPr="006875AD">
              <w:t>Off Terms"</w:t>
            </w:r>
          </w:p>
        </w:tc>
        <w:tc>
          <w:tcPr>
            <w:tcW w:w="6237" w:type="dxa"/>
            <w:shd w:val="clear" w:color="auto" w:fill="auto"/>
          </w:tcPr>
          <w:p w:rsidR="00B93455" w:rsidRDefault="0066375B" w:rsidP="00293635">
            <w:pPr>
              <w:pStyle w:val="GPsDefinition"/>
            </w:pPr>
            <w:r w:rsidRPr="006875AD">
              <w:t xml:space="preserve">means the template terms and conditions in </w:t>
            </w:r>
            <w:r w:rsidR="00E86CA9">
              <w:t>Annex</w:t>
            </w:r>
            <w:r w:rsidR="00E86CA9" w:rsidRPr="006875AD">
              <w:t> </w:t>
            </w:r>
            <w:r w:rsidRPr="006875AD">
              <w:t xml:space="preserve">2 </w:t>
            </w:r>
            <w:r w:rsidR="00E86CA9">
              <w:t>to</w:t>
            </w:r>
            <w:r w:rsidR="00E86CA9" w:rsidRPr="006875AD">
              <w:t xml:space="preserve"> </w:t>
            </w:r>
            <w:r w:rsidRPr="006875AD">
              <w:t>Framework Schedule 4 (Template Order Form and Template Call</w:t>
            </w:r>
            <w:r w:rsidR="00CF1F8A">
              <w:t xml:space="preserve"> </w:t>
            </w:r>
            <w:r w:rsidRPr="006875AD">
              <w:t>Off terms);</w:t>
            </w:r>
          </w:p>
        </w:tc>
      </w:tr>
      <w:tr w:rsidR="0066375B" w:rsidRPr="006875AD" w:rsidTr="00A04D6A">
        <w:tc>
          <w:tcPr>
            <w:tcW w:w="1984" w:type="dxa"/>
            <w:shd w:val="clear" w:color="auto" w:fill="auto"/>
          </w:tcPr>
          <w:p w:rsidR="00D81DAD" w:rsidRDefault="0066375B" w:rsidP="00293635">
            <w:pPr>
              <w:pStyle w:val="GPSDefinitionTerm"/>
            </w:pPr>
            <w:r w:rsidRPr="006875AD">
              <w:t>"Template Order Form"</w:t>
            </w:r>
          </w:p>
        </w:tc>
        <w:tc>
          <w:tcPr>
            <w:tcW w:w="6237" w:type="dxa"/>
            <w:shd w:val="clear" w:color="auto" w:fill="auto"/>
          </w:tcPr>
          <w:p w:rsidR="00B93455" w:rsidRDefault="0066375B" w:rsidP="00293635">
            <w:pPr>
              <w:pStyle w:val="GPsDefinition"/>
            </w:pPr>
            <w:r w:rsidRPr="006875AD">
              <w:t xml:space="preserve">means the template form in </w:t>
            </w:r>
            <w:r w:rsidR="00E86CA9">
              <w:t xml:space="preserve">Annex </w:t>
            </w:r>
            <w:r w:rsidRPr="006875AD">
              <w:t xml:space="preserve">1 </w:t>
            </w:r>
            <w:r w:rsidR="00E86CA9">
              <w:t>t</w:t>
            </w:r>
            <w:r w:rsidRPr="006875AD">
              <w:t>o Framework Schedule 4 (Template Order Form and Template Call</w:t>
            </w:r>
            <w:r w:rsidR="00CF1F8A">
              <w:t xml:space="preserve"> </w:t>
            </w:r>
            <w:r w:rsidRPr="006875AD">
              <w:t>Off terms);</w:t>
            </w:r>
          </w:p>
        </w:tc>
      </w:tr>
      <w:tr w:rsidR="00103F8B" w:rsidRPr="006875AD" w:rsidTr="00A04D6A">
        <w:tc>
          <w:tcPr>
            <w:tcW w:w="1984" w:type="dxa"/>
            <w:shd w:val="clear" w:color="auto" w:fill="auto"/>
          </w:tcPr>
          <w:p w:rsidR="00D81DAD" w:rsidRDefault="00156907" w:rsidP="00293635">
            <w:pPr>
              <w:pStyle w:val="GPSDefinitionTerm"/>
            </w:pPr>
            <w:r w:rsidRPr="006875AD">
              <w:t>"</w:t>
            </w:r>
            <w:r w:rsidR="00103F8B" w:rsidRPr="006875AD">
              <w:t>Tender</w:t>
            </w:r>
            <w:r w:rsidRPr="006875AD">
              <w:t>"</w:t>
            </w:r>
          </w:p>
        </w:tc>
        <w:tc>
          <w:tcPr>
            <w:tcW w:w="6237" w:type="dxa"/>
            <w:shd w:val="clear" w:color="auto" w:fill="auto"/>
          </w:tcPr>
          <w:p w:rsidR="00D81DAD" w:rsidRDefault="00103F8B" w:rsidP="00505AE7">
            <w:pPr>
              <w:pStyle w:val="GPsDefinition"/>
            </w:pPr>
            <w:r w:rsidRPr="006875AD">
              <w:t xml:space="preserve">means the tender submitted by the Supplier to the Authority on </w:t>
            </w:r>
            <w:r w:rsidR="00505AE7">
              <w:t xml:space="preserve">15 July 2014 </w:t>
            </w:r>
            <w:r w:rsidRPr="006875AD">
              <w:t xml:space="preserve">, a copy of which is set out in Framework </w:t>
            </w:r>
            <w:r w:rsidRPr="006875AD">
              <w:lastRenderedPageBreak/>
              <w:t xml:space="preserve">Schedule </w:t>
            </w:r>
            <w:r w:rsidR="007C6448">
              <w:t>20</w:t>
            </w:r>
            <w:r w:rsidRPr="006875AD">
              <w:t xml:space="preserve"> (Tender);</w:t>
            </w:r>
          </w:p>
        </w:tc>
      </w:tr>
      <w:tr w:rsidR="0066375B" w:rsidRPr="006875AD" w:rsidTr="00A04D6A">
        <w:tc>
          <w:tcPr>
            <w:tcW w:w="1984" w:type="dxa"/>
            <w:shd w:val="clear" w:color="auto" w:fill="auto"/>
          </w:tcPr>
          <w:p w:rsidR="00F20C99" w:rsidRDefault="00156907" w:rsidP="00293635">
            <w:pPr>
              <w:pStyle w:val="GPSDefinitionTerm"/>
            </w:pPr>
            <w:r w:rsidRPr="006875AD">
              <w:lastRenderedPageBreak/>
              <w:t>"</w:t>
            </w:r>
            <w:r w:rsidR="00051DA2">
              <w:t>Termination Notice</w:t>
            </w:r>
            <w:r w:rsidRPr="006875AD">
              <w:t>"</w:t>
            </w:r>
          </w:p>
        </w:tc>
        <w:tc>
          <w:tcPr>
            <w:tcW w:w="6237" w:type="dxa"/>
            <w:shd w:val="clear" w:color="auto" w:fill="auto"/>
          </w:tcPr>
          <w:p w:rsidR="00D81DAD" w:rsidRDefault="00635BC6"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3A1391" w:rsidRPr="006875AD" w:rsidTr="00A04D6A">
        <w:tc>
          <w:tcPr>
            <w:tcW w:w="1984" w:type="dxa"/>
            <w:shd w:val="clear" w:color="auto" w:fill="auto"/>
          </w:tcPr>
          <w:p w:rsidR="003A1391" w:rsidRDefault="00156907" w:rsidP="00293635">
            <w:pPr>
              <w:pStyle w:val="GPSDefinitionTerm"/>
            </w:pPr>
            <w:r w:rsidRPr="006875AD">
              <w:t>"</w:t>
            </w:r>
            <w:r w:rsidR="003A1391" w:rsidRPr="006875AD">
              <w:t>TUPE</w:t>
            </w:r>
            <w:r w:rsidRPr="006875AD">
              <w:t>"</w:t>
            </w:r>
          </w:p>
        </w:tc>
        <w:tc>
          <w:tcPr>
            <w:tcW w:w="6237" w:type="dxa"/>
            <w:shd w:val="clear" w:color="auto" w:fill="auto"/>
          </w:tcPr>
          <w:p w:rsidR="003A1391" w:rsidRDefault="003A1391"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E11055" w:rsidRPr="006875AD" w:rsidTr="00A04D6A">
        <w:tc>
          <w:tcPr>
            <w:tcW w:w="1984" w:type="dxa"/>
            <w:shd w:val="clear" w:color="auto" w:fill="auto"/>
          </w:tcPr>
          <w:p w:rsidR="00E11055" w:rsidRDefault="00156907" w:rsidP="00293635">
            <w:pPr>
              <w:pStyle w:val="GPSDefinitionTerm"/>
            </w:pPr>
            <w:r w:rsidRPr="006875AD">
              <w:t>"</w:t>
            </w:r>
            <w:r w:rsidR="00E11055">
              <w:t>Variation</w:t>
            </w:r>
            <w:r w:rsidRPr="006875AD">
              <w:t>"</w:t>
            </w:r>
          </w:p>
        </w:tc>
        <w:tc>
          <w:tcPr>
            <w:tcW w:w="6237" w:type="dxa"/>
            <w:shd w:val="clear" w:color="auto" w:fill="auto"/>
          </w:tcPr>
          <w:p w:rsidR="00E11055" w:rsidRDefault="00E11055" w:rsidP="00293635">
            <w:pPr>
              <w:pStyle w:val="GPsDefinition"/>
            </w:pPr>
            <w:r>
              <w:t>has the meaning given to it in Clause 16.1.1 (Variation Procedure);</w:t>
            </w:r>
          </w:p>
        </w:tc>
      </w:tr>
      <w:tr w:rsidR="003A1391" w:rsidRPr="006875AD" w:rsidTr="00A04D6A">
        <w:tc>
          <w:tcPr>
            <w:tcW w:w="1984" w:type="dxa"/>
            <w:shd w:val="clear" w:color="auto" w:fill="auto"/>
          </w:tcPr>
          <w:p w:rsidR="00B93455" w:rsidRDefault="00156907" w:rsidP="00293635">
            <w:pPr>
              <w:pStyle w:val="GPSDefinitionTerm"/>
            </w:pPr>
            <w:r w:rsidRPr="006875AD">
              <w:t>"</w:t>
            </w:r>
            <w:r w:rsidR="003A1391">
              <w:t>Variation</w:t>
            </w:r>
            <w:r w:rsidR="00E11055">
              <w:t xml:space="preserve"> Form</w:t>
            </w:r>
            <w:r w:rsidRPr="006875AD">
              <w:t>"</w:t>
            </w:r>
          </w:p>
        </w:tc>
        <w:tc>
          <w:tcPr>
            <w:tcW w:w="6237" w:type="dxa"/>
            <w:shd w:val="clear" w:color="auto" w:fill="auto"/>
          </w:tcPr>
          <w:p w:rsidR="00B93455" w:rsidRDefault="003A1391" w:rsidP="007C6448">
            <w:pPr>
              <w:pStyle w:val="GPsDefinition"/>
            </w:pPr>
            <w:r>
              <w:t>mean</w:t>
            </w:r>
            <w:r w:rsidR="00E11055">
              <w:t xml:space="preserve">s the form that will be completed and signed by the Parties to effect a Variation which shall be in the form set out in Framework Schedule </w:t>
            </w:r>
            <w:r w:rsidR="007C6448">
              <w:t>19</w:t>
            </w:r>
            <w:r w:rsidR="00E11055">
              <w:t xml:space="preserve"> (Variation Form)</w:t>
            </w:r>
            <w:r>
              <w:t>;</w:t>
            </w:r>
          </w:p>
        </w:tc>
      </w:tr>
      <w:tr w:rsidR="0066375B" w:rsidRPr="006875AD" w:rsidTr="00A04D6A">
        <w:tc>
          <w:tcPr>
            <w:tcW w:w="1984" w:type="dxa"/>
            <w:shd w:val="clear" w:color="auto" w:fill="auto"/>
          </w:tcPr>
          <w:p w:rsidR="00B93455" w:rsidRDefault="00156907" w:rsidP="00293635">
            <w:pPr>
              <w:pStyle w:val="GPSDefinitionTerm"/>
            </w:pPr>
            <w:r w:rsidRPr="006875AD">
              <w:t>"</w:t>
            </w:r>
            <w:r w:rsidR="003A1391">
              <w:t>Variation Procedure</w:t>
            </w:r>
            <w:r w:rsidRPr="006875AD">
              <w:t>"</w:t>
            </w:r>
          </w:p>
        </w:tc>
        <w:tc>
          <w:tcPr>
            <w:tcW w:w="6237" w:type="dxa"/>
            <w:shd w:val="clear" w:color="auto" w:fill="auto"/>
          </w:tcPr>
          <w:p w:rsidR="00B93455" w:rsidRDefault="003A1391" w:rsidP="00293635">
            <w:pPr>
              <w:pStyle w:val="GPsDefinition"/>
            </w:pPr>
            <w:r>
              <w:t>means the procedure for carrying out a Variation as set out in Clause 16.1 (Variation Procedure)</w:t>
            </w:r>
            <w:r w:rsidR="0066375B" w:rsidRPr="006875AD">
              <w:t>;</w:t>
            </w:r>
          </w:p>
        </w:tc>
      </w:tr>
      <w:tr w:rsidR="0066375B" w:rsidRPr="006875AD" w:rsidTr="00A04D6A">
        <w:tc>
          <w:tcPr>
            <w:tcW w:w="1984" w:type="dxa"/>
            <w:shd w:val="clear" w:color="auto" w:fill="auto"/>
          </w:tcPr>
          <w:p w:rsidR="00D81DAD" w:rsidRDefault="0066375B" w:rsidP="00293635">
            <w:pPr>
              <w:pStyle w:val="GPSDefinitionTerm"/>
            </w:pPr>
            <w:r w:rsidRPr="006875AD">
              <w:t>"VAT"</w:t>
            </w:r>
          </w:p>
        </w:tc>
        <w:tc>
          <w:tcPr>
            <w:tcW w:w="6237" w:type="dxa"/>
            <w:shd w:val="clear" w:color="auto" w:fill="auto"/>
          </w:tcPr>
          <w:p w:rsidR="00D81DAD" w:rsidRDefault="0066375B" w:rsidP="00293635">
            <w:pPr>
              <w:pStyle w:val="GPsDefinition"/>
            </w:pPr>
            <w:r w:rsidRPr="006875AD">
              <w:t xml:space="preserve">means value added tax in accordance with the provisions of the Value Added Tax Act 1994; </w:t>
            </w:r>
          </w:p>
        </w:tc>
      </w:tr>
      <w:tr w:rsidR="0066375B" w:rsidRPr="006875AD" w:rsidTr="00A04D6A">
        <w:tc>
          <w:tcPr>
            <w:tcW w:w="1984" w:type="dxa"/>
            <w:shd w:val="clear" w:color="auto" w:fill="auto"/>
          </w:tcPr>
          <w:p w:rsidR="00D81DAD" w:rsidRDefault="0066375B" w:rsidP="00293635">
            <w:pPr>
              <w:pStyle w:val="GPSDefinitionTerm"/>
            </w:pPr>
            <w:r w:rsidRPr="006875AD">
              <w:t>"Working Days"</w:t>
            </w:r>
          </w:p>
        </w:tc>
        <w:tc>
          <w:tcPr>
            <w:tcW w:w="6237" w:type="dxa"/>
            <w:shd w:val="clear" w:color="auto" w:fill="auto"/>
          </w:tcPr>
          <w:p w:rsidR="00D81DAD" w:rsidRDefault="0066375B" w:rsidP="00293635">
            <w:pPr>
              <w:pStyle w:val="GPsDefinition"/>
            </w:pPr>
            <w:r w:rsidRPr="006875AD">
              <w:t>means any day other than a Saturday, Sunday or public holiday in England and Wales.</w:t>
            </w:r>
          </w:p>
        </w:tc>
      </w:tr>
    </w:tbl>
    <w:p w:rsidR="00F20C99" w:rsidRDefault="00D86990" w:rsidP="00F20C99">
      <w:pPr>
        <w:pStyle w:val="GPSSchTitleandNumber"/>
      </w:pPr>
      <w:bookmarkStart w:id="691" w:name="_Toc348691020"/>
      <w:bookmarkStart w:id="692" w:name="_Toc348691021"/>
      <w:r>
        <w:br w:type="page"/>
      </w:r>
      <w:bookmarkStart w:id="693" w:name="_Toc348637166"/>
      <w:bookmarkStart w:id="694" w:name="_Toc366085181"/>
      <w:bookmarkStart w:id="695" w:name="_Toc379488074"/>
      <w:bookmarkStart w:id="696" w:name="_Toc380052178"/>
      <w:bookmarkStart w:id="697" w:name="_Toc380052688"/>
      <w:bookmarkStart w:id="698" w:name="_Toc391545373"/>
      <w:bookmarkEnd w:id="691"/>
      <w:bookmarkEnd w:id="692"/>
      <w:bookmarkEnd w:id="693"/>
      <w:r w:rsidR="00B16D45" w:rsidRPr="00B16D45">
        <w:lastRenderedPageBreak/>
        <w:t>FRAMEWORK SCHEDULE 2: SERVICES and Key Performance Indicators</w:t>
      </w:r>
      <w:bookmarkEnd w:id="694"/>
      <w:bookmarkEnd w:id="695"/>
      <w:bookmarkEnd w:id="696"/>
      <w:bookmarkEnd w:id="697"/>
      <w:bookmarkEnd w:id="698"/>
    </w:p>
    <w:p w:rsidR="00F20C99" w:rsidRDefault="00B16D45" w:rsidP="002E61F2">
      <w:pPr>
        <w:pStyle w:val="GPSL1SCHEDULEHeading"/>
      </w:pPr>
      <w:r w:rsidRPr="00B16D45">
        <w:t>GENERAL</w:t>
      </w:r>
    </w:p>
    <w:p w:rsidR="00F20C99" w:rsidRDefault="00B16D45" w:rsidP="002E61F2">
      <w:pPr>
        <w:pStyle w:val="GPSL2Numbered"/>
      </w:pPr>
      <w:bookmarkStart w:id="699" w:name="_Ref361666370"/>
      <w:r w:rsidRPr="002B5109">
        <w:t xml:space="preserve">The purpose of this Framework Schedule </w:t>
      </w:r>
      <w:r>
        <w:t>2</w:t>
      </w:r>
      <w:r w:rsidRPr="002B5109">
        <w:t xml:space="preserve"> </w:t>
      </w:r>
      <w:r w:rsidR="00F752DD">
        <w:t>(</w:t>
      </w:r>
      <w:r w:rsidRPr="002B5109">
        <w:t>Services and Key Perform</w:t>
      </w:r>
      <w:r>
        <w:t xml:space="preserve">ance Indicators) is to set out the scope of </w:t>
      </w:r>
      <w:r w:rsidRPr="002B5109">
        <w:t xml:space="preserve">the Services that the Supplier </w:t>
      </w:r>
      <w:r w:rsidR="00BA4FE2">
        <w:t>shall</w:t>
      </w:r>
      <w:r w:rsidRPr="002B5109">
        <w:t xml:space="preserve"> make available to all Contracting Bodies under </w:t>
      </w:r>
      <w:r w:rsidR="00F7417A" w:rsidRPr="002B5109">
        <w:t>th</w:t>
      </w:r>
      <w:r w:rsidR="00F7417A">
        <w:t>is</w:t>
      </w:r>
      <w:r w:rsidR="00F7417A" w:rsidRPr="002B5109">
        <w:t xml:space="preserve"> </w:t>
      </w:r>
      <w:r w:rsidRPr="002B5109">
        <w:t>Framework Agreement and</w:t>
      </w:r>
      <w:r>
        <w:t xml:space="preserve"> to provide a description of what the Services entail together with</w:t>
      </w:r>
      <w:r w:rsidRPr="002B5109">
        <w:t xml:space="preserve"> any specific Standards applicable to the Services.</w:t>
      </w:r>
      <w:bookmarkEnd w:id="699"/>
    </w:p>
    <w:p w:rsidR="006E57DF" w:rsidRPr="006E57DF" w:rsidRDefault="006E57DF" w:rsidP="006E57DF">
      <w:pPr>
        <w:pStyle w:val="GPSL2Numbered"/>
        <w:rPr>
          <w:b/>
        </w:rPr>
      </w:pPr>
      <w:r w:rsidRPr="006E57DF">
        <w:t>The Services are available in each of three Lots.  The Lots are defined by size of implementation rather than technology deployed as follows:</w:t>
      </w:r>
    </w:p>
    <w:p w:rsidR="006E57DF" w:rsidRPr="006E57DF" w:rsidRDefault="006E57DF" w:rsidP="006E57DF">
      <w:pPr>
        <w:pStyle w:val="GPSL3numberedclause"/>
        <w:rPr>
          <w:b/>
        </w:rPr>
      </w:pPr>
      <w:r>
        <w:t xml:space="preserve"> Lot Structure Table:</w:t>
      </w:r>
    </w:p>
    <w:tbl>
      <w:tblPr>
        <w:tblW w:w="0" w:type="auto"/>
        <w:jc w:val="righ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7294"/>
      </w:tblGrid>
      <w:tr w:rsidR="006E57DF" w:rsidRPr="00B60231" w:rsidTr="00BF1041">
        <w:trPr>
          <w:trHeight w:val="397"/>
          <w:tblHeader/>
          <w:jc w:val="right"/>
        </w:trPr>
        <w:tc>
          <w:tcPr>
            <w:tcW w:w="1069" w:type="dxa"/>
            <w:shd w:val="pct12" w:color="auto" w:fill="auto"/>
          </w:tcPr>
          <w:p w:rsidR="006E57DF" w:rsidRPr="00B60231" w:rsidRDefault="006E57DF" w:rsidP="00BF1041">
            <w:pPr>
              <w:spacing w:before="60" w:after="60"/>
              <w:jc w:val="center"/>
              <w:rPr>
                <w:b/>
              </w:rPr>
            </w:pPr>
            <w:r w:rsidRPr="00B60231">
              <w:rPr>
                <w:b/>
              </w:rPr>
              <w:t>LOT</w:t>
            </w:r>
          </w:p>
        </w:tc>
        <w:tc>
          <w:tcPr>
            <w:tcW w:w="7294" w:type="dxa"/>
            <w:shd w:val="pct12" w:color="auto" w:fill="auto"/>
          </w:tcPr>
          <w:p w:rsidR="006E57DF" w:rsidRPr="00B60231" w:rsidRDefault="006E57DF" w:rsidP="00BF1041">
            <w:pPr>
              <w:spacing w:before="60" w:after="60"/>
              <w:jc w:val="center"/>
              <w:rPr>
                <w:b/>
              </w:rPr>
            </w:pPr>
            <w:r w:rsidRPr="00B60231">
              <w:rPr>
                <w:b/>
              </w:rPr>
              <w:t>DESCRIPTION</w:t>
            </w:r>
          </w:p>
        </w:tc>
      </w:tr>
      <w:tr w:rsidR="006E57DF" w:rsidRPr="00B60231" w:rsidTr="00BF1041">
        <w:trPr>
          <w:trHeight w:val="397"/>
          <w:jc w:val="right"/>
        </w:trPr>
        <w:tc>
          <w:tcPr>
            <w:tcW w:w="1069" w:type="dxa"/>
            <w:vAlign w:val="center"/>
          </w:tcPr>
          <w:p w:rsidR="006E57DF" w:rsidRPr="00B60231" w:rsidRDefault="006E57DF" w:rsidP="00BF1041">
            <w:pPr>
              <w:spacing w:before="60" w:after="60"/>
              <w:jc w:val="center"/>
            </w:pPr>
            <w:r w:rsidRPr="00B60231">
              <w:t>Lot 1</w:t>
            </w:r>
          </w:p>
        </w:tc>
        <w:tc>
          <w:tcPr>
            <w:tcW w:w="7294" w:type="dxa"/>
          </w:tcPr>
          <w:p w:rsidR="006E57DF" w:rsidRPr="00B60231" w:rsidRDefault="006E57DF" w:rsidP="00BF1041">
            <w:pPr>
              <w:spacing w:before="60" w:after="60"/>
            </w:pPr>
            <w:r w:rsidRPr="00B60231">
              <w:t>Small Volume Email Implementation (0-9999 Mailboxes)</w:t>
            </w:r>
          </w:p>
        </w:tc>
      </w:tr>
      <w:tr w:rsidR="006E57DF" w:rsidRPr="00B60231" w:rsidTr="00BF1041">
        <w:trPr>
          <w:trHeight w:val="397"/>
          <w:jc w:val="right"/>
        </w:trPr>
        <w:tc>
          <w:tcPr>
            <w:tcW w:w="1069" w:type="dxa"/>
            <w:vAlign w:val="center"/>
          </w:tcPr>
          <w:p w:rsidR="006E57DF" w:rsidRPr="00B60231" w:rsidRDefault="006E57DF" w:rsidP="00BF1041">
            <w:pPr>
              <w:spacing w:before="60" w:after="60"/>
              <w:jc w:val="center"/>
            </w:pPr>
            <w:r w:rsidRPr="00B60231">
              <w:t>Lot 2</w:t>
            </w:r>
          </w:p>
        </w:tc>
        <w:tc>
          <w:tcPr>
            <w:tcW w:w="7294" w:type="dxa"/>
          </w:tcPr>
          <w:p w:rsidR="006E57DF" w:rsidRPr="00B60231" w:rsidRDefault="006E57DF" w:rsidP="003C391E">
            <w:pPr>
              <w:spacing w:before="60" w:after="60"/>
            </w:pPr>
            <w:r w:rsidRPr="00B60231">
              <w:t>Medium Volume Email Implementation (between 10000 and 99999 Mailboxes)</w:t>
            </w:r>
          </w:p>
        </w:tc>
      </w:tr>
      <w:tr w:rsidR="006E57DF" w:rsidRPr="00B60231" w:rsidTr="00BF1041">
        <w:trPr>
          <w:trHeight w:val="397"/>
          <w:jc w:val="right"/>
        </w:trPr>
        <w:tc>
          <w:tcPr>
            <w:tcW w:w="1069" w:type="dxa"/>
            <w:vAlign w:val="center"/>
          </w:tcPr>
          <w:p w:rsidR="006E57DF" w:rsidRPr="00B60231" w:rsidRDefault="006E57DF" w:rsidP="00BF1041">
            <w:pPr>
              <w:spacing w:before="60" w:after="60"/>
              <w:jc w:val="center"/>
            </w:pPr>
            <w:r w:rsidRPr="00B60231">
              <w:t>Lot 3</w:t>
            </w:r>
          </w:p>
        </w:tc>
        <w:tc>
          <w:tcPr>
            <w:tcW w:w="7294" w:type="dxa"/>
          </w:tcPr>
          <w:p w:rsidR="006E57DF" w:rsidRPr="00B60231" w:rsidRDefault="006E57DF" w:rsidP="003C391E">
            <w:pPr>
              <w:spacing w:before="60" w:after="60"/>
            </w:pPr>
            <w:r w:rsidRPr="00B60231">
              <w:t>Large Volume Email Implementation (100000+ Mailboxes)</w:t>
            </w:r>
          </w:p>
        </w:tc>
      </w:tr>
    </w:tbl>
    <w:p w:rsidR="006E57DF" w:rsidRDefault="006E57DF" w:rsidP="006E57DF">
      <w:pPr>
        <w:pStyle w:val="GPSL3numberedclause"/>
      </w:pPr>
      <w:r>
        <w:t xml:space="preserve"> Lot 1 Description:</w:t>
      </w:r>
    </w:p>
    <w:p w:rsidR="006E57DF" w:rsidRDefault="006E57DF" w:rsidP="006E57DF">
      <w:pPr>
        <w:pStyle w:val="GPSL4numberedclause"/>
      </w:pPr>
      <w:r>
        <w:t xml:space="preserve">Lot 1 will service Orders from Contracting Bodies that have a requirement for a Core Component that will deliver Services of up to and including 9,999 </w:t>
      </w:r>
      <w:r w:rsidR="00B81364">
        <w:t>Mailbox</w:t>
      </w:r>
      <w:r>
        <w:t>es.</w:t>
      </w:r>
    </w:p>
    <w:p w:rsidR="006E57DF" w:rsidRDefault="006E57DF" w:rsidP="006E57DF">
      <w:pPr>
        <w:pStyle w:val="GPSL3numberedclause"/>
      </w:pPr>
      <w:r>
        <w:t xml:space="preserve"> Lot 2 Description:</w:t>
      </w:r>
    </w:p>
    <w:p w:rsidR="006E57DF" w:rsidRDefault="006E57DF" w:rsidP="006E57DF">
      <w:pPr>
        <w:pStyle w:val="GPSL4numberedclause"/>
      </w:pPr>
      <w:r>
        <w:t xml:space="preserve">Lot 2 will service Orders from Contracting Bodies that have a requirement for a Core Component that will deliver Services of between 10,000 and up to and including 99,999 </w:t>
      </w:r>
      <w:r w:rsidR="00B81364">
        <w:t>Mailbox</w:t>
      </w:r>
      <w:r>
        <w:t>es.</w:t>
      </w:r>
    </w:p>
    <w:p w:rsidR="006E57DF" w:rsidRDefault="006E57DF" w:rsidP="006E57DF">
      <w:pPr>
        <w:pStyle w:val="GPSL3numberedclause"/>
      </w:pPr>
      <w:r>
        <w:t xml:space="preserve"> Lot 3 Description:</w:t>
      </w:r>
    </w:p>
    <w:p w:rsidR="006E57DF" w:rsidRDefault="006E57DF" w:rsidP="006E57DF">
      <w:pPr>
        <w:pStyle w:val="GPSL4numberedclause"/>
      </w:pPr>
      <w:r>
        <w:t xml:space="preserve">Lot 3 will service Orders from Contracting Bodies that have a requirement for a Core Component that will deliver Services of more than 100,000 </w:t>
      </w:r>
      <w:r w:rsidR="00B81364">
        <w:t>Mailbox</w:t>
      </w:r>
      <w:r>
        <w:t>es.</w:t>
      </w:r>
    </w:p>
    <w:p w:rsidR="00BD007A" w:rsidRPr="00BD007A" w:rsidRDefault="000E07BE" w:rsidP="00BD007A">
      <w:pPr>
        <w:pStyle w:val="GPSL2NumberedBoldHeading"/>
        <w:rPr>
          <w:b w:val="0"/>
        </w:rPr>
      </w:pPr>
      <w:r w:rsidRPr="00BD007A">
        <w:rPr>
          <w:b w:val="0"/>
        </w:rPr>
        <w:t xml:space="preserve">The Supplier has been appointed </w:t>
      </w:r>
      <w:r>
        <w:rPr>
          <w:b w:val="0"/>
        </w:rPr>
        <w:t xml:space="preserve">to the Lots as specified in Clause 2.1 (Supplier’s Appointment) of </w:t>
      </w:r>
      <w:r w:rsidRPr="00BD007A">
        <w:rPr>
          <w:b w:val="0"/>
        </w:rPr>
        <w:t>this Framework Agreement</w:t>
      </w:r>
      <w:r w:rsidR="00BD007A" w:rsidRPr="00BD007A">
        <w:rPr>
          <w:b w:val="0"/>
        </w:rPr>
        <w:t>.</w:t>
      </w:r>
    </w:p>
    <w:p w:rsidR="00030C40" w:rsidRDefault="00BD007A" w:rsidP="00BD007A">
      <w:pPr>
        <w:pStyle w:val="GPSL2NumberedBoldHeading"/>
        <w:rPr>
          <w:b w:val="0"/>
        </w:rPr>
      </w:pPr>
      <w:r w:rsidRPr="00BD007A">
        <w:rPr>
          <w:b w:val="0"/>
        </w:rPr>
        <w:t>This</w:t>
      </w:r>
      <w:r>
        <w:rPr>
          <w:b w:val="0"/>
        </w:rPr>
        <w:t xml:space="preserve"> Framework Schedule 2 </w:t>
      </w:r>
      <w:r w:rsidR="00B142F4">
        <w:rPr>
          <w:b w:val="0"/>
        </w:rPr>
        <w:t xml:space="preserve">(Services and Key Performance Indicators) </w:t>
      </w:r>
      <w:r>
        <w:rPr>
          <w:b w:val="0"/>
        </w:rPr>
        <w:t>comprises the following parts:</w:t>
      </w:r>
    </w:p>
    <w:p w:rsidR="00BD007A" w:rsidRDefault="00BD007A" w:rsidP="00BD007A">
      <w:pPr>
        <w:pStyle w:val="GPSL3numberedclause"/>
      </w:pPr>
      <w:r>
        <w:t xml:space="preserve">Part A – </w:t>
      </w:r>
      <w:r w:rsidR="00DC21AC">
        <w:t xml:space="preserve">Requirements for </w:t>
      </w:r>
      <w:r>
        <w:t>Services</w:t>
      </w:r>
    </w:p>
    <w:p w:rsidR="00BD007A" w:rsidRDefault="00BD007A" w:rsidP="00BD007A">
      <w:pPr>
        <w:pStyle w:val="GPSL4numberedclause"/>
      </w:pPr>
      <w:r>
        <w:t xml:space="preserve">Part A </w:t>
      </w:r>
      <w:r w:rsidR="007D52DA">
        <w:t>sets out</w:t>
      </w:r>
      <w:r>
        <w:t xml:space="preserve"> the </w:t>
      </w:r>
      <w:r w:rsidR="00DC21AC">
        <w:t xml:space="preserve">Authority’s requirements for the </w:t>
      </w:r>
      <w:r>
        <w:t>Services;</w:t>
      </w:r>
    </w:p>
    <w:p w:rsidR="00DC21AC" w:rsidRDefault="00DC21AC" w:rsidP="00DC21AC">
      <w:pPr>
        <w:pStyle w:val="GPSL3numberedclause"/>
      </w:pPr>
      <w:r>
        <w:t>Part B – Supplier Services</w:t>
      </w:r>
    </w:p>
    <w:p w:rsidR="00DC21AC" w:rsidRDefault="00DC21AC" w:rsidP="00DC21AC">
      <w:pPr>
        <w:pStyle w:val="GPSL4numberedclause"/>
      </w:pPr>
      <w:r>
        <w:t xml:space="preserve">Part B </w:t>
      </w:r>
      <w:r w:rsidR="007D52DA">
        <w:t>sets out</w:t>
      </w:r>
      <w:r>
        <w:t xml:space="preserve"> the Supplier’s detailed descriptions of the Services that meet the requirements set out by the Authority in Part A;</w:t>
      </w:r>
    </w:p>
    <w:p w:rsidR="00BD007A" w:rsidRDefault="00DC21AC" w:rsidP="00BD007A">
      <w:pPr>
        <w:pStyle w:val="GPSL3numberedclause"/>
      </w:pPr>
      <w:r>
        <w:t>Part C</w:t>
      </w:r>
      <w:r w:rsidR="00BD007A">
        <w:t xml:space="preserve"> – Mandatory Service Package Requirement</w:t>
      </w:r>
    </w:p>
    <w:p w:rsidR="00BD007A" w:rsidRDefault="00DC21AC" w:rsidP="00BD007A">
      <w:pPr>
        <w:pStyle w:val="GPSL4numberedclause"/>
      </w:pPr>
      <w:r>
        <w:lastRenderedPageBreak/>
        <w:t>Part C</w:t>
      </w:r>
      <w:r w:rsidR="00BD007A">
        <w:t xml:space="preserve"> </w:t>
      </w:r>
      <w:r w:rsidR="007D52DA">
        <w:t>sets out</w:t>
      </w:r>
      <w:r w:rsidR="00BD007A">
        <w:t xml:space="preserve"> the </w:t>
      </w:r>
      <w:r w:rsidR="007D52DA">
        <w:t xml:space="preserve">Authority’s </w:t>
      </w:r>
      <w:r w:rsidR="00BD007A">
        <w:t>Mandatory Service Package Requirement</w:t>
      </w:r>
      <w:r w:rsidR="00B142F4">
        <w:t>;</w:t>
      </w:r>
    </w:p>
    <w:p w:rsidR="00B142F4" w:rsidRDefault="00DC21AC" w:rsidP="00B142F4">
      <w:pPr>
        <w:pStyle w:val="GPSL3numberedclause"/>
      </w:pPr>
      <w:r>
        <w:t>Part D – Supplier’s Mandatory Service Package</w:t>
      </w:r>
    </w:p>
    <w:p w:rsidR="00B142F4" w:rsidRDefault="007D52DA" w:rsidP="00B142F4">
      <w:pPr>
        <w:pStyle w:val="GPSL4numberedclause"/>
      </w:pPr>
      <w:r>
        <w:t>Part D</w:t>
      </w:r>
      <w:r w:rsidR="00B142F4">
        <w:t xml:space="preserve"> </w:t>
      </w:r>
      <w:r>
        <w:t>sets out</w:t>
      </w:r>
      <w:r w:rsidR="00B142F4">
        <w:t xml:space="preserve"> the Supplier’s </w:t>
      </w:r>
      <w:r>
        <w:t>Mandatory</w:t>
      </w:r>
      <w:r w:rsidR="00B142F4">
        <w:t xml:space="preserve"> Service </w:t>
      </w:r>
      <w:r>
        <w:t>Package</w:t>
      </w:r>
      <w:r w:rsidR="00B142F4">
        <w:t xml:space="preserve"> that meet</w:t>
      </w:r>
      <w:r>
        <w:t>s</w:t>
      </w:r>
      <w:r w:rsidR="00B142F4">
        <w:t xml:space="preserve"> the requirements se</w:t>
      </w:r>
      <w:r>
        <w:t>t out by the Authority in Part C</w:t>
      </w:r>
      <w:r w:rsidR="00B142F4">
        <w:t>;</w:t>
      </w:r>
    </w:p>
    <w:p w:rsidR="00B142F4" w:rsidRDefault="007D52DA" w:rsidP="00B142F4">
      <w:pPr>
        <w:pStyle w:val="GPSL3numberedclause"/>
      </w:pPr>
      <w:r>
        <w:t>Part E</w:t>
      </w:r>
      <w:r w:rsidR="00B142F4">
        <w:t xml:space="preserve"> – Key Performance Indicators</w:t>
      </w:r>
    </w:p>
    <w:p w:rsidR="00B142F4" w:rsidRDefault="007D52DA" w:rsidP="00B142F4">
      <w:pPr>
        <w:pStyle w:val="GPSL4numberedclause"/>
      </w:pPr>
      <w:r>
        <w:t>Part E</w:t>
      </w:r>
      <w:r w:rsidR="00B142F4">
        <w:t xml:space="preserve"> specifies the Key Performance indicators that will be used by the Authority to manage the performance of the Supplier. </w:t>
      </w:r>
    </w:p>
    <w:p w:rsidR="00694BAB" w:rsidRPr="00694BAB" w:rsidRDefault="00694BAB" w:rsidP="00694BAB">
      <w:pPr>
        <w:pStyle w:val="GPSL2NumberedBoldHeading"/>
        <w:rPr>
          <w:b w:val="0"/>
        </w:rPr>
      </w:pPr>
      <w:r w:rsidRPr="00694BAB">
        <w:rPr>
          <w:b w:val="0"/>
        </w:rPr>
        <w:t>The Services and any Standards set out in Part A of this Framework Schedule may be supplemented and/or refined (to the extent permitted and set out in Framework Schedule 5 (Call Off Procedure)) by a Contracting Body during a Further Competition Procedure to reflect its Services Requirements for entering a particular Call Off Agreement</w:t>
      </w:r>
      <w:r>
        <w:rPr>
          <w:b w:val="0"/>
        </w:rPr>
        <w:t>.</w:t>
      </w:r>
    </w:p>
    <w:p w:rsidR="00694BAB" w:rsidRPr="00B60231" w:rsidRDefault="00694BAB" w:rsidP="00694BAB">
      <w:pPr>
        <w:pStyle w:val="GPSL1SCHEDULEHeading"/>
      </w:pPr>
      <w:r>
        <w:t>Service catalogue &amp; service packages</w:t>
      </w:r>
    </w:p>
    <w:p w:rsidR="00694BAB" w:rsidRPr="00CB32F2" w:rsidRDefault="00694BAB" w:rsidP="00694BAB">
      <w:pPr>
        <w:pStyle w:val="GPSL2NumberedBoldHeading"/>
        <w:numPr>
          <w:ilvl w:val="1"/>
          <w:numId w:val="323"/>
        </w:numPr>
        <w:ind w:left="1418" w:hanging="709"/>
      </w:pPr>
      <w:r w:rsidRPr="00CB32F2">
        <w:t>The Service Catalogue</w:t>
      </w:r>
    </w:p>
    <w:p w:rsidR="00694BAB" w:rsidRPr="007C3B77" w:rsidRDefault="00694BAB" w:rsidP="00694BAB">
      <w:pPr>
        <w:pStyle w:val="GPSL3numberedclause"/>
      </w:pPr>
      <w:r>
        <w:t>The Service Catalogue</w:t>
      </w:r>
      <w:r w:rsidRPr="007C3B77">
        <w:t xml:space="preserve"> will comprise </w:t>
      </w:r>
      <w:r>
        <w:t xml:space="preserve">the Mandatory </w:t>
      </w:r>
      <w:r w:rsidRPr="007C3B77">
        <w:t>Service Package</w:t>
      </w:r>
      <w:r>
        <w:t xml:space="preserve"> and any other Service Packages</w:t>
      </w:r>
      <w:r w:rsidRPr="007C3B77">
        <w:t xml:space="preserve"> </w:t>
      </w:r>
      <w:r>
        <w:t xml:space="preserve">made available to Contracting Bodies by </w:t>
      </w:r>
      <w:r w:rsidRPr="007C3B77">
        <w:t>the Supplier.</w:t>
      </w:r>
    </w:p>
    <w:p w:rsidR="00694BAB" w:rsidRDefault="00694BAB" w:rsidP="00694BAB">
      <w:pPr>
        <w:pStyle w:val="GPSL3numberedclause"/>
      </w:pPr>
      <w:r>
        <w:t xml:space="preserve">The </w:t>
      </w:r>
      <w:r w:rsidRPr="007C3B77">
        <w:t xml:space="preserve">Supplier will be able to add, amend and remove Service Packages from the Service Catalogue </w:t>
      </w:r>
      <w:r>
        <w:t>in accordance with</w:t>
      </w:r>
      <w:r w:rsidRPr="007C3B77">
        <w:t xml:space="preserve"> the Service Catalogue Variation Procedure described in Clause</w:t>
      </w:r>
      <w:r>
        <w:rPr>
          <w:b/>
        </w:rPr>
        <w:t xml:space="preserve"> </w:t>
      </w:r>
      <w:r w:rsidRPr="007C3B77">
        <w:t>16.2 of the Framework Agreement.</w:t>
      </w:r>
    </w:p>
    <w:p w:rsidR="00694BAB" w:rsidRPr="00CB32F2" w:rsidRDefault="00694BAB" w:rsidP="00694BAB">
      <w:pPr>
        <w:pStyle w:val="GPSL2NumberedBoldHeading"/>
        <w:numPr>
          <w:ilvl w:val="1"/>
          <w:numId w:val="323"/>
        </w:numPr>
        <w:ind w:left="1418" w:hanging="709"/>
      </w:pPr>
      <w:r w:rsidRPr="00CB32F2">
        <w:t>Service Packages.</w:t>
      </w:r>
    </w:p>
    <w:p w:rsidR="00694BAB" w:rsidRDefault="00694BAB" w:rsidP="00694BAB">
      <w:pPr>
        <w:pStyle w:val="GPSL3numberedclause"/>
        <w:numPr>
          <w:ilvl w:val="2"/>
          <w:numId w:val="323"/>
        </w:numPr>
      </w:pPr>
      <w:r w:rsidRPr="00EF2B83">
        <w:t xml:space="preserve">Each Service Package </w:t>
      </w:r>
      <w:r>
        <w:t xml:space="preserve">will describe a set of the Services and as such </w:t>
      </w:r>
      <w:r w:rsidRPr="00EF2B83">
        <w:t>must include a Core Component; delivered in accordance with the relevant Common Components; and may include any Supplementary Components that the Supplier may wish to offer</w:t>
      </w:r>
      <w:r>
        <w:t>.</w:t>
      </w:r>
    </w:p>
    <w:p w:rsidR="00694BAB" w:rsidRDefault="00694BAB" w:rsidP="00694BAB">
      <w:pPr>
        <w:pStyle w:val="GPSL3numberedclause"/>
        <w:numPr>
          <w:ilvl w:val="2"/>
          <w:numId w:val="323"/>
        </w:numPr>
      </w:pPr>
      <w:r>
        <w:t>The Mandatory Service Package is a special type of Service Package, submitted by the Supplier with their Tender, which meets the specific requirements described in Part C of this Framework Schedule.  The Mandatory Service Package is set out in Part D of this Framework Schedule.</w:t>
      </w:r>
    </w:p>
    <w:p w:rsidR="00694BAB" w:rsidRPr="00EF2B83" w:rsidRDefault="00694BAB" w:rsidP="00694BAB">
      <w:pPr>
        <w:pStyle w:val="GPSL3numberedclause"/>
        <w:numPr>
          <w:ilvl w:val="2"/>
          <w:numId w:val="323"/>
        </w:numPr>
      </w:pPr>
      <w:r w:rsidRPr="00EF2B83">
        <w:t>A Service Package will comprise the following elements:</w:t>
      </w:r>
    </w:p>
    <w:p w:rsidR="00694BAB" w:rsidRDefault="00694BAB" w:rsidP="00694BAB">
      <w:pPr>
        <w:pStyle w:val="GPSL4numberedclause"/>
      </w:pPr>
      <w:r>
        <w:t>Service Description</w:t>
      </w:r>
    </w:p>
    <w:p w:rsidR="00694BAB" w:rsidRPr="00EF2B83" w:rsidRDefault="00694BAB" w:rsidP="00694BAB">
      <w:pPr>
        <w:pStyle w:val="GPSL5numberedclause"/>
      </w:pPr>
      <w:r>
        <w:t>This section is a description of each of the components (core, common and supplementary) being offered by the Supplier as part of the Service Package.  Suppliers may refer to Part C of Framework Schedule 2 (Services and Key Performance Indicators) as may be required.</w:t>
      </w:r>
    </w:p>
    <w:p w:rsidR="00694BAB" w:rsidRDefault="00694BAB" w:rsidP="00694BAB">
      <w:pPr>
        <w:pStyle w:val="GPSL4numberedclause"/>
      </w:pPr>
      <w:r w:rsidRPr="00EF2B83">
        <w:t>Conditions</w:t>
      </w:r>
      <w:r>
        <w:t xml:space="preserve"> on </w:t>
      </w:r>
      <w:r w:rsidR="001A0B07">
        <w:t>C</w:t>
      </w:r>
      <w:r w:rsidR="00DF2F12">
        <w:t>ustomer</w:t>
      </w:r>
    </w:p>
    <w:p w:rsidR="00694BAB" w:rsidRPr="00EF2B83" w:rsidRDefault="00694BAB" w:rsidP="00694BAB">
      <w:pPr>
        <w:pStyle w:val="GPSL5numberedclause"/>
      </w:pPr>
      <w:r>
        <w:lastRenderedPageBreak/>
        <w:t>In this section the Supplier may identify any conditions that the Contracting Body must fulfil if the order is to be a valid Order.  For example, the Contracting Body’s existing implementation must be the same as identified by the Supplier in its Service Description (e.g. Microsoft).</w:t>
      </w:r>
    </w:p>
    <w:p w:rsidR="00694BAB" w:rsidRDefault="00694BAB" w:rsidP="00694BAB">
      <w:pPr>
        <w:pStyle w:val="GPSL4numberedclause"/>
      </w:pPr>
      <w:r w:rsidRPr="00EF2B83">
        <w:t>Outline</w:t>
      </w:r>
      <w:r>
        <w:t xml:space="preserve"> Implementation Plan</w:t>
      </w:r>
    </w:p>
    <w:p w:rsidR="00694BAB" w:rsidRDefault="00694BAB" w:rsidP="00694BAB">
      <w:pPr>
        <w:pStyle w:val="GPSL5numberedclause"/>
      </w:pPr>
      <w:r>
        <w:t xml:space="preserve">In this section, the Supplier must provide an outline Implementation Plan.  For example, the Supplier may identify that </w:t>
      </w:r>
      <w:proofErr w:type="spellStart"/>
      <w:r>
        <w:t>onboarding</w:t>
      </w:r>
      <w:proofErr w:type="spellEnd"/>
      <w:r>
        <w:t xml:space="preserve"> activity cannot commence any earlier than 45 days after the Order is placed.  </w:t>
      </w:r>
    </w:p>
    <w:p w:rsidR="00694BAB" w:rsidRPr="00EF2B83" w:rsidRDefault="00694BAB" w:rsidP="00694BAB">
      <w:pPr>
        <w:pStyle w:val="GPSL5numberedclause"/>
      </w:pPr>
      <w:r>
        <w:t xml:space="preserve">To note, the outline Implementation Plan will be updated to become the draft Implementation Plan once the Order Form has been received by the Supplier (as described in Clause 6 (Implementation Plan) of the Call Off Terms. </w:t>
      </w:r>
    </w:p>
    <w:p w:rsidR="00694BAB" w:rsidRDefault="00694BAB" w:rsidP="00694BAB">
      <w:pPr>
        <w:pStyle w:val="GPSL4numberedclause"/>
      </w:pPr>
      <w:r w:rsidRPr="00EF2B83">
        <w:t>Price Card.</w:t>
      </w:r>
    </w:p>
    <w:p w:rsidR="00694BAB" w:rsidRDefault="00694BAB" w:rsidP="00694BAB">
      <w:pPr>
        <w:pStyle w:val="GPSL5numberedclause"/>
      </w:pPr>
      <w:r>
        <w:t>The Price Card contains the unit price of each service element included as part of the Service Package.</w:t>
      </w:r>
    </w:p>
    <w:p w:rsidR="00694BAB" w:rsidRPr="00BD007A" w:rsidRDefault="00694BAB" w:rsidP="00694BAB">
      <w:pPr>
        <w:pStyle w:val="GPSL3numberedclause"/>
      </w:pPr>
      <w:r>
        <w:t>The template for proposing a new Service Package can be found at Annex 1 of Framework Schedule 22 (Service Catalogue Variation Form).</w:t>
      </w:r>
    </w:p>
    <w:p w:rsidR="00030C40" w:rsidRDefault="00030C40" w:rsidP="00694BAB">
      <w:pPr>
        <w:pStyle w:val="GPSL2Numbered"/>
        <w:numPr>
          <w:ilvl w:val="0"/>
          <w:numId w:val="0"/>
        </w:numPr>
        <w:ind w:left="720"/>
      </w:pPr>
    </w:p>
    <w:p w:rsidR="006E57DF" w:rsidRDefault="00903609" w:rsidP="006E57DF">
      <w:pPr>
        <w:pStyle w:val="GPSSchAnnexname"/>
        <w:rPr>
          <w:highlight w:val="magenta"/>
        </w:rPr>
      </w:pPr>
      <w:bookmarkStart w:id="700" w:name="_Toc379488075"/>
      <w:bookmarkStart w:id="701" w:name="_Toc380052179"/>
      <w:bookmarkStart w:id="702" w:name="_Toc380052689"/>
      <w:r>
        <w:br w:type="page"/>
      </w:r>
      <w:bookmarkStart w:id="703" w:name="_Toc380053712"/>
      <w:bookmarkStart w:id="704" w:name="_Toc391545374"/>
      <w:r w:rsidR="006E57DF" w:rsidRPr="006875AD">
        <w:lastRenderedPageBreak/>
        <w:t>P</w:t>
      </w:r>
      <w:r w:rsidR="006E57DF">
        <w:t xml:space="preserve">ART A – </w:t>
      </w:r>
      <w:r w:rsidR="00406112">
        <w:t xml:space="preserve">REQUIREMENTS FOR </w:t>
      </w:r>
      <w:r w:rsidR="006E57DF">
        <w:t>SERVICES</w:t>
      </w:r>
      <w:bookmarkEnd w:id="700"/>
      <w:bookmarkEnd w:id="701"/>
      <w:bookmarkEnd w:id="702"/>
      <w:bookmarkEnd w:id="703"/>
      <w:bookmarkEnd w:id="704"/>
      <w:r w:rsidR="006E57DF">
        <w:t xml:space="preserve"> </w:t>
      </w:r>
    </w:p>
    <w:p w:rsidR="00327B9A" w:rsidRDefault="00327B9A" w:rsidP="00903609">
      <w:pPr>
        <w:pStyle w:val="GPSL1CLAUSEHEADING"/>
        <w:numPr>
          <w:ilvl w:val="0"/>
          <w:numId w:val="555"/>
        </w:numPr>
      </w:pPr>
      <w:bookmarkStart w:id="705" w:name="_Toc379400783"/>
      <w:bookmarkStart w:id="706" w:name="_Toc379400883"/>
      <w:bookmarkStart w:id="707" w:name="_Toc379401651"/>
      <w:bookmarkStart w:id="708" w:name="_Toc379471777"/>
      <w:bookmarkStart w:id="709" w:name="_Toc379488076"/>
      <w:bookmarkStart w:id="710" w:name="_Toc379488077"/>
      <w:bookmarkStart w:id="711" w:name="_Toc380052690"/>
      <w:bookmarkStart w:id="712" w:name="_Toc380053713"/>
      <w:bookmarkStart w:id="713" w:name="_Toc391545375"/>
      <w:bookmarkEnd w:id="705"/>
      <w:bookmarkEnd w:id="706"/>
      <w:bookmarkEnd w:id="707"/>
      <w:bookmarkEnd w:id="708"/>
      <w:bookmarkEnd w:id="709"/>
      <w:r w:rsidRPr="006875AD">
        <w:t>SPECIFICATION</w:t>
      </w:r>
      <w:bookmarkEnd w:id="710"/>
      <w:bookmarkEnd w:id="711"/>
      <w:bookmarkEnd w:id="712"/>
      <w:bookmarkEnd w:id="713"/>
    </w:p>
    <w:p w:rsidR="00327B9A" w:rsidRDefault="00327B9A" w:rsidP="00327B9A">
      <w:pPr>
        <w:pStyle w:val="GPSL2Numbered"/>
        <w:numPr>
          <w:ilvl w:val="1"/>
          <w:numId w:val="323"/>
        </w:numPr>
      </w:pPr>
      <w:r>
        <w:t>This Framework Agreement has been established to enable Contracting Bodies to procure Services</w:t>
      </w:r>
      <w:r w:rsidR="00617E4A">
        <w:t xml:space="preserve"> from </w:t>
      </w:r>
      <w:r w:rsidR="00694BAB">
        <w:t>Supplier</w:t>
      </w:r>
      <w:r w:rsidR="00617E4A">
        <w:t>s</w:t>
      </w:r>
      <w:r w:rsidR="00694BAB">
        <w:t>.  This Part A of Sc</w:t>
      </w:r>
      <w:r w:rsidR="00617E4A">
        <w:t>hedule 2 sets out the Authority’s requirements for the Services.</w:t>
      </w:r>
    </w:p>
    <w:p w:rsidR="00327B9A" w:rsidRDefault="00370D37" w:rsidP="00327B9A">
      <w:pPr>
        <w:pStyle w:val="GPSL2Numbered"/>
        <w:numPr>
          <w:ilvl w:val="1"/>
          <w:numId w:val="323"/>
        </w:numPr>
      </w:pPr>
      <w:r>
        <w:t>T</w:t>
      </w:r>
      <w:r w:rsidR="00327B9A">
        <w:t>he Services comprise the following components:</w:t>
      </w:r>
    </w:p>
    <w:p w:rsidR="00327B9A" w:rsidRDefault="00327B9A" w:rsidP="00327B9A">
      <w:pPr>
        <w:pStyle w:val="GPSL3numberedclause"/>
        <w:numPr>
          <w:ilvl w:val="2"/>
          <w:numId w:val="323"/>
        </w:numPr>
      </w:pPr>
      <w:r>
        <w:t>Core Component</w:t>
      </w:r>
      <w:r w:rsidR="0043754E">
        <w:t>s</w:t>
      </w:r>
    </w:p>
    <w:p w:rsidR="00327B9A" w:rsidRDefault="008F13D9" w:rsidP="00327B9A">
      <w:pPr>
        <w:pStyle w:val="GPSL3numberedclause"/>
        <w:numPr>
          <w:ilvl w:val="0"/>
          <w:numId w:val="0"/>
        </w:numPr>
        <w:ind w:left="2127"/>
      </w:pPr>
      <w:r>
        <w:t>Core Components provide the functionality and service that are material to the Contracting Body’s requirement</w:t>
      </w:r>
      <w:r w:rsidR="00371AFF">
        <w:t>; and are set out in paragraph 1.5 of this Part A.</w:t>
      </w:r>
    </w:p>
    <w:p w:rsidR="00327B9A" w:rsidRDefault="00327B9A" w:rsidP="00327B9A">
      <w:pPr>
        <w:pStyle w:val="GPSL3numberedclause"/>
        <w:numPr>
          <w:ilvl w:val="2"/>
          <w:numId w:val="323"/>
        </w:numPr>
      </w:pPr>
      <w:r>
        <w:t>Common Components</w:t>
      </w:r>
    </w:p>
    <w:p w:rsidR="00327B9A" w:rsidRDefault="00327B9A" w:rsidP="00327B9A">
      <w:pPr>
        <w:pStyle w:val="GPSL3numberedclause"/>
        <w:numPr>
          <w:ilvl w:val="0"/>
          <w:numId w:val="0"/>
        </w:numPr>
        <w:ind w:left="2127"/>
      </w:pPr>
      <w:r>
        <w:t>Common Components describe the way in which the Core Components are delivered by the Supplier to the Contracting Body</w:t>
      </w:r>
      <w:r w:rsidR="00371AFF">
        <w:t>; and are set out in paragraph 1.6 of this Part A.</w:t>
      </w:r>
    </w:p>
    <w:p w:rsidR="00327B9A" w:rsidRDefault="00327B9A" w:rsidP="00327B9A">
      <w:pPr>
        <w:pStyle w:val="GPSL3numberedclause"/>
        <w:numPr>
          <w:ilvl w:val="2"/>
          <w:numId w:val="323"/>
        </w:numPr>
        <w:ind w:left="2127"/>
      </w:pPr>
      <w:r>
        <w:t>Supplementary Components</w:t>
      </w:r>
    </w:p>
    <w:p w:rsidR="00327B9A" w:rsidRDefault="00327B9A" w:rsidP="00327B9A">
      <w:pPr>
        <w:pStyle w:val="GPSL3numberedclause"/>
        <w:numPr>
          <w:ilvl w:val="0"/>
          <w:numId w:val="0"/>
        </w:numPr>
        <w:ind w:left="2127"/>
      </w:pPr>
      <w:r>
        <w:t xml:space="preserve">Supplementary Components </w:t>
      </w:r>
      <w:r w:rsidR="00987697">
        <w:t>are ancillary requirements that enhance or otherwise sup</w:t>
      </w:r>
      <w:r w:rsidR="00B60B40">
        <w:t>plement the Core Components</w:t>
      </w:r>
      <w:r w:rsidR="00371AFF">
        <w:t xml:space="preserve">.  Example Supplementary Components are described in paragraph 1.7 of this Part A, but will be set out by the Supplier </w:t>
      </w:r>
      <w:r w:rsidR="006A324B">
        <w:t>in Part B of this Framework Schedule.</w:t>
      </w:r>
    </w:p>
    <w:p w:rsidR="008F13D9" w:rsidRDefault="008F13D9" w:rsidP="008F13D9">
      <w:pPr>
        <w:pStyle w:val="GPSL2Numbered"/>
        <w:numPr>
          <w:ilvl w:val="1"/>
          <w:numId w:val="323"/>
        </w:numPr>
      </w:pPr>
      <w:r>
        <w:t>Every Contracting Body must receive an element of the Core Component as part of the Service procured under this Framework Agreement.</w:t>
      </w:r>
    </w:p>
    <w:p w:rsidR="008F13D9" w:rsidRDefault="008F13D9" w:rsidP="008F13D9">
      <w:pPr>
        <w:pStyle w:val="GPSL2Numbered"/>
        <w:numPr>
          <w:ilvl w:val="1"/>
          <w:numId w:val="323"/>
        </w:numPr>
      </w:pPr>
      <w:r>
        <w:t xml:space="preserve">The Supplier may </w:t>
      </w:r>
      <w:r w:rsidR="00F266D7">
        <w:t xml:space="preserve">only </w:t>
      </w:r>
      <w:r>
        <w:t>offer Supplementary Components to Contracting Bodies who are procuring, or who have procured, a Core Component under this Framework Agreement.</w:t>
      </w:r>
    </w:p>
    <w:p w:rsidR="00327B9A" w:rsidRPr="0049242F" w:rsidRDefault="00327B9A" w:rsidP="00327B9A">
      <w:pPr>
        <w:pStyle w:val="GPSL2Numbered"/>
        <w:numPr>
          <w:ilvl w:val="1"/>
          <w:numId w:val="323"/>
        </w:numPr>
      </w:pPr>
      <w:r>
        <w:t>Core Components</w:t>
      </w:r>
    </w:p>
    <w:p w:rsidR="00327B9A" w:rsidRPr="001141F2" w:rsidRDefault="00327B9A" w:rsidP="00327B9A">
      <w:pPr>
        <w:pStyle w:val="GPSL3numberedclause"/>
        <w:numPr>
          <w:ilvl w:val="2"/>
          <w:numId w:val="323"/>
        </w:numPr>
      </w:pPr>
      <w:r w:rsidRPr="001141F2">
        <w:t>Secure Email</w:t>
      </w:r>
    </w:p>
    <w:tbl>
      <w:tblPr>
        <w:tblW w:w="84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7706"/>
        <w:gridCol w:w="236"/>
      </w:tblGrid>
      <w:tr w:rsidR="00327B9A" w:rsidRPr="00743F1F" w:rsidTr="00EA39CE">
        <w:tc>
          <w:tcPr>
            <w:tcW w:w="8424" w:type="dxa"/>
            <w:gridSpan w:val="3"/>
          </w:tcPr>
          <w:p w:rsidR="00327B9A" w:rsidRPr="00743F1F" w:rsidRDefault="00BA4FE2" w:rsidP="00BA4FE2">
            <w:pPr>
              <w:pStyle w:val="TableText"/>
              <w:rPr>
                <w:b/>
              </w:rPr>
            </w:pPr>
            <w:r>
              <w:rPr>
                <w:b/>
              </w:rPr>
              <w:t xml:space="preserve">Secure </w:t>
            </w:r>
            <w:proofErr w:type="spellStart"/>
            <w:r>
              <w:rPr>
                <w:b/>
              </w:rPr>
              <w:t>eM</w:t>
            </w:r>
            <w:r w:rsidR="00327B9A" w:rsidRPr="00743F1F">
              <w:rPr>
                <w:b/>
              </w:rPr>
              <w:t>ail</w:t>
            </w:r>
            <w:proofErr w:type="spellEnd"/>
          </w:p>
        </w:tc>
      </w:tr>
      <w:tr w:rsidR="004A5F98" w:rsidRPr="002202BA" w:rsidTr="00EA39CE">
        <w:tc>
          <w:tcPr>
            <w:tcW w:w="482" w:type="dxa"/>
          </w:tcPr>
          <w:p w:rsidR="004A5F98" w:rsidRPr="00861217" w:rsidRDefault="004A5F98" w:rsidP="00EA39CE">
            <w:pPr>
              <w:pStyle w:val="TableText"/>
            </w:pPr>
            <w:r>
              <w:t>1</w:t>
            </w:r>
          </w:p>
        </w:tc>
        <w:tc>
          <w:tcPr>
            <w:tcW w:w="7706" w:type="dxa"/>
          </w:tcPr>
          <w:p w:rsidR="004A5F98" w:rsidRPr="004A5F98" w:rsidRDefault="004A5F98" w:rsidP="000B28B0">
            <w:pPr>
              <w:pStyle w:val="MarginText"/>
              <w:spacing w:before="60" w:after="60"/>
            </w:pPr>
            <w:r w:rsidRPr="004A5F98">
              <w:t xml:space="preserve">Provide Secure </w:t>
            </w:r>
            <w:proofErr w:type="spellStart"/>
            <w:r w:rsidRPr="004A5F98">
              <w:t>eMail</w:t>
            </w:r>
            <w:proofErr w:type="spellEnd"/>
            <w:r w:rsidRPr="004A5F98">
              <w:t xml:space="preserve"> throughout the life of the Framework Agreement and until the last contract let under the Framework Agreement expires.</w:t>
            </w:r>
          </w:p>
          <w:p w:rsidR="004A5F98" w:rsidRPr="004A5F98" w:rsidRDefault="004A5F98" w:rsidP="000B28B0">
            <w:pPr>
              <w:pStyle w:val="MarginText"/>
              <w:spacing w:before="60" w:after="60"/>
            </w:pPr>
            <w:r w:rsidRPr="004A5F98">
              <w:t>Note: The Call-Off Contract will be for a maximum five year Initial Term, with Contracting Body-selectable option for a Call Off Extension Period two years.</w:t>
            </w:r>
          </w:p>
          <w:p w:rsidR="004A5F98" w:rsidRPr="004A5F98" w:rsidRDefault="004A5F98" w:rsidP="00EA39CE">
            <w:pPr>
              <w:pStyle w:val="TableText"/>
              <w:rPr>
                <w:rFonts w:eastAsia="STZhongsong"/>
                <w:sz w:val="22"/>
                <w:szCs w:val="18"/>
                <w:lang w:eastAsia="zh-CN"/>
              </w:rPr>
            </w:pPr>
          </w:p>
        </w:tc>
        <w:tc>
          <w:tcPr>
            <w:tcW w:w="236" w:type="dxa"/>
            <w:shd w:val="clear" w:color="auto" w:fill="auto"/>
          </w:tcPr>
          <w:p w:rsidR="004A5F98" w:rsidRPr="002202BA" w:rsidRDefault="004A5F98" w:rsidP="00EA39CE">
            <w:pPr>
              <w:pStyle w:val="TableText"/>
              <w:jc w:val="center"/>
            </w:pPr>
          </w:p>
        </w:tc>
      </w:tr>
      <w:tr w:rsidR="004A5F98" w:rsidRPr="002202BA" w:rsidTr="00EA39CE">
        <w:tc>
          <w:tcPr>
            <w:tcW w:w="482" w:type="dxa"/>
          </w:tcPr>
          <w:p w:rsidR="004A5F98" w:rsidRDefault="004A5F98" w:rsidP="00EA39CE">
            <w:pPr>
              <w:pStyle w:val="TableText"/>
            </w:pPr>
            <w:r>
              <w:t>2</w:t>
            </w:r>
          </w:p>
        </w:tc>
        <w:tc>
          <w:tcPr>
            <w:tcW w:w="7706" w:type="dxa"/>
          </w:tcPr>
          <w:p w:rsidR="004A5F98" w:rsidRPr="00861217" w:rsidRDefault="004A5F98" w:rsidP="004A5F98">
            <w:pPr>
              <w:pStyle w:val="MarginText"/>
              <w:spacing w:before="60" w:after="60"/>
            </w:pPr>
            <w:r w:rsidRPr="004A5F98">
              <w:t xml:space="preserve">Make Secure </w:t>
            </w:r>
            <w:proofErr w:type="spellStart"/>
            <w:r w:rsidRPr="004A5F98">
              <w:t>eMail</w:t>
            </w:r>
            <w:proofErr w:type="spellEnd"/>
            <w:r w:rsidRPr="004A5F98">
              <w:t xml:space="preserve"> available twenty-four (24) hours per day, seven (7) days per week; unless a lesser period is specified by the Contracting Body.</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Pr="00861217" w:rsidRDefault="004A5F98" w:rsidP="00EA39CE">
            <w:pPr>
              <w:pStyle w:val="TableText"/>
            </w:pPr>
            <w:r>
              <w:t>3</w:t>
            </w:r>
          </w:p>
        </w:tc>
        <w:tc>
          <w:tcPr>
            <w:tcW w:w="7706" w:type="dxa"/>
          </w:tcPr>
          <w:p w:rsidR="004A5F98" w:rsidRPr="004A5F98" w:rsidRDefault="004A5F98" w:rsidP="003B1E03">
            <w:pPr>
              <w:pStyle w:val="MarginText"/>
              <w:spacing w:before="60" w:after="60"/>
            </w:pPr>
            <w:r w:rsidRPr="004A5F98">
              <w:t xml:space="preserve">The Secure </w:t>
            </w:r>
            <w:proofErr w:type="spellStart"/>
            <w:r w:rsidRPr="004A5F98">
              <w:t>eMail</w:t>
            </w:r>
            <w:proofErr w:type="spellEnd"/>
            <w:r w:rsidRPr="004A5F98">
              <w:t xml:space="preserve"> Service shall provide email across public sector organisations using a nominated domain. The following are examples provided for illustration only; @nhs.net, @gov.uk, @gsi.gov.u</w:t>
            </w:r>
            <w:r w:rsidR="00937184">
              <w:t>k, @gcsx.gov.uk, @parliament.uk</w:t>
            </w:r>
            <w:r w:rsidRPr="004A5F98">
              <w:t xml:space="preserve"> which will contain sub domains.</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4</w:t>
            </w:r>
          </w:p>
        </w:tc>
        <w:tc>
          <w:tcPr>
            <w:tcW w:w="7706" w:type="dxa"/>
          </w:tcPr>
          <w:p w:rsidR="004A5F98" w:rsidRPr="004A5F98" w:rsidRDefault="004A5F98" w:rsidP="003B1E03">
            <w:pPr>
              <w:pStyle w:val="MarginText"/>
              <w:spacing w:before="60" w:after="60"/>
            </w:pPr>
            <w:r w:rsidRPr="004A5F98">
              <w:t xml:space="preserve">The Secure </w:t>
            </w:r>
            <w:proofErr w:type="spellStart"/>
            <w:r w:rsidRPr="004A5F98">
              <w:t>eMail</w:t>
            </w:r>
            <w:proofErr w:type="spellEnd"/>
            <w:r w:rsidRPr="004A5F98">
              <w:t xml:space="preserve"> Service shall route email to and from the internet.  Email to and from other secure domains is via the Secure Email Gateway </w:t>
            </w:r>
            <w:r w:rsidRPr="004A5F98">
              <w:lastRenderedPageBreak/>
              <w:t>provided by the Supplier.</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lastRenderedPageBreak/>
              <w:t>5</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The Secure Email Service shall provide two types of account:</w:t>
            </w:r>
          </w:p>
          <w:p w:rsidR="004A5F98" w:rsidRPr="004A5F98" w:rsidRDefault="004A5F98" w:rsidP="004A5F98">
            <w:pPr>
              <w:pStyle w:val="TableText"/>
              <w:numPr>
                <w:ilvl w:val="0"/>
                <w:numId w:val="470"/>
              </w:numPr>
              <w:spacing w:before="60" w:after="60"/>
              <w:textboxTightWrap w:val="none"/>
              <w:rPr>
                <w:rFonts w:eastAsia="STZhongsong"/>
                <w:sz w:val="22"/>
                <w:szCs w:val="18"/>
                <w:lang w:eastAsia="zh-CN"/>
              </w:rPr>
            </w:pPr>
            <w:r w:rsidRPr="004A5F98">
              <w:rPr>
                <w:rFonts w:eastAsia="STZhongsong"/>
                <w:sz w:val="22"/>
                <w:szCs w:val="18"/>
                <w:lang w:eastAsia="zh-CN"/>
              </w:rPr>
              <w:t>Personal.</w:t>
            </w:r>
          </w:p>
          <w:p w:rsidR="004A5F98" w:rsidRPr="004A5F98" w:rsidRDefault="004A5F98" w:rsidP="004A5F98">
            <w:pPr>
              <w:pStyle w:val="TableText"/>
              <w:numPr>
                <w:ilvl w:val="0"/>
                <w:numId w:val="470"/>
              </w:numPr>
              <w:spacing w:before="60" w:after="60"/>
              <w:textboxTightWrap w:val="none"/>
              <w:rPr>
                <w:rFonts w:eastAsia="STZhongsong"/>
                <w:sz w:val="22"/>
                <w:szCs w:val="18"/>
                <w:lang w:eastAsia="zh-CN"/>
              </w:rPr>
            </w:pPr>
            <w:r w:rsidRPr="004A5F98">
              <w:rPr>
                <w:rFonts w:eastAsia="STZhongsong"/>
                <w:sz w:val="22"/>
                <w:szCs w:val="18"/>
                <w:lang w:eastAsia="zh-CN"/>
              </w:rPr>
              <w:t>Generic:</w:t>
            </w:r>
          </w:p>
          <w:p w:rsidR="004A5F98" w:rsidRPr="004A5F98" w:rsidRDefault="004A5F98" w:rsidP="004A5F98">
            <w:pPr>
              <w:pStyle w:val="TableText"/>
              <w:numPr>
                <w:ilvl w:val="1"/>
                <w:numId w:val="471"/>
              </w:numPr>
              <w:spacing w:before="60" w:after="60"/>
              <w:textboxTightWrap w:val="none"/>
              <w:rPr>
                <w:rFonts w:eastAsia="STZhongsong"/>
                <w:sz w:val="22"/>
                <w:szCs w:val="18"/>
                <w:lang w:eastAsia="zh-CN"/>
              </w:rPr>
            </w:pPr>
            <w:r w:rsidRPr="004A5F98">
              <w:rPr>
                <w:rFonts w:eastAsia="STZhongsong"/>
                <w:sz w:val="22"/>
                <w:szCs w:val="18"/>
                <w:lang w:eastAsia="zh-CN"/>
              </w:rPr>
              <w:t>Shared generic accounts.</w:t>
            </w:r>
          </w:p>
          <w:p w:rsidR="004A5F98" w:rsidRPr="004A5F98" w:rsidRDefault="004A5F98" w:rsidP="004A5F98">
            <w:pPr>
              <w:pStyle w:val="TableText"/>
              <w:numPr>
                <w:ilvl w:val="1"/>
                <w:numId w:val="471"/>
              </w:numPr>
              <w:spacing w:before="60" w:after="60"/>
              <w:textboxTightWrap w:val="none"/>
              <w:rPr>
                <w:rFonts w:eastAsia="STZhongsong"/>
                <w:sz w:val="22"/>
                <w:szCs w:val="18"/>
                <w:lang w:eastAsia="zh-CN"/>
              </w:rPr>
            </w:pPr>
            <w:r w:rsidRPr="004A5F98">
              <w:rPr>
                <w:rFonts w:eastAsia="STZhongsong"/>
                <w:sz w:val="22"/>
                <w:szCs w:val="18"/>
                <w:lang w:eastAsia="zh-CN"/>
              </w:rPr>
              <w:t>Resource accounts (e.g. room bookings)</w:t>
            </w:r>
          </w:p>
          <w:p w:rsidR="004A5F98" w:rsidRPr="004A5F98" w:rsidRDefault="004A5F98" w:rsidP="004A5F98">
            <w:pPr>
              <w:pStyle w:val="TableText"/>
              <w:numPr>
                <w:ilvl w:val="1"/>
                <w:numId w:val="471"/>
              </w:numPr>
              <w:spacing w:before="60" w:after="60"/>
              <w:textboxTightWrap w:val="none"/>
              <w:rPr>
                <w:rFonts w:eastAsia="STZhongsong"/>
                <w:sz w:val="22"/>
                <w:szCs w:val="18"/>
                <w:lang w:eastAsia="zh-CN"/>
              </w:rPr>
            </w:pPr>
            <w:r w:rsidRPr="004A5F98">
              <w:rPr>
                <w:rFonts w:eastAsia="STZhongsong"/>
                <w:sz w:val="22"/>
                <w:szCs w:val="18"/>
                <w:lang w:eastAsia="zh-CN"/>
              </w:rPr>
              <w:t>System accounts (e.g. for applications that send emails)</w:t>
            </w:r>
          </w:p>
          <w:p w:rsidR="004A5F98" w:rsidRPr="004A5F98" w:rsidRDefault="004A5F98" w:rsidP="00EA39CE">
            <w:pPr>
              <w:pStyle w:val="TableText"/>
              <w:rPr>
                <w:rFonts w:eastAsia="STZhongsong"/>
                <w:sz w:val="22"/>
                <w:szCs w:val="18"/>
                <w:lang w:eastAsia="zh-CN"/>
              </w:rPr>
            </w:pP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6</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industry standard email, calendar, contacts and tasks functionality, such as: Reports for delivery and non-delivery of emails in an easily understandable format, an internal/external out of office message facility, and automatic forwarding (only to approved secure domains).</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7</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the ability to share, and delegate access to, an account’s email, calendar, tasks, and contacts with other users of the same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whether in the same organisation or another organisation subject to local organisation control/policy. In the case of personal accounts, this functionality should only be available to the user who is the owner. In the case of generic (i.e. shared) accounts, this functionality should be available to the account’s owner(s). This ability is not extended out to users utilising a different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8</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tools for users to create and manage centralised static and dynamic distribution lists based on local and central directory information that are available to all users of the service.  Dynamic distribution lists should be able to leverage the fields of the directory service. </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9</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The Secure Email Service shall provide tools for users to create and manage personal email distribution lists that are available only to themselves.</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10</w:t>
            </w:r>
          </w:p>
          <w:p w:rsidR="004A5F98" w:rsidRDefault="004A5F98" w:rsidP="00EA39CE">
            <w:pPr>
              <w:pStyle w:val="TableText"/>
            </w:pP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an account quota per user for each and every account in an organisation, for both personal and generic accounts. This shall include and be shared between emails, calendar appointments, tasks, and contacts.  The quota shall be set at a per service and per organisation level and support a variety of per user quota sizes across the organisational average.</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11</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integrate with any other element of the Services available through this Framework Agreement.</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12</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an overarching search function that searches all parts of a user’s account (email, contacts, tasks, calendar, etc.) and their centrally provided archive in a single search.</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t>13</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allow a user to enter advanced search criteria such as narrowing the time/date range of the search, specifying a particular sender, or limiting the search to an individual part of a user’s account such as email or calendar only.</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Default="004A5F98" w:rsidP="00EA39CE">
            <w:pPr>
              <w:pStyle w:val="TableText"/>
            </w:pPr>
            <w:r>
              <w:lastRenderedPageBreak/>
              <w:t>14</w:t>
            </w:r>
          </w:p>
        </w:tc>
        <w:tc>
          <w:tcPr>
            <w:tcW w:w="7706" w:type="dxa"/>
          </w:tcPr>
          <w:p w:rsidR="004A5F98" w:rsidRPr="004A5F98" w:rsidRDefault="004A5F98" w:rsidP="003B1E03">
            <w:pPr>
              <w:pStyle w:val="TableText"/>
              <w:ind w:left="119"/>
              <w:rPr>
                <w:rFonts w:eastAsia="STZhongsong"/>
                <w:sz w:val="22"/>
                <w:szCs w:val="18"/>
                <w:lang w:eastAsia="zh-CN"/>
              </w:rPr>
            </w:pPr>
            <w:r w:rsidRPr="004A5F98">
              <w:rPr>
                <w:rFonts w:eastAsia="STZhongsong"/>
                <w:sz w:val="22"/>
                <w:szCs w:val="18"/>
                <w:lang w:eastAsia="zh-CN"/>
              </w:rPr>
              <w:t xml:space="preserve">The Secure </w:t>
            </w:r>
            <w:proofErr w:type="spellStart"/>
            <w:r w:rsidRPr="004A5F98">
              <w:rPr>
                <w:rFonts w:eastAsia="STZhongsong"/>
                <w:sz w:val="22"/>
                <w:szCs w:val="18"/>
                <w:lang w:eastAsia="zh-CN"/>
              </w:rPr>
              <w:t>eMail</w:t>
            </w:r>
            <w:proofErr w:type="spellEnd"/>
            <w:r w:rsidRPr="004A5F98">
              <w:rPr>
                <w:rFonts w:eastAsia="STZhongsong"/>
                <w:sz w:val="22"/>
                <w:szCs w:val="18"/>
                <w:lang w:eastAsia="zh-CN"/>
              </w:rPr>
              <w:t xml:space="preserve"> Service shall provide industry leading anti-virus and anti-spam filtering capabilities.  In addition to commodity content management such as attachment blocking, profanity checking, virus/spam filtering capabilities and data leakage prevention e.g. encrypt Official-Sensitive email destined for the Internet or a non-secure PSN connected domain. There shall also exist appropriate options for managing spoofed/forged email and items that cannot be checked such as S/MIME encrypted or password protected attachments.  Rules shall work at SMTP domain levels e.g. block Official-Sensitive email to a specified internet domain or allow a single </w:t>
            </w:r>
            <w:r w:rsidR="001A0B07">
              <w:rPr>
                <w:rFonts w:eastAsia="STZhongsong"/>
                <w:sz w:val="22"/>
                <w:szCs w:val="18"/>
                <w:lang w:eastAsia="zh-CN"/>
              </w:rPr>
              <w:t>Contracting Body</w:t>
            </w:r>
            <w:r w:rsidRPr="004A5F98">
              <w:rPr>
                <w:rFonts w:eastAsia="STZhongsong"/>
                <w:sz w:val="22"/>
                <w:szCs w:val="18"/>
                <w:lang w:eastAsia="zh-CN"/>
              </w:rPr>
              <w:t xml:space="preserve"> of the service to block emails containing profanities.</w:t>
            </w:r>
          </w:p>
        </w:tc>
        <w:tc>
          <w:tcPr>
            <w:tcW w:w="236" w:type="dxa"/>
            <w:shd w:val="clear" w:color="auto" w:fill="auto"/>
          </w:tcPr>
          <w:p w:rsidR="004A5F98" w:rsidRPr="002202BA" w:rsidRDefault="004A5F98" w:rsidP="00EA39CE">
            <w:pPr>
              <w:pStyle w:val="TableText"/>
              <w:jc w:val="center"/>
            </w:pPr>
          </w:p>
        </w:tc>
      </w:tr>
      <w:tr w:rsidR="00DF04BD" w:rsidRPr="002202BA" w:rsidTr="00EA39CE">
        <w:trPr>
          <w:trHeight w:val="700"/>
        </w:trPr>
        <w:tc>
          <w:tcPr>
            <w:tcW w:w="482" w:type="dxa"/>
          </w:tcPr>
          <w:p w:rsidR="00DF04BD" w:rsidRDefault="00DF04BD" w:rsidP="00EA39CE">
            <w:pPr>
              <w:pStyle w:val="TableText"/>
            </w:pPr>
          </w:p>
        </w:tc>
        <w:tc>
          <w:tcPr>
            <w:tcW w:w="7706" w:type="dxa"/>
          </w:tcPr>
          <w:p w:rsidR="003B1E03" w:rsidRDefault="003B1E03" w:rsidP="003B1E03">
            <w:pPr>
              <w:pStyle w:val="GPSL2Numbered"/>
              <w:numPr>
                <w:ilvl w:val="0"/>
                <w:numId w:val="0"/>
              </w:numPr>
              <w:ind w:left="119"/>
            </w:pPr>
            <w:r>
              <w:t>[</w:t>
            </w:r>
            <w:r w:rsidRPr="009313F7">
              <w:rPr>
                <w:b/>
                <w:highlight w:val="green"/>
              </w:rPr>
              <w:t xml:space="preserve">Guidance Note: Amend to reflect </w:t>
            </w:r>
            <w:r>
              <w:rPr>
                <w:b/>
                <w:highlight w:val="green"/>
              </w:rPr>
              <w:t>Non Essential Requirements Suppliers agree to com</w:t>
            </w:r>
            <w:r w:rsidR="000B28B0">
              <w:rPr>
                <w:b/>
                <w:highlight w:val="green"/>
              </w:rPr>
              <w:t>p</w:t>
            </w:r>
            <w:r>
              <w:rPr>
                <w:b/>
                <w:highlight w:val="green"/>
              </w:rPr>
              <w:t>ly with within the Award Questionnaire</w:t>
            </w:r>
            <w:r>
              <w:t>]</w:t>
            </w:r>
          </w:p>
          <w:p w:rsidR="00DF04BD" w:rsidRDefault="00505AE7" w:rsidP="00505AE7">
            <w:pPr>
              <w:pStyle w:val="MarginText"/>
              <w:spacing w:before="60" w:after="60"/>
              <w:rPr>
                <w:b/>
              </w:rPr>
            </w:pPr>
            <w:r>
              <w:rPr>
                <w:b/>
              </w:rPr>
              <w:t>Non-Essential Requirements the Supplier did not response to this element of Tender, therefore supplier not able to provide Non-Essential elements detailed below.</w:t>
            </w:r>
          </w:p>
          <w:p w:rsidR="00505AE7" w:rsidRPr="003B1E03" w:rsidRDefault="00505AE7" w:rsidP="00505AE7">
            <w:pPr>
              <w:pStyle w:val="MarginText"/>
              <w:spacing w:before="60" w:after="60"/>
              <w:rPr>
                <w:b/>
              </w:rPr>
            </w:pPr>
            <w:r>
              <w:rPr>
                <w:b/>
              </w:rPr>
              <w:t>Non-Essential Requirements the Supplier responded to this element of the Tender</w:t>
            </w:r>
            <w:r w:rsidR="00D66B99">
              <w:rPr>
                <w:b/>
              </w:rPr>
              <w:t>, therefore the supplier is able to provide Non- Essential elements detailed below.</w:t>
            </w:r>
            <w:r>
              <w:rPr>
                <w:b/>
              </w:rPr>
              <w:t xml:space="preserve"> </w:t>
            </w:r>
          </w:p>
        </w:tc>
        <w:tc>
          <w:tcPr>
            <w:tcW w:w="236" w:type="dxa"/>
            <w:shd w:val="clear" w:color="auto" w:fill="auto"/>
          </w:tcPr>
          <w:p w:rsidR="00DF04BD" w:rsidRPr="002202BA" w:rsidRDefault="00DF04BD" w:rsidP="00EA39CE">
            <w:pPr>
              <w:pStyle w:val="TableText"/>
              <w:jc w:val="center"/>
            </w:pPr>
          </w:p>
        </w:tc>
      </w:tr>
      <w:tr w:rsidR="004A5F98" w:rsidRPr="002202BA" w:rsidTr="00EA39CE">
        <w:trPr>
          <w:trHeight w:val="700"/>
        </w:trPr>
        <w:tc>
          <w:tcPr>
            <w:tcW w:w="482" w:type="dxa"/>
          </w:tcPr>
          <w:p w:rsidR="004A5F98" w:rsidRPr="00197AEC" w:rsidRDefault="00225C7E" w:rsidP="00EA39CE">
            <w:pPr>
              <w:pStyle w:val="TableText"/>
              <w:rPr>
                <w:highlight w:val="yellow"/>
              </w:rPr>
            </w:pPr>
            <w:r w:rsidRPr="00225C7E">
              <w:rPr>
                <w:highlight w:val="yellow"/>
              </w:rPr>
              <w:t>[15</w:t>
            </w:r>
          </w:p>
        </w:tc>
        <w:tc>
          <w:tcPr>
            <w:tcW w:w="7706" w:type="dxa"/>
          </w:tcPr>
          <w:p w:rsidR="004A5F98" w:rsidRPr="00197AEC" w:rsidRDefault="00225C7E" w:rsidP="000B28B0">
            <w:pPr>
              <w:pStyle w:val="MarginText"/>
              <w:spacing w:before="60" w:after="60"/>
              <w:rPr>
                <w:rFonts w:cs="Arial"/>
                <w:highlight w:val="yellow"/>
                <w:lang w:eastAsia="en-US"/>
              </w:rPr>
            </w:pPr>
            <w:r w:rsidRPr="00225C7E">
              <w:rPr>
                <w:highlight w:val="yellow"/>
              </w:rPr>
              <w:t xml:space="preserve">The Secure </w:t>
            </w:r>
            <w:proofErr w:type="spellStart"/>
            <w:r w:rsidRPr="00225C7E">
              <w:rPr>
                <w:highlight w:val="yellow"/>
              </w:rPr>
              <w:t>eMail</w:t>
            </w:r>
            <w:proofErr w:type="spellEnd"/>
            <w:r w:rsidRPr="00225C7E">
              <w:rPr>
                <w:highlight w:val="yellow"/>
              </w:rPr>
              <w:t xml:space="preserve"> Service shall give organisations the option of directly purchasing larger email and archive quotas (if separate products), for both personal accounts and generic accounts.</w:t>
            </w:r>
            <w:r w:rsidR="003370B7">
              <w:rPr>
                <w:highlight w:val="yellow"/>
              </w:rPr>
              <w:t>]</w:t>
            </w:r>
          </w:p>
        </w:tc>
        <w:tc>
          <w:tcPr>
            <w:tcW w:w="236" w:type="dxa"/>
            <w:shd w:val="clear" w:color="auto" w:fill="auto"/>
          </w:tcPr>
          <w:p w:rsidR="004A5F98" w:rsidRPr="002202BA" w:rsidRDefault="004A5F98" w:rsidP="00EA39CE">
            <w:pPr>
              <w:pStyle w:val="TableText"/>
              <w:jc w:val="center"/>
            </w:pPr>
          </w:p>
        </w:tc>
      </w:tr>
      <w:tr w:rsidR="004A5F98" w:rsidRPr="002202BA" w:rsidTr="00EA39CE">
        <w:trPr>
          <w:trHeight w:val="700"/>
        </w:trPr>
        <w:tc>
          <w:tcPr>
            <w:tcW w:w="482" w:type="dxa"/>
          </w:tcPr>
          <w:p w:rsidR="004A5F98" w:rsidRPr="00197AEC" w:rsidRDefault="003370B7" w:rsidP="00EA39CE">
            <w:pPr>
              <w:pStyle w:val="TableText"/>
              <w:rPr>
                <w:highlight w:val="yellow"/>
              </w:rPr>
            </w:pPr>
            <w:r>
              <w:rPr>
                <w:highlight w:val="yellow"/>
              </w:rPr>
              <w:t>]</w:t>
            </w:r>
            <w:r w:rsidR="00225C7E" w:rsidRPr="00225C7E">
              <w:rPr>
                <w:highlight w:val="yellow"/>
              </w:rPr>
              <w:t>16</w:t>
            </w:r>
          </w:p>
        </w:tc>
        <w:tc>
          <w:tcPr>
            <w:tcW w:w="7706" w:type="dxa"/>
          </w:tcPr>
          <w:p w:rsidR="004A5F98" w:rsidRPr="00197AEC" w:rsidRDefault="00225C7E" w:rsidP="000B28B0">
            <w:pPr>
              <w:pStyle w:val="MarginText"/>
              <w:spacing w:before="60" w:after="60"/>
              <w:rPr>
                <w:rFonts w:cs="Arial"/>
                <w:highlight w:val="yellow"/>
                <w:lang w:eastAsia="en-US"/>
              </w:rPr>
            </w:pPr>
            <w:r w:rsidRPr="00225C7E">
              <w:rPr>
                <w:highlight w:val="yellow"/>
              </w:rPr>
              <w:t>The Secure Email Service shall include an archiving solution that is seamlessly integrated with the Secure Email Service and completely transparent to users. The archive shall support per service and per organisation retention polices/archiving rule sets with a variety of archive quota sizes across the organisational average archive size.]</w:t>
            </w:r>
          </w:p>
        </w:tc>
        <w:tc>
          <w:tcPr>
            <w:tcW w:w="236" w:type="dxa"/>
            <w:shd w:val="clear" w:color="auto" w:fill="auto"/>
          </w:tcPr>
          <w:p w:rsidR="004A5F98" w:rsidRPr="002202BA" w:rsidRDefault="004A5F98" w:rsidP="00EA39CE">
            <w:pPr>
              <w:pStyle w:val="TableText"/>
              <w:jc w:val="center"/>
            </w:pPr>
          </w:p>
        </w:tc>
      </w:tr>
    </w:tbl>
    <w:p w:rsidR="00327B9A" w:rsidRPr="0047636B" w:rsidRDefault="00327B9A" w:rsidP="00327B9A">
      <w:pPr>
        <w:pStyle w:val="GPSL3numberedclause"/>
        <w:numPr>
          <w:ilvl w:val="2"/>
          <w:numId w:val="323"/>
        </w:numPr>
      </w:pPr>
      <w:r w:rsidRPr="0047636B">
        <w:t>Secure Email Gateway</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830"/>
        <w:gridCol w:w="283"/>
      </w:tblGrid>
      <w:tr w:rsidR="00327B9A" w:rsidRPr="00A41ACE" w:rsidTr="00EA39CE">
        <w:tc>
          <w:tcPr>
            <w:tcW w:w="392" w:type="dxa"/>
            <w:shd w:val="pct12" w:color="auto" w:fill="auto"/>
          </w:tcPr>
          <w:p w:rsidR="00327B9A" w:rsidRPr="00A41ACE" w:rsidRDefault="00327B9A" w:rsidP="00EA39CE">
            <w:pPr>
              <w:pStyle w:val="TableHeader"/>
              <w:rPr>
                <w:sz w:val="22"/>
                <w:szCs w:val="22"/>
                <w:lang w:val="en-GB"/>
              </w:rPr>
            </w:pPr>
            <w:r w:rsidRPr="00A41ACE">
              <w:rPr>
                <w:sz w:val="22"/>
                <w:szCs w:val="22"/>
                <w:lang w:val="en-GB"/>
              </w:rPr>
              <w:t>#</w:t>
            </w:r>
          </w:p>
        </w:tc>
        <w:tc>
          <w:tcPr>
            <w:tcW w:w="7830" w:type="dxa"/>
            <w:shd w:val="pct12" w:color="auto" w:fill="auto"/>
          </w:tcPr>
          <w:p w:rsidR="00327B9A" w:rsidRPr="00A41ACE" w:rsidRDefault="00327B9A" w:rsidP="00EA39CE">
            <w:pPr>
              <w:pStyle w:val="TableHeader"/>
              <w:rPr>
                <w:sz w:val="22"/>
                <w:szCs w:val="22"/>
                <w:lang w:val="en-GB"/>
              </w:rPr>
            </w:pPr>
            <w:r w:rsidRPr="00A41ACE">
              <w:rPr>
                <w:sz w:val="22"/>
                <w:szCs w:val="22"/>
                <w:lang w:val="en-GB"/>
              </w:rPr>
              <w:t>Requirement</w:t>
            </w:r>
          </w:p>
        </w:tc>
        <w:tc>
          <w:tcPr>
            <w:tcW w:w="283" w:type="dxa"/>
            <w:shd w:val="pct12" w:color="auto" w:fill="auto"/>
          </w:tcPr>
          <w:p w:rsidR="00327B9A" w:rsidRPr="00A41ACE" w:rsidRDefault="00327B9A" w:rsidP="00EA39CE">
            <w:pPr>
              <w:pStyle w:val="TableHeader"/>
              <w:jc w:val="center"/>
              <w:rPr>
                <w:sz w:val="22"/>
                <w:szCs w:val="22"/>
                <w:lang w:val="en-GB"/>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1</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The Secure Email Gateway Service shall transfer email messages securely between the Secure Email Service and:</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The Government Secure Intra</w:t>
            </w:r>
            <w:r w:rsidR="00937184">
              <w:rPr>
                <w:rFonts w:cs="Arial"/>
                <w:sz w:val="22"/>
                <w:szCs w:val="22"/>
              </w:rPr>
              <w:t>net (*.gsi.gov.uk, *.gsx.gov.uk)</w:t>
            </w:r>
            <w:r w:rsidRPr="00A41ACE">
              <w:rPr>
                <w:rFonts w:cs="Arial"/>
                <w:sz w:val="22"/>
                <w:szCs w:val="22"/>
              </w:rPr>
              <w:t xml:space="preserve"> *.gse.gov.uk,</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Secure email domains in Local Government/Social Services (*.gcsx.gov.uk)</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Criminal Justice/Police National Network (*.pnn.police.uk, *.scn.gov.uk, *.cjsm.net).</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 xml:space="preserve">Secure </w:t>
            </w:r>
            <w:proofErr w:type="spellStart"/>
            <w:r w:rsidRPr="00A41ACE">
              <w:rPr>
                <w:rFonts w:cs="Arial"/>
                <w:sz w:val="22"/>
                <w:szCs w:val="22"/>
              </w:rPr>
              <w:t>NHSmail</w:t>
            </w:r>
            <w:proofErr w:type="spellEnd"/>
            <w:r w:rsidR="00937184">
              <w:rPr>
                <w:rFonts w:cs="Arial"/>
                <w:sz w:val="22"/>
                <w:szCs w:val="22"/>
              </w:rPr>
              <w:t xml:space="preserve"> domain (*.nhs.net</w:t>
            </w:r>
            <w:r w:rsidRPr="00A41ACE">
              <w:rPr>
                <w:rFonts w:cs="Arial"/>
                <w:sz w:val="22"/>
                <w:szCs w:val="22"/>
              </w:rPr>
              <w:t>)</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Secure email domains in the Ministry of Defence (*.mod.uk)</w:t>
            </w:r>
          </w:p>
          <w:p w:rsidR="00DF04BD" w:rsidRPr="00A41ACE" w:rsidRDefault="00DF04BD" w:rsidP="000B28B0">
            <w:pPr>
              <w:pStyle w:val="TableText"/>
              <w:numPr>
                <w:ilvl w:val="0"/>
                <w:numId w:val="472"/>
              </w:numPr>
              <w:spacing w:before="60" w:after="60"/>
              <w:ind w:left="634"/>
              <w:textboxTightWrap w:val="none"/>
              <w:rPr>
                <w:rFonts w:cs="Arial"/>
                <w:sz w:val="22"/>
                <w:szCs w:val="22"/>
              </w:rPr>
            </w:pPr>
            <w:r w:rsidRPr="00A41ACE">
              <w:rPr>
                <w:rFonts w:cs="Arial"/>
                <w:sz w:val="22"/>
                <w:szCs w:val="22"/>
              </w:rPr>
              <w:t xml:space="preserve">Other networks or organisations as from time to time specified by a </w:t>
            </w:r>
            <w:r w:rsidR="001A0B07">
              <w:rPr>
                <w:rFonts w:cs="Arial"/>
                <w:sz w:val="22"/>
                <w:szCs w:val="22"/>
              </w:rPr>
              <w:t>Contracting Body</w:t>
            </w:r>
            <w:r w:rsidRPr="00A41ACE">
              <w:rPr>
                <w:rFonts w:cs="Arial"/>
                <w:sz w:val="22"/>
                <w:szCs w:val="22"/>
              </w:rPr>
              <w:t>.</w:t>
            </w:r>
          </w:p>
          <w:p w:rsidR="00DF04BD" w:rsidRPr="00A41ACE" w:rsidRDefault="00DF04BD" w:rsidP="000B28B0">
            <w:pPr>
              <w:pStyle w:val="TableText"/>
              <w:spacing w:before="60" w:after="60"/>
              <w:ind w:left="209"/>
              <w:textboxTightWrap w:val="none"/>
              <w:rPr>
                <w:rFonts w:cs="Arial"/>
                <w:sz w:val="22"/>
                <w:szCs w:val="22"/>
              </w:rPr>
            </w:pP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2</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The Secure Email Gateway Service shall provide a lightweight relay service for bulk emails. This must not support email services outside the domain.</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3</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The Secure Email Gateway Service shall provide:</w:t>
            </w:r>
          </w:p>
          <w:p w:rsidR="00DF04BD" w:rsidRPr="00A41ACE" w:rsidRDefault="00DF04BD" w:rsidP="000B28B0">
            <w:pPr>
              <w:pStyle w:val="TableText"/>
              <w:numPr>
                <w:ilvl w:val="0"/>
                <w:numId w:val="473"/>
              </w:numPr>
              <w:spacing w:before="60" w:after="60"/>
              <w:ind w:left="634"/>
              <w:textboxTightWrap w:val="none"/>
              <w:rPr>
                <w:rFonts w:cs="Arial"/>
                <w:sz w:val="22"/>
                <w:szCs w:val="22"/>
              </w:rPr>
            </w:pPr>
            <w:r w:rsidRPr="00A41ACE">
              <w:rPr>
                <w:rFonts w:cs="Arial"/>
                <w:sz w:val="22"/>
                <w:szCs w:val="22"/>
              </w:rPr>
              <w:lastRenderedPageBreak/>
              <w:t>SMTP authentication.</w:t>
            </w:r>
          </w:p>
          <w:p w:rsidR="00DF04BD" w:rsidRPr="00A41ACE" w:rsidRDefault="00DF04BD" w:rsidP="000B28B0">
            <w:pPr>
              <w:pStyle w:val="TableText"/>
              <w:numPr>
                <w:ilvl w:val="0"/>
                <w:numId w:val="473"/>
              </w:numPr>
              <w:spacing w:before="60" w:after="60"/>
              <w:ind w:left="634"/>
              <w:textboxTightWrap w:val="none"/>
              <w:rPr>
                <w:rFonts w:cs="Arial"/>
                <w:sz w:val="22"/>
                <w:szCs w:val="22"/>
              </w:rPr>
            </w:pPr>
            <w:r w:rsidRPr="00A41ACE">
              <w:rPr>
                <w:rFonts w:cs="Arial"/>
                <w:sz w:val="22"/>
                <w:szCs w:val="22"/>
              </w:rPr>
              <w:t>Encryption of data in transit to and from the gateway.</w:t>
            </w:r>
          </w:p>
          <w:p w:rsidR="00DF04BD" w:rsidRPr="00A41ACE" w:rsidRDefault="00DF04BD" w:rsidP="000B28B0">
            <w:pPr>
              <w:pStyle w:val="TableText"/>
              <w:numPr>
                <w:ilvl w:val="0"/>
                <w:numId w:val="473"/>
              </w:numPr>
              <w:spacing w:before="60" w:after="60"/>
              <w:ind w:left="634"/>
              <w:textboxTightWrap w:val="none"/>
              <w:rPr>
                <w:rFonts w:cs="Arial"/>
                <w:sz w:val="22"/>
                <w:szCs w:val="22"/>
              </w:rPr>
            </w:pPr>
            <w:r w:rsidRPr="00A41ACE">
              <w:rPr>
                <w:rFonts w:cs="Arial"/>
                <w:sz w:val="22"/>
                <w:szCs w:val="22"/>
              </w:rPr>
              <w:t>Access from authorised IP addresses</w:t>
            </w:r>
          </w:p>
          <w:p w:rsidR="00DF04BD" w:rsidRPr="00A41ACE" w:rsidRDefault="00DF04BD" w:rsidP="000B28B0">
            <w:pPr>
              <w:pStyle w:val="TableText"/>
              <w:spacing w:before="60" w:after="60"/>
              <w:ind w:left="209"/>
              <w:textboxTightWrap w:val="none"/>
              <w:rPr>
                <w:rFonts w:cs="Arial"/>
                <w:sz w:val="22"/>
                <w:szCs w:val="22"/>
              </w:rPr>
            </w:pP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lastRenderedPageBreak/>
              <w:t>4</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The Secure Email Gateway Service shall provide non-delivery reports for email messages which are unable to be delivered by it.</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5</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The Secure Email Gateway Service shall contain functionality to support secure MIME standards.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6</w:t>
            </w:r>
          </w:p>
          <w:p w:rsidR="00DF04BD" w:rsidRPr="00A41ACE" w:rsidRDefault="00DF04BD" w:rsidP="00EA39CE">
            <w:pPr>
              <w:pStyle w:val="TableText"/>
              <w:rPr>
                <w:rFonts w:cs="Arial"/>
                <w:sz w:val="22"/>
                <w:szCs w:val="22"/>
              </w:rPr>
            </w:pP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 xml:space="preserve">The Secure Email Gateway Service shall provide industry leading anti-virus and anti-spam filtering capabilities in addition to commodity content management such as attachment blocking, maximum attachment size, profanity checking, virus/spam filtering capabilities and data leakage prevention e.g. encrypt Official-Sensitive email destined for the Internet or a non-secure PSN connected domain.  There shall also exist appropriate options for managing spoofed/forged email and items that cannot be checked such as S/MIME encrypted or password protected attachments.  Rules shall work at SMTP domain levels e.g. block Official-Sensitive email to a specified internet domain or allow a single </w:t>
            </w:r>
            <w:r w:rsidR="001A0B07">
              <w:rPr>
                <w:rFonts w:cs="Arial"/>
                <w:sz w:val="22"/>
                <w:szCs w:val="22"/>
              </w:rPr>
              <w:t>Contracting Body</w:t>
            </w:r>
            <w:r w:rsidRPr="00A41ACE">
              <w:rPr>
                <w:rFonts w:cs="Arial"/>
                <w:sz w:val="22"/>
                <w:szCs w:val="22"/>
              </w:rPr>
              <w:t xml:space="preserve"> of the Service to block emails containing profanities.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392" w:type="dxa"/>
          </w:tcPr>
          <w:p w:rsidR="00DF04BD" w:rsidRPr="00A41ACE" w:rsidRDefault="00DF04BD" w:rsidP="00EA39CE">
            <w:pPr>
              <w:pStyle w:val="TableText"/>
              <w:rPr>
                <w:rFonts w:cs="Arial"/>
                <w:sz w:val="22"/>
                <w:szCs w:val="22"/>
              </w:rPr>
            </w:pPr>
            <w:r w:rsidRPr="00A41ACE">
              <w:rPr>
                <w:rFonts w:cs="Arial"/>
                <w:sz w:val="22"/>
                <w:szCs w:val="22"/>
              </w:rPr>
              <w:t>7</w:t>
            </w:r>
          </w:p>
        </w:tc>
        <w:tc>
          <w:tcPr>
            <w:tcW w:w="7830" w:type="dxa"/>
          </w:tcPr>
          <w:p w:rsidR="00DF04BD" w:rsidRPr="00A41ACE" w:rsidRDefault="00DF04BD" w:rsidP="000B28B0">
            <w:pPr>
              <w:pStyle w:val="TableText"/>
              <w:ind w:left="209"/>
              <w:rPr>
                <w:rFonts w:cs="Arial"/>
                <w:sz w:val="22"/>
                <w:szCs w:val="22"/>
              </w:rPr>
            </w:pPr>
            <w:r w:rsidRPr="00A41ACE">
              <w:rPr>
                <w:rFonts w:cs="Arial"/>
                <w:sz w:val="22"/>
                <w:szCs w:val="22"/>
              </w:rPr>
              <w:t xml:space="preserve">The Secure Email Gateway Service shall provide bi-directional user friendly email encryption (including attachments) to any insecure email addresses to support email exchange to organisations and individuals operating outside of the secure email domains provided for in </w:t>
            </w:r>
            <w:r w:rsidR="00A41ACE">
              <w:rPr>
                <w:rFonts w:cs="Arial"/>
                <w:sz w:val="22"/>
                <w:szCs w:val="22"/>
              </w:rPr>
              <w:t>requirement 1 above</w:t>
            </w:r>
            <w:r w:rsidRPr="00A41ACE">
              <w:rPr>
                <w:rFonts w:cs="Arial"/>
                <w:sz w:val="22"/>
                <w:szCs w:val="22"/>
              </w:rPr>
              <w:t>.</w:t>
            </w:r>
          </w:p>
          <w:p w:rsidR="00DF04BD" w:rsidRPr="00A41ACE" w:rsidRDefault="00DF04BD" w:rsidP="000B28B0">
            <w:pPr>
              <w:pStyle w:val="TableText"/>
              <w:ind w:left="209"/>
              <w:rPr>
                <w:rFonts w:cs="Arial"/>
                <w:sz w:val="22"/>
                <w:szCs w:val="22"/>
              </w:rPr>
            </w:pPr>
            <w:r w:rsidRPr="00A41ACE">
              <w:rPr>
                <w:rFonts w:cs="Arial"/>
                <w:sz w:val="22"/>
                <w:szCs w:val="22"/>
              </w:rPr>
              <w:t>This method of encrypting content shall support both configurable automated and manual methods e.g. encrypting based on protective marking, content or user action.</w:t>
            </w:r>
          </w:p>
          <w:p w:rsidR="00DF04BD" w:rsidRPr="00A41ACE" w:rsidRDefault="00DF04BD" w:rsidP="000B28B0">
            <w:pPr>
              <w:pStyle w:val="TableText"/>
              <w:ind w:left="209"/>
              <w:rPr>
                <w:rFonts w:cs="Arial"/>
                <w:sz w:val="22"/>
                <w:szCs w:val="22"/>
              </w:rPr>
            </w:pPr>
            <w:r w:rsidRPr="00A41ACE">
              <w:rPr>
                <w:rFonts w:cs="Arial"/>
                <w:sz w:val="22"/>
                <w:szCs w:val="22"/>
              </w:rPr>
              <w:t>Encryption/de-encryption shall not prevent data being searched/discovered for compliance purposes.</w:t>
            </w:r>
          </w:p>
          <w:p w:rsidR="00DF04BD" w:rsidRPr="00A41ACE" w:rsidRDefault="00DF04BD" w:rsidP="000B28B0">
            <w:pPr>
              <w:pStyle w:val="TableText"/>
              <w:ind w:left="209"/>
              <w:rPr>
                <w:rFonts w:cs="Arial"/>
                <w:sz w:val="22"/>
                <w:szCs w:val="22"/>
              </w:rPr>
            </w:pPr>
            <w:r w:rsidRPr="00A41ACE">
              <w:rPr>
                <w:rFonts w:cs="Arial"/>
                <w:sz w:val="22"/>
                <w:szCs w:val="22"/>
              </w:rPr>
              <w:t xml:space="preserve">There shall be no additional cost associated with recipients of encrypted email replying or generating a new message to a platform recipient address.  </w:t>
            </w:r>
          </w:p>
          <w:p w:rsidR="00DF04BD" w:rsidRPr="00A41ACE" w:rsidRDefault="00DF04BD" w:rsidP="000B28B0">
            <w:pPr>
              <w:pStyle w:val="TableText"/>
              <w:ind w:left="209"/>
              <w:rPr>
                <w:rFonts w:cs="Arial"/>
                <w:sz w:val="22"/>
                <w:szCs w:val="22"/>
              </w:rPr>
            </w:pPr>
            <w:r w:rsidRPr="00A41ACE">
              <w:rPr>
                <w:rFonts w:cs="Arial"/>
                <w:sz w:val="22"/>
                <w:szCs w:val="22"/>
              </w:rPr>
              <w:t>Recipient authentication shall support either Government Gateway credentials or a locally registered and validated identity.</w:t>
            </w:r>
          </w:p>
        </w:tc>
        <w:tc>
          <w:tcPr>
            <w:tcW w:w="283" w:type="dxa"/>
            <w:shd w:val="clear" w:color="auto" w:fill="auto"/>
          </w:tcPr>
          <w:p w:rsidR="00DF04BD" w:rsidRPr="00A41ACE" w:rsidRDefault="00DF04BD" w:rsidP="00EA39CE">
            <w:pPr>
              <w:pStyle w:val="TableText"/>
              <w:jc w:val="center"/>
              <w:rPr>
                <w:rFonts w:cs="Arial"/>
                <w:sz w:val="22"/>
                <w:szCs w:val="22"/>
              </w:rPr>
            </w:pPr>
          </w:p>
        </w:tc>
      </w:tr>
    </w:tbl>
    <w:p w:rsidR="00327B9A" w:rsidRPr="0047636B" w:rsidRDefault="00327B9A" w:rsidP="00327B9A">
      <w:pPr>
        <w:pStyle w:val="GPSL3numberedclause"/>
        <w:numPr>
          <w:ilvl w:val="2"/>
          <w:numId w:val="323"/>
        </w:numPr>
      </w:pPr>
      <w:r w:rsidRPr="0047636B">
        <w:t>Mobile Device Management: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7819"/>
        <w:gridCol w:w="283"/>
      </w:tblGrid>
      <w:tr w:rsidR="00327B9A" w:rsidRPr="00A41ACE" w:rsidTr="00EA39CE">
        <w:tc>
          <w:tcPr>
            <w:tcW w:w="403" w:type="dxa"/>
            <w:shd w:val="pct12" w:color="auto" w:fill="auto"/>
          </w:tcPr>
          <w:p w:rsidR="00327B9A" w:rsidRPr="00A41ACE" w:rsidRDefault="00327B9A" w:rsidP="00EA39CE">
            <w:pPr>
              <w:pStyle w:val="TableHeader"/>
              <w:rPr>
                <w:sz w:val="22"/>
                <w:szCs w:val="22"/>
                <w:lang w:val="en-GB"/>
              </w:rPr>
            </w:pPr>
            <w:r w:rsidRPr="00A41ACE">
              <w:rPr>
                <w:sz w:val="22"/>
                <w:szCs w:val="22"/>
                <w:lang w:val="en-GB"/>
              </w:rPr>
              <w:t>#</w:t>
            </w:r>
          </w:p>
        </w:tc>
        <w:tc>
          <w:tcPr>
            <w:tcW w:w="7819" w:type="dxa"/>
            <w:shd w:val="pct12" w:color="auto" w:fill="auto"/>
          </w:tcPr>
          <w:p w:rsidR="00327B9A" w:rsidRPr="00A41ACE" w:rsidRDefault="00327B9A" w:rsidP="00EA39CE">
            <w:pPr>
              <w:pStyle w:val="TableHeader"/>
              <w:rPr>
                <w:sz w:val="22"/>
                <w:szCs w:val="22"/>
                <w:lang w:val="en-GB"/>
              </w:rPr>
            </w:pPr>
            <w:r w:rsidRPr="00A41ACE">
              <w:rPr>
                <w:sz w:val="22"/>
                <w:szCs w:val="22"/>
                <w:lang w:val="en-GB"/>
              </w:rPr>
              <w:t>Requirement</w:t>
            </w:r>
          </w:p>
        </w:tc>
        <w:tc>
          <w:tcPr>
            <w:tcW w:w="283" w:type="dxa"/>
            <w:shd w:val="pct12" w:color="auto" w:fill="auto"/>
          </w:tcPr>
          <w:p w:rsidR="00327B9A" w:rsidRPr="00A41ACE" w:rsidRDefault="00327B9A" w:rsidP="00EA39CE">
            <w:pPr>
              <w:pStyle w:val="TableHeader"/>
              <w:jc w:val="center"/>
              <w:rPr>
                <w:sz w:val="22"/>
                <w:szCs w:val="22"/>
                <w:lang w:val="en-GB"/>
              </w:rPr>
            </w:pPr>
          </w:p>
        </w:tc>
      </w:tr>
      <w:tr w:rsidR="004A5F98" w:rsidRPr="00A41ACE" w:rsidTr="00EA39CE">
        <w:tc>
          <w:tcPr>
            <w:tcW w:w="403" w:type="dxa"/>
          </w:tcPr>
          <w:p w:rsidR="004A5F98" w:rsidRPr="00A41ACE" w:rsidRDefault="004A5F98" w:rsidP="00EA39CE">
            <w:pPr>
              <w:pStyle w:val="TableText"/>
              <w:rPr>
                <w:rFonts w:cs="Arial"/>
                <w:sz w:val="22"/>
                <w:szCs w:val="22"/>
              </w:rPr>
            </w:pPr>
            <w:r w:rsidRPr="00A41ACE">
              <w:rPr>
                <w:rFonts w:cs="Arial"/>
                <w:sz w:val="22"/>
                <w:szCs w:val="22"/>
              </w:rPr>
              <w:t>1</w:t>
            </w:r>
          </w:p>
        </w:tc>
        <w:tc>
          <w:tcPr>
            <w:tcW w:w="7819" w:type="dxa"/>
          </w:tcPr>
          <w:p w:rsidR="004A5F98" w:rsidRPr="00A41ACE" w:rsidRDefault="004A5F98" w:rsidP="000B28B0">
            <w:pPr>
              <w:pStyle w:val="TableText"/>
              <w:ind w:left="198"/>
              <w:rPr>
                <w:rFonts w:cs="Arial"/>
                <w:sz w:val="22"/>
                <w:szCs w:val="22"/>
              </w:rPr>
            </w:pPr>
            <w:r w:rsidRPr="00A41ACE">
              <w:rPr>
                <w:rFonts w:cs="Arial"/>
                <w:sz w:val="22"/>
                <w:szCs w:val="22"/>
              </w:rPr>
              <w:t>The Mobile Device Management Service shall support the following minimum and non-exhaustive list of mobile/tablet device operating systems:</w:t>
            </w:r>
          </w:p>
          <w:p w:rsidR="004A5F98" w:rsidRPr="00A41ACE" w:rsidRDefault="004A5F98" w:rsidP="000B28B0">
            <w:pPr>
              <w:pStyle w:val="TableText"/>
              <w:numPr>
                <w:ilvl w:val="0"/>
                <w:numId w:val="474"/>
              </w:numPr>
              <w:spacing w:before="60" w:after="60"/>
              <w:ind w:left="623"/>
              <w:textboxTightWrap w:val="none"/>
              <w:rPr>
                <w:rFonts w:cs="Arial"/>
                <w:sz w:val="22"/>
                <w:szCs w:val="22"/>
              </w:rPr>
            </w:pPr>
            <w:r w:rsidRPr="00A41ACE">
              <w:rPr>
                <w:rFonts w:cs="Arial"/>
                <w:sz w:val="22"/>
                <w:szCs w:val="22"/>
              </w:rPr>
              <w:t xml:space="preserve">Apple </w:t>
            </w:r>
            <w:proofErr w:type="spellStart"/>
            <w:r w:rsidRPr="00A41ACE">
              <w:rPr>
                <w:rFonts w:cs="Arial"/>
                <w:sz w:val="22"/>
                <w:szCs w:val="22"/>
              </w:rPr>
              <w:t>iOS</w:t>
            </w:r>
            <w:proofErr w:type="spellEnd"/>
            <w:r w:rsidRPr="00A41ACE">
              <w:rPr>
                <w:rFonts w:cs="Arial"/>
                <w:sz w:val="22"/>
                <w:szCs w:val="22"/>
              </w:rPr>
              <w:t>.</w:t>
            </w:r>
          </w:p>
          <w:p w:rsidR="004A5F98" w:rsidRPr="00A41ACE" w:rsidRDefault="004A5F98" w:rsidP="000B28B0">
            <w:pPr>
              <w:pStyle w:val="TableText"/>
              <w:numPr>
                <w:ilvl w:val="0"/>
                <w:numId w:val="474"/>
              </w:numPr>
              <w:spacing w:before="60" w:after="60"/>
              <w:ind w:left="623"/>
              <w:textboxTightWrap w:val="none"/>
              <w:rPr>
                <w:rFonts w:cs="Arial"/>
                <w:sz w:val="22"/>
                <w:szCs w:val="22"/>
              </w:rPr>
            </w:pPr>
            <w:r w:rsidRPr="00A41ACE">
              <w:rPr>
                <w:rFonts w:cs="Arial"/>
                <w:sz w:val="22"/>
                <w:szCs w:val="22"/>
              </w:rPr>
              <w:t>Android.</w:t>
            </w:r>
          </w:p>
          <w:p w:rsidR="004A5F98" w:rsidRPr="00A41ACE" w:rsidRDefault="004A5F98" w:rsidP="000B28B0">
            <w:pPr>
              <w:pStyle w:val="TableText"/>
              <w:numPr>
                <w:ilvl w:val="0"/>
                <w:numId w:val="474"/>
              </w:numPr>
              <w:spacing w:before="60" w:after="60"/>
              <w:ind w:left="623"/>
              <w:textboxTightWrap w:val="none"/>
              <w:rPr>
                <w:rFonts w:cs="Arial"/>
                <w:sz w:val="22"/>
                <w:szCs w:val="22"/>
              </w:rPr>
            </w:pPr>
            <w:r w:rsidRPr="00A41ACE">
              <w:rPr>
                <w:rFonts w:cs="Arial"/>
                <w:sz w:val="22"/>
                <w:szCs w:val="22"/>
              </w:rPr>
              <w:t>Windows RT.</w:t>
            </w:r>
          </w:p>
          <w:p w:rsidR="004A5F98" w:rsidRPr="00A41ACE" w:rsidRDefault="004A5F98" w:rsidP="000B28B0">
            <w:pPr>
              <w:pStyle w:val="TableText"/>
              <w:numPr>
                <w:ilvl w:val="0"/>
                <w:numId w:val="474"/>
              </w:numPr>
              <w:spacing w:before="60" w:after="60"/>
              <w:ind w:left="623"/>
              <w:textboxTightWrap w:val="none"/>
              <w:rPr>
                <w:rFonts w:cs="Arial"/>
                <w:sz w:val="22"/>
                <w:szCs w:val="22"/>
              </w:rPr>
            </w:pPr>
            <w:r w:rsidRPr="00A41ACE">
              <w:rPr>
                <w:rFonts w:cs="Arial"/>
                <w:sz w:val="22"/>
                <w:szCs w:val="22"/>
              </w:rPr>
              <w:t>Windows Phone.</w:t>
            </w:r>
          </w:p>
          <w:p w:rsidR="004A5F98" w:rsidRPr="00A41ACE" w:rsidRDefault="004A5F98" w:rsidP="000B28B0">
            <w:pPr>
              <w:pStyle w:val="TableText"/>
              <w:numPr>
                <w:ilvl w:val="0"/>
                <w:numId w:val="474"/>
              </w:numPr>
              <w:spacing w:before="60" w:after="60"/>
              <w:ind w:left="623"/>
              <w:textboxTightWrap w:val="none"/>
              <w:rPr>
                <w:rFonts w:cs="Arial"/>
                <w:sz w:val="22"/>
                <w:szCs w:val="22"/>
              </w:rPr>
            </w:pPr>
            <w:r w:rsidRPr="00A41ACE">
              <w:rPr>
                <w:rFonts w:cs="Arial"/>
                <w:sz w:val="22"/>
                <w:szCs w:val="22"/>
              </w:rPr>
              <w:t>BlackBerry OS.</w:t>
            </w:r>
          </w:p>
          <w:p w:rsidR="004A5F98" w:rsidRPr="00A41ACE" w:rsidRDefault="004A5F98" w:rsidP="000B28B0">
            <w:pPr>
              <w:pStyle w:val="TableText"/>
              <w:numPr>
                <w:ilvl w:val="0"/>
                <w:numId w:val="438"/>
              </w:numPr>
              <w:spacing w:before="60" w:after="60"/>
              <w:ind w:left="198"/>
              <w:textboxTightWrap w:val="none"/>
              <w:rPr>
                <w:rFonts w:cs="Arial"/>
                <w:sz w:val="22"/>
                <w:szCs w:val="22"/>
              </w:rPr>
            </w:pPr>
          </w:p>
        </w:tc>
        <w:tc>
          <w:tcPr>
            <w:tcW w:w="283" w:type="dxa"/>
            <w:shd w:val="clear" w:color="auto" w:fill="auto"/>
          </w:tcPr>
          <w:p w:rsidR="004A5F98" w:rsidRPr="00A41ACE" w:rsidRDefault="004A5F98" w:rsidP="00EA39CE">
            <w:pPr>
              <w:pStyle w:val="TableText"/>
              <w:jc w:val="center"/>
              <w:rPr>
                <w:rFonts w:cs="Arial"/>
                <w:sz w:val="22"/>
                <w:szCs w:val="22"/>
              </w:rPr>
            </w:pPr>
          </w:p>
        </w:tc>
      </w:tr>
      <w:tr w:rsidR="004A5F98" w:rsidRPr="00A41ACE" w:rsidTr="00EA39CE">
        <w:tc>
          <w:tcPr>
            <w:tcW w:w="403" w:type="dxa"/>
          </w:tcPr>
          <w:p w:rsidR="004A5F98" w:rsidRPr="00A41ACE" w:rsidRDefault="004A5F98" w:rsidP="00EA39CE">
            <w:pPr>
              <w:pStyle w:val="TableText"/>
              <w:rPr>
                <w:rFonts w:cs="Arial"/>
                <w:sz w:val="22"/>
                <w:szCs w:val="22"/>
              </w:rPr>
            </w:pPr>
            <w:r w:rsidRPr="00A41ACE">
              <w:rPr>
                <w:rFonts w:cs="Arial"/>
                <w:sz w:val="22"/>
                <w:szCs w:val="22"/>
              </w:rPr>
              <w:t>2</w:t>
            </w:r>
          </w:p>
        </w:tc>
        <w:tc>
          <w:tcPr>
            <w:tcW w:w="7819" w:type="dxa"/>
          </w:tcPr>
          <w:p w:rsidR="004A5F98" w:rsidRPr="00A41ACE" w:rsidRDefault="004A5F98" w:rsidP="000B28B0">
            <w:pPr>
              <w:pStyle w:val="TableText"/>
              <w:ind w:left="198"/>
              <w:rPr>
                <w:rFonts w:cs="Arial"/>
                <w:sz w:val="22"/>
                <w:szCs w:val="22"/>
              </w:rPr>
            </w:pPr>
            <w:r w:rsidRPr="00A41ACE">
              <w:rPr>
                <w:rFonts w:cs="Arial"/>
                <w:sz w:val="22"/>
                <w:szCs w:val="22"/>
              </w:rPr>
              <w:t xml:space="preserve">The Mobile Device Management Service shall remotely enforce each </w:t>
            </w:r>
            <w:r w:rsidR="001A0B07">
              <w:rPr>
                <w:rFonts w:cs="Arial"/>
                <w:sz w:val="22"/>
                <w:szCs w:val="22"/>
              </w:rPr>
              <w:t>Contracting Body</w:t>
            </w:r>
            <w:r w:rsidRPr="00A41ACE">
              <w:rPr>
                <w:rFonts w:cs="Arial"/>
                <w:sz w:val="22"/>
                <w:szCs w:val="22"/>
              </w:rPr>
              <w:t xml:space="preserve">’s mobile device policy on all devices, and must reject any </w:t>
            </w:r>
            <w:r w:rsidRPr="00A41ACE">
              <w:rPr>
                <w:rFonts w:cs="Arial"/>
                <w:sz w:val="22"/>
                <w:szCs w:val="22"/>
              </w:rPr>
              <w:lastRenderedPageBreak/>
              <w:t>device that:</w:t>
            </w:r>
          </w:p>
          <w:p w:rsidR="004A5F98" w:rsidRPr="00A41ACE" w:rsidRDefault="004A5F98" w:rsidP="000B28B0">
            <w:pPr>
              <w:pStyle w:val="TableText"/>
              <w:numPr>
                <w:ilvl w:val="0"/>
                <w:numId w:val="475"/>
              </w:numPr>
              <w:spacing w:before="60" w:after="60"/>
              <w:ind w:left="623"/>
              <w:textboxTightWrap w:val="none"/>
              <w:rPr>
                <w:rFonts w:cs="Arial"/>
                <w:sz w:val="22"/>
                <w:szCs w:val="22"/>
              </w:rPr>
            </w:pPr>
            <w:r w:rsidRPr="00A41ACE">
              <w:rPr>
                <w:rFonts w:cs="Arial"/>
                <w:sz w:val="22"/>
                <w:szCs w:val="22"/>
              </w:rPr>
              <w:t>Does not meet the minimum security requirements.</w:t>
            </w:r>
          </w:p>
          <w:p w:rsidR="004A5F98" w:rsidRPr="00A41ACE" w:rsidRDefault="004A5F98" w:rsidP="000B28B0">
            <w:pPr>
              <w:pStyle w:val="TableText"/>
              <w:numPr>
                <w:ilvl w:val="0"/>
                <w:numId w:val="475"/>
              </w:numPr>
              <w:spacing w:before="60" w:after="60"/>
              <w:ind w:left="623"/>
              <w:textboxTightWrap w:val="none"/>
              <w:rPr>
                <w:rFonts w:cs="Arial"/>
                <w:sz w:val="22"/>
                <w:szCs w:val="22"/>
              </w:rPr>
            </w:pPr>
            <w:r w:rsidRPr="00A41ACE">
              <w:rPr>
                <w:rFonts w:cs="Arial"/>
                <w:sz w:val="22"/>
                <w:szCs w:val="22"/>
              </w:rPr>
              <w:t>Does not enforce the minimum security requirements.</w:t>
            </w:r>
          </w:p>
          <w:p w:rsidR="004A5F98" w:rsidRPr="00A41ACE" w:rsidRDefault="004A5F98" w:rsidP="000B28B0">
            <w:pPr>
              <w:pStyle w:val="TableText"/>
              <w:numPr>
                <w:ilvl w:val="0"/>
                <w:numId w:val="475"/>
              </w:numPr>
              <w:spacing w:before="60" w:after="60"/>
              <w:ind w:left="623"/>
              <w:textboxTightWrap w:val="none"/>
              <w:rPr>
                <w:rFonts w:cs="Arial"/>
                <w:sz w:val="22"/>
                <w:szCs w:val="22"/>
              </w:rPr>
            </w:pPr>
            <w:r w:rsidRPr="00A41ACE">
              <w:rPr>
                <w:rFonts w:cs="Arial"/>
                <w:sz w:val="22"/>
                <w:szCs w:val="22"/>
              </w:rPr>
              <w:t xml:space="preserve">Does not report to the Secure </w:t>
            </w:r>
            <w:proofErr w:type="spellStart"/>
            <w:r w:rsidRPr="00A41ACE">
              <w:rPr>
                <w:rFonts w:cs="Arial"/>
                <w:sz w:val="22"/>
                <w:szCs w:val="22"/>
              </w:rPr>
              <w:t>eMail</w:t>
            </w:r>
            <w:proofErr w:type="spellEnd"/>
            <w:r w:rsidRPr="00A41ACE">
              <w:rPr>
                <w:rFonts w:cs="Arial"/>
                <w:sz w:val="22"/>
                <w:szCs w:val="22"/>
              </w:rPr>
              <w:t xml:space="preserve"> Service on either of the above.</w:t>
            </w:r>
          </w:p>
          <w:p w:rsidR="004A5F98" w:rsidRPr="00A41ACE" w:rsidRDefault="004A5F98" w:rsidP="000B28B0">
            <w:pPr>
              <w:pStyle w:val="TableText"/>
              <w:spacing w:before="60" w:after="60"/>
              <w:ind w:left="198"/>
              <w:textboxTightWrap w:val="none"/>
              <w:rPr>
                <w:rFonts w:cs="Arial"/>
                <w:sz w:val="22"/>
                <w:szCs w:val="22"/>
              </w:rPr>
            </w:pPr>
          </w:p>
        </w:tc>
        <w:tc>
          <w:tcPr>
            <w:tcW w:w="283" w:type="dxa"/>
            <w:shd w:val="clear" w:color="auto" w:fill="auto"/>
          </w:tcPr>
          <w:p w:rsidR="004A5F98" w:rsidRPr="00A41ACE" w:rsidRDefault="004A5F98" w:rsidP="00EA39CE">
            <w:pPr>
              <w:pStyle w:val="TableText"/>
              <w:jc w:val="center"/>
              <w:rPr>
                <w:rFonts w:cs="Arial"/>
                <w:sz w:val="22"/>
                <w:szCs w:val="22"/>
              </w:rPr>
            </w:pPr>
          </w:p>
        </w:tc>
      </w:tr>
      <w:tr w:rsidR="004A5F98" w:rsidRPr="00A41ACE" w:rsidTr="00EA39CE">
        <w:tc>
          <w:tcPr>
            <w:tcW w:w="403" w:type="dxa"/>
          </w:tcPr>
          <w:p w:rsidR="004A5F98" w:rsidRPr="00A41ACE" w:rsidRDefault="004A5F98" w:rsidP="00EA39CE">
            <w:pPr>
              <w:pStyle w:val="TableText"/>
              <w:rPr>
                <w:rFonts w:cs="Arial"/>
                <w:sz w:val="22"/>
                <w:szCs w:val="22"/>
              </w:rPr>
            </w:pPr>
            <w:r w:rsidRPr="00A41ACE">
              <w:rPr>
                <w:rFonts w:cs="Arial"/>
                <w:sz w:val="22"/>
                <w:szCs w:val="22"/>
              </w:rPr>
              <w:lastRenderedPageBreak/>
              <w:t>3</w:t>
            </w:r>
          </w:p>
        </w:tc>
        <w:tc>
          <w:tcPr>
            <w:tcW w:w="7819" w:type="dxa"/>
          </w:tcPr>
          <w:p w:rsidR="004A5F98" w:rsidRPr="00A41ACE" w:rsidRDefault="004A5F98" w:rsidP="000B28B0">
            <w:pPr>
              <w:pStyle w:val="TableText"/>
              <w:ind w:left="198"/>
              <w:rPr>
                <w:rFonts w:cs="Arial"/>
                <w:sz w:val="22"/>
                <w:szCs w:val="22"/>
              </w:rPr>
            </w:pPr>
            <w:r w:rsidRPr="00A41ACE">
              <w:rPr>
                <w:rFonts w:cs="Arial"/>
                <w:sz w:val="22"/>
                <w:szCs w:val="22"/>
              </w:rPr>
              <w:t>The Mobile Device Management Service shall provide organisation administrators with a Mobile Device Management capability, to manage all of an organisation’s mobile devices remotely, including:</w:t>
            </w:r>
          </w:p>
          <w:p w:rsidR="004A5F98" w:rsidRPr="00A41ACE" w:rsidRDefault="004A5F98" w:rsidP="000B28B0">
            <w:pPr>
              <w:pStyle w:val="TableText"/>
              <w:numPr>
                <w:ilvl w:val="0"/>
                <w:numId w:val="476"/>
              </w:numPr>
              <w:spacing w:before="60" w:after="60"/>
              <w:ind w:left="623"/>
              <w:textboxTightWrap w:val="none"/>
              <w:rPr>
                <w:rFonts w:cs="Arial"/>
                <w:sz w:val="22"/>
                <w:szCs w:val="22"/>
              </w:rPr>
            </w:pPr>
            <w:r w:rsidRPr="00A41ACE">
              <w:rPr>
                <w:rFonts w:cs="Arial"/>
                <w:sz w:val="22"/>
                <w:szCs w:val="22"/>
              </w:rPr>
              <w:t>Central and local policies (provided that local policy cannot override central policy).</w:t>
            </w:r>
          </w:p>
          <w:p w:rsidR="004A5F98" w:rsidRPr="00A41ACE" w:rsidRDefault="004A5F98" w:rsidP="000B28B0">
            <w:pPr>
              <w:pStyle w:val="TableText"/>
              <w:numPr>
                <w:ilvl w:val="0"/>
                <w:numId w:val="476"/>
              </w:numPr>
              <w:spacing w:before="60" w:after="60"/>
              <w:ind w:left="623"/>
              <w:textboxTightWrap w:val="none"/>
              <w:rPr>
                <w:rFonts w:cs="Arial"/>
                <w:sz w:val="22"/>
                <w:szCs w:val="22"/>
              </w:rPr>
            </w:pPr>
            <w:r w:rsidRPr="00A41ACE">
              <w:rPr>
                <w:rFonts w:cs="Arial"/>
                <w:sz w:val="22"/>
                <w:szCs w:val="22"/>
              </w:rPr>
              <w:t>Functions to allow/deny/quarantine by device type, organisation or groups of users.</w:t>
            </w:r>
          </w:p>
          <w:p w:rsidR="004A5F98" w:rsidRPr="00A41ACE" w:rsidRDefault="004A5F98" w:rsidP="000B28B0">
            <w:pPr>
              <w:pStyle w:val="TableText"/>
              <w:numPr>
                <w:ilvl w:val="0"/>
                <w:numId w:val="476"/>
              </w:numPr>
              <w:spacing w:before="60" w:after="60"/>
              <w:ind w:left="623"/>
              <w:textboxTightWrap w:val="none"/>
              <w:rPr>
                <w:rFonts w:cs="Arial"/>
                <w:sz w:val="22"/>
                <w:szCs w:val="22"/>
              </w:rPr>
            </w:pPr>
            <w:r w:rsidRPr="00A41ACE">
              <w:rPr>
                <w:rFonts w:cs="Arial"/>
                <w:sz w:val="22"/>
                <w:szCs w:val="22"/>
              </w:rPr>
              <w:t>Remove device, expire password, and wipe any data associated with the service.</w:t>
            </w:r>
          </w:p>
          <w:p w:rsidR="004A5F98" w:rsidRPr="00A41ACE" w:rsidRDefault="004A5F98" w:rsidP="000B28B0">
            <w:pPr>
              <w:pStyle w:val="TableText"/>
              <w:numPr>
                <w:ilvl w:val="0"/>
                <w:numId w:val="476"/>
              </w:numPr>
              <w:spacing w:before="60" w:after="60"/>
              <w:ind w:left="623"/>
              <w:textboxTightWrap w:val="none"/>
              <w:rPr>
                <w:rFonts w:cs="Arial"/>
                <w:sz w:val="22"/>
                <w:szCs w:val="22"/>
              </w:rPr>
            </w:pPr>
            <w:r w:rsidRPr="00A41ACE">
              <w:rPr>
                <w:rFonts w:cs="Arial"/>
                <w:sz w:val="22"/>
                <w:szCs w:val="22"/>
              </w:rPr>
              <w:t>Reporting functions/ capabilities.</w:t>
            </w:r>
          </w:p>
          <w:p w:rsidR="004A5F98" w:rsidRPr="00A41ACE" w:rsidRDefault="004A5F98" w:rsidP="000B28B0">
            <w:pPr>
              <w:pStyle w:val="TableText"/>
              <w:spacing w:before="60" w:after="60"/>
              <w:ind w:left="198"/>
              <w:textboxTightWrap w:val="none"/>
              <w:rPr>
                <w:rFonts w:cs="Arial"/>
                <w:sz w:val="22"/>
                <w:szCs w:val="22"/>
              </w:rPr>
            </w:pPr>
          </w:p>
        </w:tc>
        <w:tc>
          <w:tcPr>
            <w:tcW w:w="283" w:type="dxa"/>
            <w:shd w:val="clear" w:color="auto" w:fill="auto"/>
          </w:tcPr>
          <w:p w:rsidR="004A5F98" w:rsidRPr="00A41ACE" w:rsidRDefault="004A5F98" w:rsidP="00EA39CE">
            <w:pPr>
              <w:pStyle w:val="TableText"/>
              <w:jc w:val="center"/>
              <w:rPr>
                <w:rFonts w:cs="Arial"/>
                <w:sz w:val="22"/>
                <w:szCs w:val="22"/>
              </w:rPr>
            </w:pPr>
          </w:p>
        </w:tc>
      </w:tr>
      <w:tr w:rsidR="004A5F98" w:rsidRPr="00A41ACE" w:rsidTr="00EA39CE">
        <w:tc>
          <w:tcPr>
            <w:tcW w:w="403" w:type="dxa"/>
          </w:tcPr>
          <w:p w:rsidR="004A5F98" w:rsidRPr="00A41ACE" w:rsidRDefault="004A5F98" w:rsidP="00EA39CE">
            <w:pPr>
              <w:pStyle w:val="TableText"/>
              <w:rPr>
                <w:rFonts w:cs="Arial"/>
                <w:sz w:val="22"/>
                <w:szCs w:val="22"/>
              </w:rPr>
            </w:pPr>
          </w:p>
        </w:tc>
        <w:tc>
          <w:tcPr>
            <w:tcW w:w="7819" w:type="dxa"/>
          </w:tcPr>
          <w:p w:rsidR="000B28B0" w:rsidRPr="00A41ACE" w:rsidRDefault="000B28B0" w:rsidP="000B28B0">
            <w:pPr>
              <w:pStyle w:val="GPSL2Numbered"/>
              <w:numPr>
                <w:ilvl w:val="0"/>
                <w:numId w:val="0"/>
              </w:numPr>
              <w:ind w:left="119"/>
            </w:pPr>
            <w:r w:rsidRPr="00A41ACE">
              <w:t>[</w:t>
            </w:r>
            <w:r w:rsidRPr="00A41ACE">
              <w:rPr>
                <w:b/>
                <w:highlight w:val="green"/>
              </w:rPr>
              <w:t>Guidance Note: Amend to reflect Non Essential Requirements Suppliers agree to comply with within the Award Questionnaire</w:t>
            </w:r>
            <w:r w:rsidRPr="00A41ACE">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4A5F98" w:rsidRPr="00A41ACE" w:rsidRDefault="00D66B99" w:rsidP="00D66B99">
            <w:pPr>
              <w:pStyle w:val="TableText"/>
              <w:ind w:left="198"/>
              <w:rPr>
                <w:rFonts w:cs="Arial"/>
                <w:b/>
                <w:sz w:val="22"/>
                <w:szCs w:val="22"/>
              </w:rPr>
            </w:pPr>
            <w:r>
              <w:rPr>
                <w:b/>
              </w:rPr>
              <w:t>Non-Essential Requirements the Supplier responded to this element of the Tender, therefore the supplier is able to provide Non- Essential elements detailed below.</w:t>
            </w:r>
          </w:p>
        </w:tc>
        <w:tc>
          <w:tcPr>
            <w:tcW w:w="283" w:type="dxa"/>
            <w:shd w:val="clear" w:color="auto" w:fill="auto"/>
          </w:tcPr>
          <w:p w:rsidR="004A5F98" w:rsidRPr="00A41ACE" w:rsidRDefault="004A5F98" w:rsidP="00EA39CE">
            <w:pPr>
              <w:pStyle w:val="TableText"/>
              <w:jc w:val="center"/>
              <w:rPr>
                <w:rFonts w:cs="Arial"/>
                <w:sz w:val="22"/>
                <w:szCs w:val="22"/>
              </w:rPr>
            </w:pPr>
          </w:p>
        </w:tc>
      </w:tr>
      <w:tr w:rsidR="004A5F98" w:rsidRPr="00A41ACE" w:rsidTr="00EA39CE">
        <w:tc>
          <w:tcPr>
            <w:tcW w:w="403" w:type="dxa"/>
          </w:tcPr>
          <w:p w:rsidR="004A5F98" w:rsidRPr="00197AEC" w:rsidRDefault="00225C7E" w:rsidP="00EA39CE">
            <w:pPr>
              <w:pStyle w:val="TableText"/>
              <w:rPr>
                <w:rFonts w:cs="Arial"/>
                <w:sz w:val="22"/>
                <w:szCs w:val="22"/>
                <w:highlight w:val="yellow"/>
              </w:rPr>
            </w:pPr>
            <w:r w:rsidRPr="00225C7E">
              <w:rPr>
                <w:rFonts w:cs="Arial"/>
                <w:sz w:val="22"/>
                <w:szCs w:val="22"/>
                <w:highlight w:val="yellow"/>
              </w:rPr>
              <w:t>[4</w:t>
            </w:r>
          </w:p>
        </w:tc>
        <w:tc>
          <w:tcPr>
            <w:tcW w:w="7819" w:type="dxa"/>
          </w:tcPr>
          <w:p w:rsidR="004A5F98" w:rsidRPr="00197AEC" w:rsidRDefault="00225C7E" w:rsidP="000B28B0">
            <w:pPr>
              <w:pStyle w:val="TableText"/>
              <w:ind w:left="198"/>
              <w:rPr>
                <w:rFonts w:cs="Arial"/>
                <w:sz w:val="22"/>
                <w:szCs w:val="22"/>
                <w:highlight w:val="yellow"/>
              </w:rPr>
            </w:pPr>
            <w:r w:rsidRPr="00225C7E">
              <w:rPr>
                <w:rFonts w:cs="Arial"/>
                <w:sz w:val="22"/>
                <w:szCs w:val="22"/>
                <w:highlight w:val="yellow"/>
              </w:rPr>
              <w:t>Provide a Service description for the following Mobile Device Management requirement:</w:t>
            </w:r>
          </w:p>
          <w:p w:rsidR="004A5F98" w:rsidRPr="00197AEC" w:rsidRDefault="00225C7E" w:rsidP="000B28B0">
            <w:pPr>
              <w:pStyle w:val="TableText"/>
              <w:ind w:left="198"/>
              <w:rPr>
                <w:rFonts w:cs="Arial"/>
                <w:sz w:val="22"/>
                <w:szCs w:val="22"/>
                <w:highlight w:val="yellow"/>
              </w:rPr>
            </w:pPr>
            <w:r w:rsidRPr="00225C7E">
              <w:rPr>
                <w:rFonts w:cs="Arial"/>
                <w:sz w:val="22"/>
                <w:szCs w:val="22"/>
                <w:highlight w:val="yellow"/>
              </w:rPr>
              <w:t>The Mobile Device Management Service shall provide organisation administrators with a Mobile Device Management capability to detect and block rooted (i.e. jail broken) devices.</w:t>
            </w:r>
            <w:r w:rsidR="003370B7">
              <w:rPr>
                <w:rFonts w:cs="Arial"/>
                <w:sz w:val="22"/>
                <w:szCs w:val="22"/>
                <w:highlight w:val="yellow"/>
              </w:rPr>
              <w:t>]</w:t>
            </w:r>
          </w:p>
        </w:tc>
        <w:tc>
          <w:tcPr>
            <w:tcW w:w="283" w:type="dxa"/>
            <w:shd w:val="clear" w:color="auto" w:fill="auto"/>
          </w:tcPr>
          <w:p w:rsidR="004A5F98" w:rsidRPr="00A41ACE" w:rsidRDefault="004A5F98" w:rsidP="00EA39CE">
            <w:pPr>
              <w:pStyle w:val="TableText"/>
              <w:jc w:val="center"/>
              <w:rPr>
                <w:rFonts w:cs="Arial"/>
                <w:sz w:val="22"/>
                <w:szCs w:val="22"/>
              </w:rPr>
            </w:pPr>
          </w:p>
        </w:tc>
      </w:tr>
      <w:tr w:rsidR="004A5F98" w:rsidRPr="00A41ACE" w:rsidTr="00EA39CE">
        <w:tc>
          <w:tcPr>
            <w:tcW w:w="403" w:type="dxa"/>
          </w:tcPr>
          <w:p w:rsidR="004A5F98"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5</w:t>
            </w:r>
          </w:p>
        </w:tc>
        <w:tc>
          <w:tcPr>
            <w:tcW w:w="7819" w:type="dxa"/>
          </w:tcPr>
          <w:p w:rsidR="004A5F98" w:rsidRPr="00197AEC" w:rsidRDefault="00225C7E" w:rsidP="000B28B0">
            <w:pPr>
              <w:pStyle w:val="TableText"/>
              <w:ind w:left="198"/>
              <w:rPr>
                <w:rFonts w:cs="Arial"/>
                <w:sz w:val="22"/>
                <w:szCs w:val="22"/>
                <w:highlight w:val="yellow"/>
              </w:rPr>
            </w:pPr>
            <w:r w:rsidRPr="00225C7E">
              <w:rPr>
                <w:rFonts w:cs="Arial"/>
                <w:sz w:val="22"/>
                <w:szCs w:val="22"/>
                <w:highlight w:val="yellow"/>
              </w:rPr>
              <w:t>Provide a Service description for the following Mobile Device Management requirement:</w:t>
            </w:r>
          </w:p>
          <w:p w:rsidR="004A5F98" w:rsidRPr="00197AEC" w:rsidRDefault="00225C7E" w:rsidP="000B28B0">
            <w:pPr>
              <w:pStyle w:val="TableText"/>
              <w:ind w:left="198"/>
              <w:rPr>
                <w:rFonts w:cs="Arial"/>
                <w:sz w:val="22"/>
                <w:szCs w:val="22"/>
                <w:highlight w:val="yellow"/>
              </w:rPr>
            </w:pPr>
            <w:r w:rsidRPr="00225C7E">
              <w:rPr>
                <w:rFonts w:cs="Arial"/>
                <w:sz w:val="22"/>
                <w:szCs w:val="22"/>
                <w:highlight w:val="yellow"/>
              </w:rPr>
              <w:t>The Mobile Device Management Service may include a fully featured Mobile Device Management capability to provide additional functionality over and above that required for the Service as a locally funded ‘top up’ service.]</w:t>
            </w:r>
          </w:p>
        </w:tc>
        <w:tc>
          <w:tcPr>
            <w:tcW w:w="283" w:type="dxa"/>
            <w:shd w:val="clear" w:color="auto" w:fill="auto"/>
          </w:tcPr>
          <w:p w:rsidR="004A5F98" w:rsidRPr="00A41ACE" w:rsidRDefault="004A5F98" w:rsidP="00EA39CE">
            <w:pPr>
              <w:pStyle w:val="TableText"/>
              <w:jc w:val="center"/>
              <w:rPr>
                <w:rFonts w:cs="Arial"/>
                <w:sz w:val="22"/>
                <w:szCs w:val="22"/>
              </w:rPr>
            </w:pPr>
          </w:p>
        </w:tc>
      </w:tr>
    </w:tbl>
    <w:p w:rsidR="00327B9A" w:rsidRPr="0047636B" w:rsidRDefault="00327B9A" w:rsidP="00327B9A">
      <w:pPr>
        <w:pStyle w:val="GPSL3numberedclause"/>
        <w:numPr>
          <w:ilvl w:val="2"/>
          <w:numId w:val="323"/>
        </w:numPr>
        <w:ind w:left="2127"/>
      </w:pPr>
      <w:r w:rsidRPr="0047636B">
        <w:t>White Pages and Directory Service: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7728"/>
        <w:gridCol w:w="283"/>
      </w:tblGrid>
      <w:tr w:rsidR="00327B9A" w:rsidRPr="00A41ACE" w:rsidTr="00EA39CE">
        <w:tc>
          <w:tcPr>
            <w:tcW w:w="494" w:type="dxa"/>
            <w:shd w:val="pct12" w:color="auto" w:fill="auto"/>
          </w:tcPr>
          <w:p w:rsidR="00327B9A" w:rsidRPr="00A41ACE" w:rsidRDefault="00327B9A" w:rsidP="00EA39CE">
            <w:pPr>
              <w:pStyle w:val="TableHeader"/>
              <w:rPr>
                <w:sz w:val="22"/>
                <w:szCs w:val="22"/>
                <w:lang w:val="en-GB"/>
              </w:rPr>
            </w:pPr>
            <w:r w:rsidRPr="00A41ACE">
              <w:rPr>
                <w:sz w:val="22"/>
                <w:szCs w:val="22"/>
                <w:lang w:val="en-GB"/>
              </w:rPr>
              <w:t>#</w:t>
            </w:r>
          </w:p>
          <w:p w:rsidR="00327B9A" w:rsidRPr="00A41ACE" w:rsidRDefault="00327B9A" w:rsidP="00EA39CE">
            <w:pPr>
              <w:pStyle w:val="TableHeader"/>
              <w:rPr>
                <w:sz w:val="22"/>
                <w:szCs w:val="22"/>
                <w:lang w:val="en-GB"/>
              </w:rPr>
            </w:pPr>
          </w:p>
        </w:tc>
        <w:tc>
          <w:tcPr>
            <w:tcW w:w="7728" w:type="dxa"/>
            <w:shd w:val="pct12" w:color="auto" w:fill="auto"/>
          </w:tcPr>
          <w:p w:rsidR="00327B9A" w:rsidRPr="00A41ACE" w:rsidRDefault="00327B9A" w:rsidP="00EA39CE">
            <w:pPr>
              <w:pStyle w:val="TableHeader"/>
              <w:rPr>
                <w:sz w:val="22"/>
                <w:szCs w:val="22"/>
                <w:lang w:val="en-GB"/>
              </w:rPr>
            </w:pPr>
            <w:r w:rsidRPr="00A41ACE">
              <w:rPr>
                <w:sz w:val="22"/>
                <w:szCs w:val="22"/>
                <w:lang w:val="en-GB"/>
              </w:rPr>
              <w:t>Requirement</w:t>
            </w:r>
          </w:p>
        </w:tc>
        <w:tc>
          <w:tcPr>
            <w:tcW w:w="283" w:type="dxa"/>
            <w:shd w:val="pct12" w:color="auto" w:fill="auto"/>
          </w:tcPr>
          <w:p w:rsidR="00327B9A" w:rsidRPr="00A41ACE" w:rsidRDefault="00327B9A" w:rsidP="00EA39CE">
            <w:pPr>
              <w:pStyle w:val="TableHeader"/>
              <w:jc w:val="center"/>
              <w:rPr>
                <w:sz w:val="22"/>
                <w:szCs w:val="22"/>
                <w:lang w:val="en-GB"/>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1</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 xml:space="preserve">The White Pages and Directory Service shall provide a directory of people organisations, distribution lists, and generic </w:t>
            </w:r>
            <w:r w:rsidR="00B81364">
              <w:rPr>
                <w:rFonts w:cs="Arial"/>
                <w:sz w:val="22"/>
                <w:szCs w:val="22"/>
              </w:rPr>
              <w:t>Mailbox</w:t>
            </w:r>
            <w:r w:rsidRPr="00A41ACE">
              <w:rPr>
                <w:rFonts w:cs="Arial"/>
                <w:sz w:val="22"/>
                <w:szCs w:val="22"/>
              </w:rPr>
              <w:t>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2</w:t>
            </w:r>
          </w:p>
        </w:tc>
        <w:tc>
          <w:tcPr>
            <w:tcW w:w="7728" w:type="dxa"/>
          </w:tcPr>
          <w:p w:rsidR="00DF04BD" w:rsidRPr="00A41ACE" w:rsidRDefault="00DF04BD" w:rsidP="000B28B0">
            <w:pPr>
              <w:pStyle w:val="TableText"/>
              <w:ind w:left="107"/>
              <w:rPr>
                <w:rFonts w:cs="Arial"/>
                <w:b/>
                <w:sz w:val="22"/>
                <w:szCs w:val="22"/>
              </w:rPr>
            </w:pPr>
            <w:r w:rsidRPr="00A41ACE">
              <w:rPr>
                <w:rFonts w:cs="Arial"/>
                <w:sz w:val="22"/>
                <w:szCs w:val="22"/>
              </w:rPr>
              <w:t>The White Pages and Directory Service shall provide contact information for each of the entities useful for public sector and necessary to support the national public sector networks and email services.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lastRenderedPageBreak/>
              <w:t>3</w:t>
            </w:r>
          </w:p>
        </w:tc>
        <w:tc>
          <w:tcPr>
            <w:tcW w:w="7728" w:type="dxa"/>
          </w:tcPr>
          <w:p w:rsidR="00DF04BD" w:rsidRPr="00A41ACE" w:rsidRDefault="00DF04BD" w:rsidP="000B28B0">
            <w:pPr>
              <w:pStyle w:val="TableText"/>
              <w:ind w:left="107"/>
              <w:rPr>
                <w:rFonts w:cs="Arial"/>
                <w:b/>
                <w:sz w:val="22"/>
                <w:szCs w:val="22"/>
              </w:rPr>
            </w:pPr>
            <w:r w:rsidRPr="00A41ACE">
              <w:rPr>
                <w:rFonts w:cs="Arial"/>
                <w:sz w:val="22"/>
                <w:szCs w:val="22"/>
              </w:rPr>
              <w:t>The White Pages and Directory Service shall be for use by and contain information on all public sector organisations.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4</w:t>
            </w:r>
          </w:p>
        </w:tc>
        <w:tc>
          <w:tcPr>
            <w:tcW w:w="7728" w:type="dxa"/>
          </w:tcPr>
          <w:p w:rsidR="00DF04BD" w:rsidRPr="00A41ACE" w:rsidRDefault="00DF04BD" w:rsidP="000B28B0">
            <w:pPr>
              <w:pStyle w:val="TableText"/>
              <w:ind w:left="107"/>
              <w:rPr>
                <w:rFonts w:cs="Arial"/>
                <w:b/>
                <w:sz w:val="22"/>
                <w:szCs w:val="22"/>
              </w:rPr>
            </w:pPr>
            <w:r w:rsidRPr="00A41ACE">
              <w:rPr>
                <w:rFonts w:cs="Arial"/>
                <w:sz w:val="22"/>
                <w:szCs w:val="22"/>
              </w:rPr>
              <w:t>The White Pages and Directory Service shall be accessible by all public sector staff (public and private and third sector) and other public sector staff through role and location based access controls. It shall not be publicly available on the internet.  It shall support limited attribute access in the case for example of use by authorised third parties.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5</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The White Pages and Directory Service shall support an extensible schema to allow additional attributes to be added for users.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6</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 xml:space="preserve">The White Pages and Directory Service shall support a </w:t>
            </w:r>
            <w:r w:rsidR="001A0B07">
              <w:rPr>
                <w:rFonts w:cs="Arial"/>
                <w:sz w:val="22"/>
                <w:szCs w:val="22"/>
              </w:rPr>
              <w:t>Contracting Body</w:t>
            </w:r>
            <w:r w:rsidRPr="00A41ACE">
              <w:rPr>
                <w:rFonts w:cs="Arial"/>
                <w:sz w:val="22"/>
                <w:szCs w:val="22"/>
              </w:rPr>
              <w:t>’s organisation hierarchy and be sufficiently flexible to accommodate regular restructuring.</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7</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The White Pages and Directory Service shall allow users to update elements of their individual entries where permitted by their organisation.</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8</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The White Pages and Directory Service shall allow PSN administrators to maintain data quality on both individual entries and in bulk. The Directory Service shall support administrators to maintain data quality.</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9</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The White Pages and Directory Service shall integrate with existing public sector departmental directory services, Public Sector Network directory services and Contracting Body directory services through industry standard interfaces. Authoritative updating of fields shall be on a per Organisation basis from nominated authoritative data sources.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10</w:t>
            </w:r>
          </w:p>
        </w:tc>
        <w:tc>
          <w:tcPr>
            <w:tcW w:w="7728" w:type="dxa"/>
          </w:tcPr>
          <w:p w:rsidR="00DF04BD" w:rsidRPr="00A41ACE" w:rsidRDefault="00DF04BD" w:rsidP="000B28B0">
            <w:pPr>
              <w:pStyle w:val="TableText"/>
              <w:ind w:left="107"/>
              <w:rPr>
                <w:rFonts w:cs="Arial"/>
                <w:sz w:val="22"/>
                <w:szCs w:val="22"/>
              </w:rPr>
            </w:pPr>
            <w:r w:rsidRPr="00A41ACE">
              <w:rPr>
                <w:rFonts w:eastAsia="SimSun" w:cs="Arial"/>
                <w:sz w:val="22"/>
                <w:szCs w:val="22"/>
              </w:rPr>
              <w:t xml:space="preserve">The </w:t>
            </w:r>
            <w:r w:rsidRPr="00A41ACE">
              <w:rPr>
                <w:rFonts w:cs="Arial"/>
                <w:sz w:val="22"/>
                <w:szCs w:val="22"/>
              </w:rPr>
              <w:t xml:space="preserve">White Pages and Directory Service shall </w:t>
            </w:r>
            <w:r w:rsidRPr="00A41ACE">
              <w:rPr>
                <w:rFonts w:eastAsia="SimSun" w:cs="Arial"/>
                <w:sz w:val="22"/>
                <w:szCs w:val="22"/>
              </w:rPr>
              <w:t>provide the ability for local public sector organisations to query the directory using standards-based methods.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11</w:t>
            </w:r>
          </w:p>
        </w:tc>
        <w:tc>
          <w:tcPr>
            <w:tcW w:w="7728" w:type="dxa"/>
          </w:tcPr>
          <w:p w:rsidR="00DF04BD" w:rsidRPr="00A41ACE" w:rsidRDefault="00DF04BD" w:rsidP="000B28B0">
            <w:pPr>
              <w:pStyle w:val="TableText"/>
              <w:ind w:left="107"/>
              <w:rPr>
                <w:rFonts w:cs="Arial"/>
                <w:sz w:val="22"/>
                <w:szCs w:val="22"/>
              </w:rPr>
            </w:pPr>
            <w:r w:rsidRPr="00A41ACE">
              <w:rPr>
                <w:rFonts w:cs="Arial"/>
                <w:sz w:val="22"/>
                <w:szCs w:val="22"/>
              </w:rPr>
              <w:t>The White Pages and Directory Service shall seamlessly take over from any existing central PSN directories to avoid duplication of directory services.</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EA39CE">
        <w:tc>
          <w:tcPr>
            <w:tcW w:w="494" w:type="dxa"/>
          </w:tcPr>
          <w:p w:rsidR="00DF04BD" w:rsidRPr="00A41ACE" w:rsidRDefault="00DF04BD" w:rsidP="00EA39CE">
            <w:pPr>
              <w:pStyle w:val="TableText"/>
              <w:rPr>
                <w:rFonts w:cs="Arial"/>
                <w:sz w:val="22"/>
                <w:szCs w:val="22"/>
              </w:rPr>
            </w:pPr>
            <w:r w:rsidRPr="00A41ACE">
              <w:rPr>
                <w:rFonts w:cs="Arial"/>
                <w:sz w:val="22"/>
                <w:szCs w:val="22"/>
              </w:rPr>
              <w:t>12</w:t>
            </w:r>
          </w:p>
        </w:tc>
        <w:tc>
          <w:tcPr>
            <w:tcW w:w="7728" w:type="dxa"/>
          </w:tcPr>
          <w:p w:rsidR="00DF04BD" w:rsidRPr="00A41ACE" w:rsidRDefault="00DF04BD" w:rsidP="000B28B0">
            <w:pPr>
              <w:pStyle w:val="TableText"/>
              <w:ind w:left="107"/>
              <w:rPr>
                <w:rFonts w:cs="Arial"/>
                <w:sz w:val="22"/>
                <w:szCs w:val="22"/>
              </w:rPr>
            </w:pPr>
            <w:r w:rsidRPr="00A41ACE">
              <w:rPr>
                <w:rFonts w:eastAsia="SimSun" w:cs="Arial"/>
                <w:sz w:val="22"/>
                <w:szCs w:val="22"/>
              </w:rPr>
              <w:t xml:space="preserve">The </w:t>
            </w:r>
            <w:r w:rsidRPr="00A41ACE">
              <w:rPr>
                <w:rFonts w:cs="Arial"/>
                <w:sz w:val="22"/>
                <w:szCs w:val="22"/>
              </w:rPr>
              <w:t xml:space="preserve">White Pages and Directory Service shall </w:t>
            </w:r>
            <w:r w:rsidRPr="00A41ACE">
              <w:rPr>
                <w:rFonts w:eastAsia="SimSun" w:cs="Arial"/>
                <w:sz w:val="22"/>
                <w:szCs w:val="22"/>
              </w:rPr>
              <w:t>provide a powerful advanced search and browse function, with the ability to search (and filter search results) by organisation, role and other criteria.</w:t>
            </w:r>
          </w:p>
        </w:tc>
        <w:tc>
          <w:tcPr>
            <w:tcW w:w="283" w:type="dxa"/>
            <w:shd w:val="clear" w:color="auto" w:fill="auto"/>
          </w:tcPr>
          <w:p w:rsidR="00DF04BD" w:rsidRPr="00A41ACE" w:rsidRDefault="00DF04BD" w:rsidP="00EA39CE">
            <w:pPr>
              <w:pStyle w:val="TableText"/>
              <w:jc w:val="center"/>
              <w:rPr>
                <w:rFonts w:cs="Arial"/>
                <w:sz w:val="22"/>
                <w:szCs w:val="22"/>
              </w:rPr>
            </w:pPr>
          </w:p>
        </w:tc>
      </w:tr>
      <w:tr w:rsidR="00DF04BD" w:rsidRPr="00A41ACE" w:rsidTr="000B28B0">
        <w:tc>
          <w:tcPr>
            <w:tcW w:w="8505" w:type="dxa"/>
            <w:gridSpan w:val="3"/>
          </w:tcPr>
          <w:p w:rsidR="000B28B0" w:rsidRPr="00A41ACE" w:rsidRDefault="000B28B0" w:rsidP="000B28B0">
            <w:pPr>
              <w:pStyle w:val="GPSL2Numbered"/>
              <w:numPr>
                <w:ilvl w:val="0"/>
                <w:numId w:val="0"/>
              </w:numPr>
              <w:ind w:left="119"/>
            </w:pPr>
            <w:r w:rsidRPr="00A41ACE">
              <w:t>[</w:t>
            </w:r>
            <w:r w:rsidRPr="00A41ACE">
              <w:rPr>
                <w:b/>
                <w:highlight w:val="green"/>
              </w:rPr>
              <w:t>Guidance Note: Amend to reflect Non Essential Requirements Suppliers agree to comply with within the Award Questionnaire</w:t>
            </w:r>
            <w:r w:rsidRPr="00A41ACE">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DF04BD" w:rsidRPr="00A41ACE" w:rsidRDefault="00D66B99" w:rsidP="00D66B99">
            <w:pPr>
              <w:pStyle w:val="TableText"/>
              <w:ind w:left="107"/>
              <w:rPr>
                <w:rFonts w:cs="Arial"/>
                <w:b/>
                <w:sz w:val="22"/>
                <w:szCs w:val="22"/>
              </w:rPr>
            </w:pPr>
            <w:r>
              <w:rPr>
                <w:b/>
              </w:rPr>
              <w:t>Non-Essential Requirements the Supplier responded to this element of the Tender, therefore the supplier is able to provide Non- Essential elements detailed below.</w:t>
            </w:r>
          </w:p>
        </w:tc>
      </w:tr>
      <w:tr w:rsidR="00DF04BD" w:rsidRPr="00A41ACE" w:rsidTr="00EA39CE">
        <w:tc>
          <w:tcPr>
            <w:tcW w:w="494" w:type="dxa"/>
          </w:tcPr>
          <w:p w:rsidR="00DF04BD" w:rsidRPr="00197AEC" w:rsidRDefault="00225C7E" w:rsidP="00EA39CE">
            <w:pPr>
              <w:pStyle w:val="TableText"/>
              <w:rPr>
                <w:rFonts w:cs="Arial"/>
                <w:sz w:val="22"/>
                <w:szCs w:val="22"/>
                <w:highlight w:val="yellow"/>
              </w:rPr>
            </w:pPr>
            <w:r w:rsidRPr="00225C7E">
              <w:rPr>
                <w:rFonts w:cs="Arial"/>
                <w:sz w:val="22"/>
                <w:szCs w:val="22"/>
                <w:highlight w:val="yellow"/>
              </w:rPr>
              <w:t>[13</w:t>
            </w:r>
          </w:p>
        </w:tc>
        <w:tc>
          <w:tcPr>
            <w:tcW w:w="7728" w:type="dxa"/>
          </w:tcPr>
          <w:p w:rsidR="00DF04BD" w:rsidRPr="00197AEC" w:rsidRDefault="00225C7E" w:rsidP="000B28B0">
            <w:pPr>
              <w:pStyle w:val="TableText"/>
              <w:ind w:left="107"/>
              <w:rPr>
                <w:rFonts w:eastAsia="SimSun" w:cs="Arial"/>
                <w:sz w:val="22"/>
                <w:szCs w:val="22"/>
                <w:highlight w:val="yellow"/>
              </w:rPr>
            </w:pPr>
            <w:r w:rsidRPr="00225C7E">
              <w:rPr>
                <w:rFonts w:cs="Arial"/>
                <w:sz w:val="22"/>
                <w:szCs w:val="22"/>
                <w:highlight w:val="yellow"/>
              </w:rPr>
              <w:t>The White Pages and Directory Service shall cater for users who work for more than one organisation, making it clear that they are a single person working in multiple organisations.]</w:t>
            </w:r>
          </w:p>
        </w:tc>
        <w:tc>
          <w:tcPr>
            <w:tcW w:w="283" w:type="dxa"/>
            <w:shd w:val="clear" w:color="auto" w:fill="auto"/>
          </w:tcPr>
          <w:p w:rsidR="00DF04BD" w:rsidRPr="00A41ACE" w:rsidRDefault="00DF04BD" w:rsidP="00EA39CE">
            <w:pPr>
              <w:pStyle w:val="TableText"/>
              <w:jc w:val="center"/>
              <w:rPr>
                <w:rFonts w:cs="Arial"/>
                <w:sz w:val="22"/>
                <w:szCs w:val="22"/>
              </w:rPr>
            </w:pPr>
          </w:p>
        </w:tc>
      </w:tr>
    </w:tbl>
    <w:p w:rsidR="00327B9A" w:rsidRPr="0047636B" w:rsidRDefault="00327B9A" w:rsidP="00327B9A">
      <w:pPr>
        <w:pStyle w:val="GPSL3numberedclause"/>
        <w:numPr>
          <w:ilvl w:val="2"/>
          <w:numId w:val="323"/>
        </w:numPr>
        <w:ind w:left="2127"/>
      </w:pPr>
      <w:r w:rsidRPr="0047636B">
        <w:t>Business Partner Secure Email:</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688"/>
        <w:gridCol w:w="283"/>
      </w:tblGrid>
      <w:tr w:rsidR="00327B9A" w:rsidRPr="00A41ACE" w:rsidTr="00EA39CE">
        <w:tc>
          <w:tcPr>
            <w:tcW w:w="534" w:type="dxa"/>
            <w:shd w:val="pct12" w:color="auto" w:fill="auto"/>
          </w:tcPr>
          <w:p w:rsidR="00327B9A" w:rsidRPr="00A41ACE" w:rsidRDefault="00327B9A" w:rsidP="00EA39CE">
            <w:pPr>
              <w:pStyle w:val="TableHeader"/>
              <w:rPr>
                <w:sz w:val="22"/>
                <w:szCs w:val="22"/>
                <w:lang w:val="en-GB"/>
              </w:rPr>
            </w:pPr>
            <w:r w:rsidRPr="00A41ACE">
              <w:rPr>
                <w:sz w:val="22"/>
                <w:szCs w:val="22"/>
                <w:lang w:val="en-GB"/>
              </w:rPr>
              <w:t>#</w:t>
            </w:r>
          </w:p>
        </w:tc>
        <w:tc>
          <w:tcPr>
            <w:tcW w:w="7688" w:type="dxa"/>
            <w:shd w:val="pct12" w:color="auto" w:fill="auto"/>
          </w:tcPr>
          <w:p w:rsidR="00327B9A" w:rsidRPr="00A41ACE" w:rsidRDefault="00327B9A" w:rsidP="00EA39CE">
            <w:pPr>
              <w:pStyle w:val="TableHeader"/>
              <w:rPr>
                <w:sz w:val="22"/>
                <w:szCs w:val="22"/>
                <w:lang w:val="en-GB"/>
              </w:rPr>
            </w:pPr>
            <w:r w:rsidRPr="00A41ACE">
              <w:rPr>
                <w:sz w:val="22"/>
                <w:szCs w:val="22"/>
                <w:lang w:val="en-GB"/>
              </w:rPr>
              <w:t>Requirement</w:t>
            </w:r>
          </w:p>
        </w:tc>
        <w:tc>
          <w:tcPr>
            <w:tcW w:w="283" w:type="dxa"/>
            <w:shd w:val="pct12" w:color="auto" w:fill="auto"/>
          </w:tcPr>
          <w:p w:rsidR="00327B9A" w:rsidRPr="00A41ACE" w:rsidRDefault="00327B9A" w:rsidP="00EA39CE">
            <w:pPr>
              <w:pStyle w:val="TableHeader"/>
              <w:jc w:val="center"/>
              <w:rPr>
                <w:sz w:val="22"/>
                <w:szCs w:val="22"/>
                <w:lang w:val="en-GB"/>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1</w:t>
            </w:r>
          </w:p>
        </w:tc>
        <w:tc>
          <w:tcPr>
            <w:tcW w:w="7688" w:type="dxa"/>
          </w:tcPr>
          <w:p w:rsidR="00DF04BD" w:rsidRPr="00A41ACE" w:rsidRDefault="00DF04BD" w:rsidP="000B28B0">
            <w:pPr>
              <w:pStyle w:val="MarginText"/>
              <w:spacing w:before="60" w:after="60"/>
              <w:rPr>
                <w:rFonts w:cs="Arial"/>
                <w:szCs w:val="22"/>
                <w:lang w:eastAsia="en-US"/>
              </w:rPr>
            </w:pPr>
            <w:r w:rsidRPr="00A41ACE">
              <w:rPr>
                <w:rFonts w:cs="Arial"/>
                <w:szCs w:val="22"/>
                <w:lang w:eastAsia="en-US"/>
              </w:rPr>
              <w:t>The Business Partner Secure Email Service shall enable:</w:t>
            </w:r>
          </w:p>
          <w:p w:rsidR="00DF04BD" w:rsidRPr="00A41ACE" w:rsidRDefault="00DF04BD" w:rsidP="00A41ACE">
            <w:pPr>
              <w:spacing w:before="120" w:after="120" w:line="252" w:lineRule="auto"/>
              <w:ind w:left="634" w:hanging="360"/>
            </w:pPr>
            <w:r w:rsidRPr="00A41ACE">
              <w:lastRenderedPageBreak/>
              <w:t xml:space="preserve">a)    User/s inside the PSN (or predecessor Government secure communities)  to securely exchange emails with registered users outside the PSN (or predecessor Government secure communities) and; </w:t>
            </w:r>
          </w:p>
          <w:p w:rsidR="00DF04BD" w:rsidRPr="00A41ACE" w:rsidRDefault="00DF04BD" w:rsidP="00A41ACE">
            <w:pPr>
              <w:spacing w:before="120" w:after="120" w:line="252" w:lineRule="auto"/>
              <w:ind w:left="634" w:hanging="360"/>
            </w:pPr>
            <w:r w:rsidRPr="00A41ACE">
              <w:t>b)   Registered user/s outside the PSN (or predecessor Government secure communities) to securely exchange emails with users inside the PSN (or predecessor Government secure communities);</w:t>
            </w:r>
          </w:p>
          <w:p w:rsidR="00DF04BD" w:rsidRPr="00A41ACE" w:rsidRDefault="00DF04BD" w:rsidP="00A41ACE">
            <w:pPr>
              <w:spacing w:before="120" w:after="120" w:line="252" w:lineRule="auto"/>
              <w:ind w:left="634" w:hanging="360"/>
            </w:pPr>
            <w:r w:rsidRPr="00A41ACE">
              <w:t>c)   Registered user/s outside the PSN (or predecessor Government secure communities) to securely exchange emails with other registered users outside the PSN (or predecessor Government secure communities).</w:t>
            </w:r>
          </w:p>
          <w:p w:rsidR="00DF04BD" w:rsidRPr="00A41ACE" w:rsidRDefault="00DF04BD" w:rsidP="0046525D">
            <w:pPr>
              <w:pStyle w:val="TableText"/>
              <w:ind w:left="765"/>
              <w:textboxTightWrap w:val="none"/>
              <w:rPr>
                <w:rFonts w:cs="Arial"/>
                <w:sz w:val="22"/>
                <w:szCs w:val="22"/>
              </w:rPr>
            </w:pP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lastRenderedPageBreak/>
              <w:t>2</w:t>
            </w:r>
          </w:p>
        </w:tc>
        <w:tc>
          <w:tcPr>
            <w:tcW w:w="7688" w:type="dxa"/>
          </w:tcPr>
          <w:p w:rsidR="00DF04BD" w:rsidRPr="00A41ACE" w:rsidRDefault="00DF04BD" w:rsidP="000B28B0">
            <w:pPr>
              <w:pStyle w:val="TableText"/>
              <w:ind w:left="209"/>
              <w:rPr>
                <w:rFonts w:cs="Arial"/>
                <w:sz w:val="22"/>
                <w:szCs w:val="22"/>
              </w:rPr>
            </w:pPr>
            <w:r w:rsidRPr="00A41ACE">
              <w:rPr>
                <w:rFonts w:cs="Arial"/>
                <w:sz w:val="22"/>
                <w:szCs w:val="22"/>
              </w:rPr>
              <w:t>The Business Partner Secure Email Service shall allow a user to use standard email functionality e.g. setting out of office messages, setting up automatic forwarding to approved secure domains. allow the user multiple recipients in one email, support CC and BCC facilities, delivery and read receipts, etc.</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3</w:t>
            </w:r>
          </w:p>
        </w:tc>
        <w:tc>
          <w:tcPr>
            <w:tcW w:w="7688" w:type="dxa"/>
          </w:tcPr>
          <w:p w:rsidR="00DF04BD" w:rsidRPr="00A41ACE" w:rsidRDefault="00DF04BD" w:rsidP="000B28B0">
            <w:pPr>
              <w:pStyle w:val="TableText"/>
              <w:ind w:left="209"/>
              <w:rPr>
                <w:rFonts w:cs="Arial"/>
                <w:sz w:val="22"/>
                <w:szCs w:val="22"/>
              </w:rPr>
            </w:pPr>
            <w:r w:rsidRPr="00A41ACE">
              <w:rPr>
                <w:rFonts w:cs="Arial"/>
                <w:sz w:val="22"/>
                <w:szCs w:val="22"/>
              </w:rPr>
              <w:t>The Business Partner Secure Email Service shall allow a user to access the service though a wide range of email clients</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4</w:t>
            </w:r>
          </w:p>
        </w:tc>
        <w:tc>
          <w:tcPr>
            <w:tcW w:w="7688" w:type="dxa"/>
          </w:tcPr>
          <w:p w:rsidR="00DF04BD" w:rsidRPr="00A41ACE" w:rsidRDefault="00DF04BD" w:rsidP="000B28B0">
            <w:pPr>
              <w:spacing w:before="120" w:after="120"/>
              <w:ind w:left="209"/>
            </w:pPr>
            <w:r w:rsidRPr="00A41ACE">
              <w:t>The Business Partner Secure Email Service shall allow the sender of an email to limit the recipients access to the data transmitted through a digital rights management system.  The possible limitations which could be placed on the recipient could be, but are not limited to:</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full access</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download</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print</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forward</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view only</w:t>
            </w:r>
          </w:p>
          <w:p w:rsidR="00DF04BD" w:rsidRPr="00A41ACE" w:rsidRDefault="00DF04BD" w:rsidP="00DF04BD">
            <w:pPr>
              <w:numPr>
                <w:ilvl w:val="0"/>
                <w:numId w:val="478"/>
              </w:numPr>
              <w:overflowPunct/>
              <w:autoSpaceDE/>
              <w:autoSpaceDN/>
              <w:adjustRightInd/>
              <w:spacing w:before="120" w:after="120" w:line="259" w:lineRule="auto"/>
              <w:jc w:val="left"/>
              <w:textAlignment w:val="auto"/>
            </w:pPr>
            <w:r w:rsidRPr="00A41ACE">
              <w:t>recall/withdraw</w:t>
            </w:r>
          </w:p>
          <w:p w:rsidR="00DF04BD" w:rsidRPr="006802D2" w:rsidRDefault="00DF04BD" w:rsidP="000B28B0">
            <w:pPr>
              <w:pStyle w:val="TableText"/>
              <w:ind w:left="209"/>
              <w:rPr>
                <w:rFonts w:cs="Arial"/>
                <w:sz w:val="22"/>
                <w:szCs w:val="22"/>
              </w:rPr>
            </w:pPr>
            <w:r w:rsidRPr="006802D2">
              <w:rPr>
                <w:sz w:val="22"/>
                <w:szCs w:val="22"/>
              </w:rPr>
              <w:t xml:space="preserve">The default being full access.  </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5</w:t>
            </w:r>
          </w:p>
        </w:tc>
        <w:tc>
          <w:tcPr>
            <w:tcW w:w="7688" w:type="dxa"/>
          </w:tcPr>
          <w:p w:rsidR="00DF04BD" w:rsidRPr="00A41ACE" w:rsidRDefault="00DF04BD" w:rsidP="000B28B0">
            <w:pPr>
              <w:spacing w:before="120" w:after="120"/>
              <w:ind w:left="209"/>
            </w:pPr>
            <w:r w:rsidRPr="00A41ACE">
              <w:t xml:space="preserve">The Business Partner Secure Email Service shall allow users to register an email address and/or mobile phone number to receive alerts of a new secure email message.  This functionality shall also be available for group </w:t>
            </w:r>
            <w:r w:rsidR="00B81364">
              <w:t>Mailbox</w:t>
            </w:r>
            <w:r w:rsidRPr="00A41ACE">
              <w:t>es.</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6</w:t>
            </w:r>
          </w:p>
        </w:tc>
        <w:tc>
          <w:tcPr>
            <w:tcW w:w="7688" w:type="dxa"/>
          </w:tcPr>
          <w:p w:rsidR="00DF04BD" w:rsidRPr="00A41ACE" w:rsidRDefault="00DF04BD" w:rsidP="000B28B0">
            <w:pPr>
              <w:spacing w:before="120" w:after="120"/>
              <w:ind w:left="209"/>
            </w:pPr>
            <w:r w:rsidRPr="00A41ACE">
              <w:t xml:space="preserve">The Business Partner Secure Email Service shall allow a user within a single organisation to use group </w:t>
            </w:r>
            <w:r w:rsidR="00B81364">
              <w:t>Mailbox</w:t>
            </w:r>
            <w:r w:rsidRPr="00A41ACE">
              <w:t>es and associated secure email functionality.</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t>7</w:t>
            </w:r>
          </w:p>
        </w:tc>
        <w:tc>
          <w:tcPr>
            <w:tcW w:w="7688" w:type="dxa"/>
          </w:tcPr>
          <w:p w:rsidR="00DF04BD" w:rsidRPr="00A41ACE" w:rsidRDefault="00DF04BD" w:rsidP="000B28B0">
            <w:pPr>
              <w:pStyle w:val="MarginText"/>
              <w:spacing w:before="60" w:after="60"/>
              <w:ind w:left="209"/>
              <w:rPr>
                <w:rFonts w:cs="Arial"/>
                <w:szCs w:val="22"/>
              </w:rPr>
            </w:pPr>
            <w:r w:rsidRPr="00A41ACE">
              <w:rPr>
                <w:rFonts w:cs="Arial"/>
                <w:szCs w:val="22"/>
              </w:rPr>
              <w:t xml:space="preserve">The core of the Business Partner Secure Email Service shall be </w:t>
            </w:r>
            <w:proofErr w:type="spellStart"/>
            <w:r w:rsidRPr="00A41ACE">
              <w:rPr>
                <w:rFonts w:cs="Arial"/>
                <w:szCs w:val="22"/>
              </w:rPr>
              <w:t>accreditable</w:t>
            </w:r>
            <w:proofErr w:type="spellEnd"/>
            <w:r w:rsidRPr="00A41ACE">
              <w:rPr>
                <w:rFonts w:cs="Arial"/>
                <w:szCs w:val="22"/>
              </w:rPr>
              <w:t xml:space="preserve"> to OFFICIAL data at Impact Level (IL) 3, under existing guidance - February 2014, recognising the end users of the service are external to government and will not be able to accredit to IL3. </w:t>
            </w:r>
          </w:p>
          <w:p w:rsidR="00DF04BD" w:rsidRPr="00A41ACE" w:rsidRDefault="00DF04BD" w:rsidP="000B28B0">
            <w:pPr>
              <w:spacing w:before="120" w:after="120"/>
              <w:ind w:left="209"/>
            </w:pP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A41ACE" w:rsidRDefault="00DF04BD" w:rsidP="00EA39CE">
            <w:pPr>
              <w:pStyle w:val="TableText"/>
              <w:rPr>
                <w:rFonts w:cs="Arial"/>
                <w:sz w:val="22"/>
                <w:szCs w:val="22"/>
              </w:rPr>
            </w:pPr>
            <w:r w:rsidRPr="00A41ACE">
              <w:rPr>
                <w:rFonts w:cs="Arial"/>
                <w:sz w:val="22"/>
                <w:szCs w:val="22"/>
              </w:rPr>
              <w:lastRenderedPageBreak/>
              <w:t>8</w:t>
            </w:r>
          </w:p>
        </w:tc>
        <w:tc>
          <w:tcPr>
            <w:tcW w:w="7688" w:type="dxa"/>
          </w:tcPr>
          <w:p w:rsidR="00DF04BD" w:rsidRPr="00A41ACE" w:rsidRDefault="00DF04BD" w:rsidP="000B28B0">
            <w:pPr>
              <w:spacing w:before="120" w:after="120"/>
              <w:ind w:left="209"/>
            </w:pPr>
            <w:r w:rsidRPr="00A41ACE">
              <w:t>The Business Partner Secure Email Service shall allow a central and local system admin user to maintain user accounts i.e. set up, delete, suspend and unlock accounts, reset user passwords and maintain the organisation hierarchies.</w:t>
            </w:r>
          </w:p>
        </w:tc>
        <w:tc>
          <w:tcPr>
            <w:tcW w:w="283" w:type="dxa"/>
          </w:tcPr>
          <w:p w:rsidR="00DF04BD" w:rsidRPr="00A41ACE" w:rsidRDefault="00DF04BD" w:rsidP="00EA39CE">
            <w:pPr>
              <w:pStyle w:val="TableText"/>
              <w:jc w:val="center"/>
              <w:rPr>
                <w:rFonts w:cs="Arial"/>
                <w:sz w:val="22"/>
                <w:szCs w:val="22"/>
              </w:rPr>
            </w:pPr>
          </w:p>
        </w:tc>
      </w:tr>
      <w:tr w:rsidR="00327B9A" w:rsidRPr="00A41ACE" w:rsidTr="00EA39CE">
        <w:tc>
          <w:tcPr>
            <w:tcW w:w="8505" w:type="dxa"/>
            <w:gridSpan w:val="3"/>
          </w:tcPr>
          <w:p w:rsidR="000B28B0" w:rsidRPr="00A41ACE" w:rsidRDefault="000B28B0" w:rsidP="000B28B0">
            <w:pPr>
              <w:pStyle w:val="GPSL2Numbered"/>
              <w:numPr>
                <w:ilvl w:val="0"/>
                <w:numId w:val="0"/>
              </w:numPr>
              <w:ind w:left="119"/>
            </w:pPr>
            <w:r w:rsidRPr="00A41ACE">
              <w:t>[</w:t>
            </w:r>
            <w:r w:rsidRPr="00A41ACE">
              <w:rPr>
                <w:b/>
                <w:highlight w:val="green"/>
              </w:rPr>
              <w:t>Guidance Note: Amend to reflect Non Essential Requirements Suppliers agree to comply with within the Award Questionnaire</w:t>
            </w:r>
            <w:r w:rsidRPr="00A41ACE">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27B9A" w:rsidRPr="00A41ACE" w:rsidRDefault="00D66B99" w:rsidP="00D66B99">
            <w:pPr>
              <w:pStyle w:val="TableText"/>
              <w:ind w:left="209"/>
              <w:rPr>
                <w:rFonts w:cs="Arial"/>
                <w:b/>
                <w:sz w:val="22"/>
                <w:szCs w:val="22"/>
              </w:rPr>
            </w:pPr>
            <w:r>
              <w:rPr>
                <w:b/>
              </w:rPr>
              <w:t>Non-Essential Requirements the Supplier responded to this element of the Tender, therefore the supplier is able to provide Non- Essential elements detailed below.</w:t>
            </w:r>
          </w:p>
        </w:tc>
      </w:tr>
      <w:tr w:rsidR="00DF04BD" w:rsidRPr="00A41ACE" w:rsidTr="00EA39CE">
        <w:tc>
          <w:tcPr>
            <w:tcW w:w="534" w:type="dxa"/>
          </w:tcPr>
          <w:p w:rsidR="00DF04BD" w:rsidRPr="00197AEC" w:rsidRDefault="00225C7E" w:rsidP="00EA39CE">
            <w:pPr>
              <w:pStyle w:val="TableText"/>
              <w:rPr>
                <w:rFonts w:cs="Arial"/>
                <w:sz w:val="22"/>
                <w:szCs w:val="22"/>
                <w:highlight w:val="yellow"/>
              </w:rPr>
            </w:pPr>
            <w:r w:rsidRPr="00225C7E">
              <w:rPr>
                <w:rFonts w:cs="Arial"/>
                <w:sz w:val="22"/>
                <w:szCs w:val="22"/>
                <w:highlight w:val="yellow"/>
              </w:rPr>
              <w:t>[9</w:t>
            </w:r>
          </w:p>
        </w:tc>
        <w:tc>
          <w:tcPr>
            <w:tcW w:w="7688" w:type="dxa"/>
          </w:tcPr>
          <w:p w:rsidR="00DF04BD" w:rsidRPr="00197AEC" w:rsidRDefault="00225C7E" w:rsidP="000B28B0">
            <w:pPr>
              <w:spacing w:after="0"/>
              <w:ind w:left="209"/>
              <w:rPr>
                <w:highlight w:val="yellow"/>
              </w:rPr>
            </w:pPr>
            <w:r w:rsidRPr="00225C7E">
              <w:rPr>
                <w:highlight w:val="yellow"/>
              </w:rPr>
              <w:t>The Business Partner Secure Email Service shall support existing domains and cjsm.net as required; and shall make new domains available to Contracting Bodies including those which support the cross governmental nature of the Business Partner Secure Email Service.</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10</w:t>
            </w:r>
          </w:p>
        </w:tc>
        <w:tc>
          <w:tcPr>
            <w:tcW w:w="7688" w:type="dxa"/>
          </w:tcPr>
          <w:p w:rsidR="00DF04BD" w:rsidRPr="00197AEC" w:rsidRDefault="00225C7E" w:rsidP="000B28B0">
            <w:pPr>
              <w:spacing w:after="0"/>
              <w:ind w:left="209"/>
              <w:rPr>
                <w:highlight w:val="yellow"/>
              </w:rPr>
            </w:pPr>
            <w:r w:rsidRPr="00225C7E">
              <w:rPr>
                <w:highlight w:val="yellow"/>
              </w:rPr>
              <w:t>The Business Partner Secure Email Service shall provide access via mobile devices in accordance with section B2i (Mobile Device Management).</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11</w:t>
            </w:r>
          </w:p>
        </w:tc>
        <w:tc>
          <w:tcPr>
            <w:tcW w:w="7688" w:type="dxa"/>
          </w:tcPr>
          <w:p w:rsidR="00DF04BD" w:rsidRPr="00197AEC" w:rsidRDefault="00225C7E" w:rsidP="000B28B0">
            <w:pPr>
              <w:spacing w:after="0"/>
              <w:ind w:left="209"/>
              <w:rPr>
                <w:highlight w:val="yellow"/>
              </w:rPr>
            </w:pPr>
            <w:r w:rsidRPr="00225C7E">
              <w:rPr>
                <w:highlight w:val="yellow"/>
              </w:rPr>
              <w:t>The Business Partner Secure Email Service shall support the emailing of system generated emails.</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12</w:t>
            </w:r>
          </w:p>
        </w:tc>
        <w:tc>
          <w:tcPr>
            <w:tcW w:w="7688" w:type="dxa"/>
          </w:tcPr>
          <w:p w:rsidR="00DF04BD" w:rsidRPr="00197AEC" w:rsidRDefault="00225C7E" w:rsidP="000B28B0">
            <w:pPr>
              <w:spacing w:after="0"/>
              <w:ind w:left="209"/>
              <w:rPr>
                <w:highlight w:val="yellow"/>
              </w:rPr>
            </w:pPr>
            <w:r w:rsidRPr="00225C7E">
              <w:rPr>
                <w:highlight w:val="yellow"/>
              </w:rPr>
              <w:t>The Business Partner Secure Email Service shall allow a system admin user to manage an organisation’s mobile devices including policies, ability to add, deny and suspend by device type, organisation, or group of users, remove devices, and block devices.</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13</w:t>
            </w:r>
          </w:p>
        </w:tc>
        <w:tc>
          <w:tcPr>
            <w:tcW w:w="7688" w:type="dxa"/>
          </w:tcPr>
          <w:p w:rsidR="00DF04BD" w:rsidRPr="00197AEC" w:rsidRDefault="00225C7E" w:rsidP="000B28B0">
            <w:pPr>
              <w:pStyle w:val="TableText"/>
              <w:ind w:left="209"/>
              <w:rPr>
                <w:rFonts w:cs="Arial"/>
                <w:sz w:val="22"/>
                <w:szCs w:val="22"/>
                <w:highlight w:val="yellow"/>
              </w:rPr>
            </w:pPr>
            <w:r w:rsidRPr="00225C7E">
              <w:rPr>
                <w:rFonts w:cs="Arial"/>
                <w:sz w:val="22"/>
                <w:szCs w:val="22"/>
                <w:highlight w:val="yellow"/>
              </w:rPr>
              <w:t xml:space="preserve">The Business Partner Secure Email Service shall require an organisation to complete an organisation assurance process to reasonably validate: </w:t>
            </w:r>
          </w:p>
          <w:p w:rsidR="00DF04BD" w:rsidRPr="00197AEC" w:rsidRDefault="00225C7E" w:rsidP="00DF04BD">
            <w:pPr>
              <w:pStyle w:val="TableText"/>
              <w:numPr>
                <w:ilvl w:val="0"/>
                <w:numId w:val="479"/>
              </w:numPr>
              <w:textboxTightWrap w:val="none"/>
              <w:rPr>
                <w:rFonts w:cs="Arial"/>
                <w:sz w:val="22"/>
                <w:szCs w:val="22"/>
                <w:highlight w:val="yellow"/>
              </w:rPr>
            </w:pPr>
            <w:r w:rsidRPr="00225C7E">
              <w:rPr>
                <w:rFonts w:cs="Arial"/>
                <w:sz w:val="22"/>
                <w:szCs w:val="22"/>
                <w:highlight w:val="yellow"/>
              </w:rPr>
              <w:t>The organisation’s identity;</w:t>
            </w:r>
          </w:p>
          <w:p w:rsidR="00DF04BD" w:rsidRPr="00197AEC" w:rsidRDefault="00225C7E" w:rsidP="00DF04BD">
            <w:pPr>
              <w:pStyle w:val="TableText"/>
              <w:numPr>
                <w:ilvl w:val="0"/>
                <w:numId w:val="479"/>
              </w:numPr>
              <w:textboxTightWrap w:val="none"/>
              <w:rPr>
                <w:rFonts w:cs="Arial"/>
                <w:sz w:val="22"/>
                <w:szCs w:val="22"/>
                <w:highlight w:val="yellow"/>
              </w:rPr>
            </w:pPr>
            <w:r w:rsidRPr="00225C7E">
              <w:rPr>
                <w:rFonts w:cs="Arial"/>
                <w:sz w:val="22"/>
                <w:szCs w:val="22"/>
                <w:highlight w:val="yellow"/>
              </w:rPr>
              <w:t xml:space="preserve"> It’s need to share data securely with government; </w:t>
            </w:r>
          </w:p>
          <w:p w:rsidR="00DF04BD" w:rsidRPr="00197AEC" w:rsidRDefault="00225C7E" w:rsidP="00DF04BD">
            <w:pPr>
              <w:pStyle w:val="TableText"/>
              <w:numPr>
                <w:ilvl w:val="0"/>
                <w:numId w:val="479"/>
              </w:numPr>
              <w:textboxTightWrap w:val="none"/>
              <w:rPr>
                <w:rFonts w:cs="Arial"/>
                <w:sz w:val="22"/>
                <w:szCs w:val="22"/>
                <w:highlight w:val="yellow"/>
              </w:rPr>
            </w:pPr>
            <w:r w:rsidRPr="00225C7E">
              <w:rPr>
                <w:rFonts w:cs="Arial"/>
                <w:sz w:val="22"/>
                <w:szCs w:val="22"/>
                <w:highlight w:val="yellow"/>
              </w:rPr>
              <w:t xml:space="preserve">The ability of the organisation to adequately protect sensitive data, in line with ICO requirements, and </w:t>
            </w:r>
          </w:p>
          <w:p w:rsidR="00DF04BD" w:rsidRPr="00197AEC" w:rsidRDefault="00225C7E" w:rsidP="00DF04BD">
            <w:pPr>
              <w:pStyle w:val="TableText"/>
              <w:numPr>
                <w:ilvl w:val="0"/>
                <w:numId w:val="479"/>
              </w:numPr>
              <w:textboxTightWrap w:val="none"/>
              <w:rPr>
                <w:rFonts w:cs="Arial"/>
                <w:sz w:val="22"/>
                <w:szCs w:val="22"/>
                <w:highlight w:val="yellow"/>
              </w:rPr>
            </w:pPr>
            <w:r w:rsidRPr="00225C7E">
              <w:rPr>
                <w:rFonts w:cs="Arial"/>
                <w:sz w:val="22"/>
                <w:szCs w:val="22"/>
                <w:highlight w:val="yellow"/>
              </w:rPr>
              <w:t xml:space="preserve">Any specific requirements to adequately protect credentials allowing access to the solution.  </w:t>
            </w:r>
            <w:r w:rsidR="003370B7">
              <w:rPr>
                <w:rFonts w:cs="Arial"/>
                <w:sz w:val="22"/>
                <w:szCs w:val="22"/>
                <w:highlight w:val="yellow"/>
              </w:rPr>
              <w:t>]</w:t>
            </w:r>
          </w:p>
          <w:p w:rsidR="00DF04BD" w:rsidRPr="00197AEC" w:rsidRDefault="00DF04BD" w:rsidP="00EA39CE">
            <w:pPr>
              <w:spacing w:after="0"/>
              <w:rPr>
                <w:highlight w:val="yellow"/>
              </w:rPr>
            </w:pP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14</w:t>
            </w:r>
          </w:p>
        </w:tc>
        <w:tc>
          <w:tcPr>
            <w:tcW w:w="7688" w:type="dxa"/>
          </w:tcPr>
          <w:p w:rsidR="00DF04BD" w:rsidRPr="00197AEC" w:rsidRDefault="00225C7E" w:rsidP="00A41ACE">
            <w:pPr>
              <w:spacing w:after="0"/>
              <w:ind w:left="209"/>
              <w:rPr>
                <w:highlight w:val="yellow"/>
              </w:rPr>
            </w:pPr>
            <w:r w:rsidRPr="00225C7E">
              <w:rPr>
                <w:highlight w:val="yellow"/>
              </w:rPr>
              <w:t>The Business Partner Secure Email Service shall undertake a series of audits on a random selection of connected organisations to ensure compliance with 13 directly above</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15</w:t>
            </w:r>
          </w:p>
        </w:tc>
        <w:tc>
          <w:tcPr>
            <w:tcW w:w="7688" w:type="dxa"/>
          </w:tcPr>
          <w:p w:rsidR="00DF04BD" w:rsidRPr="00197AEC" w:rsidRDefault="00225C7E" w:rsidP="000B28B0">
            <w:pPr>
              <w:pStyle w:val="TableText"/>
              <w:ind w:left="209"/>
              <w:rPr>
                <w:rFonts w:cs="Arial"/>
                <w:sz w:val="22"/>
                <w:szCs w:val="22"/>
                <w:highlight w:val="yellow"/>
              </w:rPr>
            </w:pPr>
            <w:r w:rsidRPr="00225C7E">
              <w:rPr>
                <w:rFonts w:cs="Arial"/>
                <w:sz w:val="22"/>
                <w:szCs w:val="22"/>
                <w:highlight w:val="yellow"/>
              </w:rPr>
              <w:t xml:space="preserve">The Business Partner Secure Email Service shall provide role based access for admin user to create, view print and export customised reports including but not limited to information relating to: </w:t>
            </w:r>
          </w:p>
          <w:p w:rsidR="00DF04BD" w:rsidRPr="00197AEC" w:rsidRDefault="00225C7E" w:rsidP="00DF04BD">
            <w:pPr>
              <w:pStyle w:val="TableText"/>
              <w:numPr>
                <w:ilvl w:val="0"/>
                <w:numId w:val="480"/>
              </w:numPr>
              <w:textboxTightWrap w:val="none"/>
              <w:rPr>
                <w:rFonts w:cs="Arial"/>
                <w:sz w:val="22"/>
                <w:szCs w:val="22"/>
                <w:highlight w:val="yellow"/>
              </w:rPr>
            </w:pPr>
            <w:r w:rsidRPr="00225C7E">
              <w:rPr>
                <w:rFonts w:cs="Arial"/>
                <w:sz w:val="22"/>
                <w:szCs w:val="22"/>
                <w:highlight w:val="yellow"/>
              </w:rPr>
              <w:t xml:space="preserve">SLA’s, </w:t>
            </w:r>
          </w:p>
          <w:p w:rsidR="00DF04BD" w:rsidRPr="00197AEC" w:rsidRDefault="00225C7E" w:rsidP="00DF04BD">
            <w:pPr>
              <w:pStyle w:val="TableText"/>
              <w:numPr>
                <w:ilvl w:val="0"/>
                <w:numId w:val="480"/>
              </w:numPr>
              <w:textboxTightWrap w:val="none"/>
              <w:rPr>
                <w:rFonts w:cs="Arial"/>
                <w:sz w:val="22"/>
                <w:szCs w:val="22"/>
                <w:highlight w:val="yellow"/>
              </w:rPr>
            </w:pPr>
            <w:r w:rsidRPr="00225C7E">
              <w:rPr>
                <w:rFonts w:cs="Arial"/>
                <w:sz w:val="22"/>
                <w:szCs w:val="22"/>
                <w:highlight w:val="yellow"/>
              </w:rPr>
              <w:t xml:space="preserve">KPI’s, </w:t>
            </w:r>
          </w:p>
          <w:p w:rsidR="00DF04BD" w:rsidRPr="00197AEC" w:rsidRDefault="00225C7E" w:rsidP="00DF04BD">
            <w:pPr>
              <w:pStyle w:val="TableText"/>
              <w:numPr>
                <w:ilvl w:val="0"/>
                <w:numId w:val="480"/>
              </w:numPr>
              <w:textboxTightWrap w:val="none"/>
              <w:rPr>
                <w:rFonts w:cs="Arial"/>
                <w:sz w:val="22"/>
                <w:szCs w:val="22"/>
                <w:highlight w:val="yellow"/>
              </w:rPr>
            </w:pPr>
            <w:r w:rsidRPr="00225C7E">
              <w:rPr>
                <w:rFonts w:cs="Arial"/>
                <w:sz w:val="22"/>
                <w:szCs w:val="22"/>
                <w:highlight w:val="yellow"/>
              </w:rPr>
              <w:t>Users and traffic by:</w:t>
            </w:r>
          </w:p>
          <w:p w:rsidR="00DF04BD" w:rsidRPr="00197AEC" w:rsidRDefault="00225C7E" w:rsidP="00DF04BD">
            <w:pPr>
              <w:pStyle w:val="TableText"/>
              <w:numPr>
                <w:ilvl w:val="1"/>
                <w:numId w:val="481"/>
              </w:numPr>
              <w:textboxTightWrap w:val="none"/>
              <w:rPr>
                <w:rFonts w:cs="Arial"/>
                <w:sz w:val="22"/>
                <w:szCs w:val="22"/>
                <w:highlight w:val="yellow"/>
              </w:rPr>
            </w:pPr>
            <w:r w:rsidRPr="00225C7E">
              <w:rPr>
                <w:rFonts w:cs="Arial"/>
                <w:sz w:val="22"/>
                <w:szCs w:val="22"/>
                <w:highlight w:val="yellow"/>
              </w:rPr>
              <w:t>Organisation</w:t>
            </w:r>
          </w:p>
          <w:p w:rsidR="00DF04BD" w:rsidRPr="00197AEC" w:rsidRDefault="00225C7E" w:rsidP="00DF04BD">
            <w:pPr>
              <w:pStyle w:val="TableText"/>
              <w:numPr>
                <w:ilvl w:val="1"/>
                <w:numId w:val="481"/>
              </w:numPr>
              <w:textboxTightWrap w:val="none"/>
              <w:rPr>
                <w:rFonts w:cs="Arial"/>
                <w:sz w:val="22"/>
                <w:szCs w:val="22"/>
                <w:highlight w:val="yellow"/>
              </w:rPr>
            </w:pPr>
            <w:r w:rsidRPr="00225C7E">
              <w:rPr>
                <w:rFonts w:cs="Arial"/>
                <w:sz w:val="22"/>
                <w:szCs w:val="22"/>
                <w:highlight w:val="yellow"/>
              </w:rPr>
              <w:lastRenderedPageBreak/>
              <w:t>Organisation type</w:t>
            </w:r>
          </w:p>
          <w:p w:rsidR="00DF04BD" w:rsidRPr="00197AEC" w:rsidRDefault="00225C7E" w:rsidP="00DF04BD">
            <w:pPr>
              <w:pStyle w:val="TableText"/>
              <w:numPr>
                <w:ilvl w:val="1"/>
                <w:numId w:val="481"/>
              </w:numPr>
              <w:textboxTightWrap w:val="none"/>
              <w:rPr>
                <w:rFonts w:cs="Arial"/>
                <w:sz w:val="22"/>
                <w:szCs w:val="22"/>
                <w:highlight w:val="yellow"/>
              </w:rPr>
            </w:pPr>
            <w:r w:rsidRPr="00225C7E">
              <w:rPr>
                <w:rFonts w:cs="Arial"/>
                <w:sz w:val="22"/>
                <w:szCs w:val="22"/>
                <w:highlight w:val="yellow"/>
              </w:rPr>
              <w:t xml:space="preserve">Summary </w:t>
            </w:r>
          </w:p>
          <w:p w:rsidR="00DF04BD" w:rsidRPr="00197AEC" w:rsidRDefault="00225C7E" w:rsidP="00DF04BD">
            <w:pPr>
              <w:pStyle w:val="TableText"/>
              <w:numPr>
                <w:ilvl w:val="0"/>
                <w:numId w:val="480"/>
              </w:numPr>
              <w:textboxTightWrap w:val="none"/>
              <w:rPr>
                <w:rFonts w:cs="Arial"/>
                <w:sz w:val="22"/>
                <w:szCs w:val="22"/>
                <w:highlight w:val="yellow"/>
              </w:rPr>
            </w:pPr>
            <w:r w:rsidRPr="00225C7E">
              <w:rPr>
                <w:rFonts w:cs="Arial"/>
                <w:sz w:val="22"/>
                <w:szCs w:val="22"/>
                <w:highlight w:val="yellow"/>
              </w:rPr>
              <w:t>Daily mail logs</w:t>
            </w:r>
          </w:p>
          <w:p w:rsidR="00DF04BD" w:rsidRPr="00197AEC" w:rsidRDefault="00225C7E" w:rsidP="00DF04BD">
            <w:pPr>
              <w:pStyle w:val="TableText"/>
              <w:numPr>
                <w:ilvl w:val="0"/>
                <w:numId w:val="480"/>
              </w:numPr>
              <w:textboxTightWrap w:val="none"/>
              <w:rPr>
                <w:rFonts w:cs="Arial"/>
                <w:sz w:val="22"/>
                <w:szCs w:val="22"/>
                <w:highlight w:val="yellow"/>
              </w:rPr>
            </w:pPr>
            <w:r w:rsidRPr="00225C7E">
              <w:rPr>
                <w:rFonts w:cs="Arial"/>
                <w:sz w:val="22"/>
                <w:szCs w:val="22"/>
                <w:highlight w:val="yellow"/>
              </w:rPr>
              <w:t>Mail transit times (solution dependent)</w:t>
            </w:r>
          </w:p>
          <w:p w:rsidR="00DF04BD" w:rsidRPr="00197AEC" w:rsidRDefault="00225C7E" w:rsidP="000B28B0">
            <w:pPr>
              <w:spacing w:after="0"/>
              <w:ind w:left="209"/>
              <w:rPr>
                <w:highlight w:val="yellow"/>
              </w:rPr>
            </w:pPr>
            <w:r w:rsidRPr="00225C7E">
              <w:rPr>
                <w:highlight w:val="yellow"/>
              </w:rPr>
              <w:t>Local administrators will be able to generate reports limited to their organisation and their sub-organisations.  System administrators will have the ability to create reports for an organisation, organisation type and total user base.</w:t>
            </w:r>
            <w:r w:rsidR="003370B7">
              <w:rPr>
                <w:highlight w:val="yellow"/>
              </w:rPr>
              <w:t>]</w:t>
            </w:r>
          </w:p>
        </w:tc>
        <w:tc>
          <w:tcPr>
            <w:tcW w:w="283" w:type="dxa"/>
          </w:tcPr>
          <w:p w:rsidR="00DF04BD" w:rsidRPr="00A41ACE" w:rsidRDefault="00DF04BD" w:rsidP="00EA39CE">
            <w:pPr>
              <w:pStyle w:val="TableText"/>
              <w:jc w:val="center"/>
              <w:rPr>
                <w:rFonts w:cs="Arial"/>
                <w:sz w:val="22"/>
                <w:szCs w:val="22"/>
              </w:rPr>
            </w:pPr>
          </w:p>
        </w:tc>
      </w:tr>
      <w:tr w:rsidR="00DF04BD" w:rsidRPr="00A41ACE" w:rsidTr="00EA39CE">
        <w:tc>
          <w:tcPr>
            <w:tcW w:w="534" w:type="dxa"/>
          </w:tcPr>
          <w:p w:rsidR="00DF04BD" w:rsidRPr="00197AEC" w:rsidRDefault="003370B7" w:rsidP="00EA39CE">
            <w:pPr>
              <w:pStyle w:val="TableText"/>
              <w:rPr>
                <w:rFonts w:cs="Arial"/>
                <w:sz w:val="22"/>
                <w:szCs w:val="22"/>
                <w:highlight w:val="yellow"/>
              </w:rPr>
            </w:pPr>
            <w:r>
              <w:rPr>
                <w:rFonts w:cs="Arial"/>
                <w:sz w:val="22"/>
                <w:szCs w:val="22"/>
                <w:highlight w:val="yellow"/>
              </w:rPr>
              <w:lastRenderedPageBreak/>
              <w:t>[</w:t>
            </w:r>
            <w:r w:rsidR="00225C7E" w:rsidRPr="00225C7E">
              <w:rPr>
                <w:rFonts w:cs="Arial"/>
                <w:sz w:val="22"/>
                <w:szCs w:val="22"/>
                <w:highlight w:val="yellow"/>
              </w:rPr>
              <w:t>16</w:t>
            </w:r>
          </w:p>
        </w:tc>
        <w:tc>
          <w:tcPr>
            <w:tcW w:w="7688" w:type="dxa"/>
          </w:tcPr>
          <w:p w:rsidR="00DF04BD" w:rsidRPr="00197AEC" w:rsidRDefault="00225C7E" w:rsidP="000B28B0">
            <w:pPr>
              <w:spacing w:after="0"/>
              <w:ind w:left="209"/>
              <w:rPr>
                <w:highlight w:val="yellow"/>
              </w:rPr>
            </w:pPr>
            <w:r w:rsidRPr="00225C7E">
              <w:rPr>
                <w:highlight w:val="yellow"/>
              </w:rPr>
              <w:t>The Business Partner Secure Email Service supplier shall provide a capability to support billing should it be introduced in the future providing monthly volume reports by domain.]</w:t>
            </w:r>
          </w:p>
        </w:tc>
        <w:tc>
          <w:tcPr>
            <w:tcW w:w="283" w:type="dxa"/>
          </w:tcPr>
          <w:p w:rsidR="00DF04BD" w:rsidRPr="00A41ACE" w:rsidRDefault="00DF04BD" w:rsidP="00EA39CE">
            <w:pPr>
              <w:pStyle w:val="TableText"/>
              <w:jc w:val="center"/>
              <w:rPr>
                <w:rFonts w:cs="Arial"/>
                <w:sz w:val="22"/>
                <w:szCs w:val="22"/>
              </w:rPr>
            </w:pPr>
          </w:p>
        </w:tc>
      </w:tr>
    </w:tbl>
    <w:p w:rsidR="00327B9A" w:rsidRPr="00AF4BF6" w:rsidRDefault="00327B9A" w:rsidP="00327B9A">
      <w:pPr>
        <w:pStyle w:val="GPSL3numberedclause"/>
        <w:numPr>
          <w:ilvl w:val="2"/>
          <w:numId w:val="323"/>
        </w:numPr>
        <w:ind w:left="2127"/>
      </w:pPr>
      <w:r w:rsidRPr="00AF4BF6">
        <w:t>Email Router: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83"/>
      </w:tblGrid>
      <w:tr w:rsidR="00327B9A" w:rsidTr="00EA39CE">
        <w:tc>
          <w:tcPr>
            <w:tcW w:w="567" w:type="dxa"/>
            <w:tcBorders>
              <w:top w:val="single" w:sz="4" w:space="0" w:color="auto"/>
              <w:left w:val="single" w:sz="4" w:space="0" w:color="auto"/>
              <w:bottom w:val="single" w:sz="4" w:space="0" w:color="auto"/>
              <w:right w:val="single" w:sz="4" w:space="0" w:color="auto"/>
            </w:tcBorders>
            <w:shd w:val="pct12" w:color="auto" w:fill="auto"/>
            <w:hideMark/>
          </w:tcPr>
          <w:p w:rsidR="00327B9A" w:rsidRPr="0049242F" w:rsidRDefault="00327B9A" w:rsidP="00EA39CE">
            <w:pPr>
              <w:pStyle w:val="TableHeader"/>
              <w:rPr>
                <w:lang w:val="en-GB"/>
              </w:rPr>
            </w:pPr>
            <w:r w:rsidRPr="0049242F">
              <w:rPr>
                <w:lang w:val="en-GB"/>
              </w:rPr>
              <w:t>#</w:t>
            </w:r>
          </w:p>
        </w:tc>
        <w:tc>
          <w:tcPr>
            <w:tcW w:w="7655" w:type="dxa"/>
            <w:tcBorders>
              <w:top w:val="single" w:sz="4" w:space="0" w:color="auto"/>
              <w:left w:val="single" w:sz="4" w:space="0" w:color="auto"/>
              <w:bottom w:val="single" w:sz="4" w:space="0" w:color="auto"/>
              <w:right w:val="single" w:sz="4" w:space="0" w:color="auto"/>
            </w:tcBorders>
            <w:shd w:val="pct12" w:color="auto" w:fill="auto"/>
            <w:hideMark/>
          </w:tcPr>
          <w:p w:rsidR="00327B9A" w:rsidRPr="0049242F" w:rsidRDefault="00327B9A" w:rsidP="00EA39CE">
            <w:pPr>
              <w:pStyle w:val="TableHeader"/>
              <w:rPr>
                <w:lang w:val="en-GB"/>
              </w:rPr>
            </w:pPr>
            <w:r w:rsidRPr="0049242F">
              <w:rPr>
                <w:lang w:val="en-GB"/>
              </w:rPr>
              <w:t>Requirement</w:t>
            </w:r>
          </w:p>
        </w:tc>
        <w:tc>
          <w:tcPr>
            <w:tcW w:w="283" w:type="dxa"/>
            <w:tcBorders>
              <w:top w:val="single" w:sz="4" w:space="0" w:color="auto"/>
              <w:left w:val="single" w:sz="4" w:space="0" w:color="auto"/>
              <w:bottom w:val="single" w:sz="4" w:space="0" w:color="auto"/>
              <w:right w:val="single" w:sz="4" w:space="0" w:color="auto"/>
            </w:tcBorders>
            <w:shd w:val="pct12" w:color="auto" w:fill="auto"/>
            <w:hideMark/>
          </w:tcPr>
          <w:p w:rsidR="00327B9A" w:rsidRPr="0049242F" w:rsidRDefault="00327B9A" w:rsidP="00EA39CE">
            <w:pPr>
              <w:pStyle w:val="TableHeader"/>
              <w:jc w:val="center"/>
              <w:rPr>
                <w:lang w:val="en-GB"/>
              </w:rP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1</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0B28B0">
            <w:pPr>
              <w:pStyle w:val="TableText"/>
              <w:ind w:left="176"/>
              <w:rPr>
                <w:sz w:val="22"/>
                <w:szCs w:val="22"/>
              </w:rPr>
            </w:pPr>
            <w:r w:rsidRPr="000B28B0">
              <w:rPr>
                <w:sz w:val="22"/>
                <w:szCs w:val="22"/>
              </w:rPr>
              <w:t>The Email Router Service shall process all emails for the nominated secure email domain and sub-domains</w:t>
            </w:r>
            <w:r w:rsidRPr="000B28B0" w:rsidDel="00255003">
              <w:rPr>
                <w:rFonts w:cs="Arial"/>
                <w:b/>
                <w:sz w:val="22"/>
                <w:szCs w:val="22"/>
                <w:u w:val="single"/>
                <w:lang w:eastAsia="en-US"/>
              </w:rPr>
              <w:t xml:space="preserve"> </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2</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0B28B0">
            <w:pPr>
              <w:pStyle w:val="TableText"/>
              <w:ind w:left="176"/>
              <w:rPr>
                <w:sz w:val="22"/>
                <w:szCs w:val="22"/>
              </w:rPr>
            </w:pPr>
            <w:r w:rsidRPr="000B28B0">
              <w:rPr>
                <w:sz w:val="22"/>
                <w:szCs w:val="22"/>
              </w:rPr>
              <w:t>When an email is sent to the nominated domain or sub-domains, the Email Router Service shall receive the email, determine the correct destination for it from the Directory Service and forward it through to the correct service supplier</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3</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0B28B0">
            <w:pPr>
              <w:pStyle w:val="TableText"/>
              <w:ind w:left="176"/>
              <w:rPr>
                <w:sz w:val="22"/>
                <w:szCs w:val="22"/>
              </w:rPr>
            </w:pPr>
            <w:r w:rsidRPr="000B28B0">
              <w:rPr>
                <w:sz w:val="22"/>
                <w:szCs w:val="22"/>
              </w:rPr>
              <w:t>The Email Router Service shall maintain the security and integrity of the email throughout.</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4</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0B28B0">
            <w:pPr>
              <w:pStyle w:val="TableText"/>
              <w:ind w:left="176"/>
              <w:rPr>
                <w:sz w:val="22"/>
                <w:szCs w:val="22"/>
              </w:rPr>
            </w:pPr>
            <w:r w:rsidRPr="000B28B0">
              <w:rPr>
                <w:sz w:val="22"/>
                <w:szCs w:val="22"/>
              </w:rPr>
              <w:t>The Email Router Service shall forward on emails as soon as it is possible to do so and shall not store emails beyond the period necessary to complete this action.</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5</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0B28B0">
            <w:pPr>
              <w:pStyle w:val="TableText"/>
              <w:ind w:left="176"/>
              <w:rPr>
                <w:sz w:val="22"/>
                <w:szCs w:val="22"/>
              </w:rPr>
            </w:pPr>
            <w:r w:rsidRPr="000B28B0">
              <w:rPr>
                <w:sz w:val="22"/>
                <w:szCs w:val="22"/>
              </w:rPr>
              <w:t>When processing a request for a new email address, the Email Router Service shall check to ensure that the address has not already allocated to a user by another supplier If any requested email address has already been allocated, the Email Router Service shall generate alternative variants to the requested email address until an unallocated variant alternative email address is produced.</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pPr>
            <w:r>
              <w:t>6</w:t>
            </w:r>
          </w:p>
        </w:tc>
        <w:tc>
          <w:tcPr>
            <w:tcW w:w="7655" w:type="dxa"/>
            <w:tcBorders>
              <w:top w:val="single" w:sz="4" w:space="0" w:color="auto"/>
              <w:left w:val="single" w:sz="4" w:space="0" w:color="auto"/>
              <w:bottom w:val="single" w:sz="4" w:space="0" w:color="auto"/>
              <w:right w:val="single" w:sz="4" w:space="0" w:color="auto"/>
            </w:tcBorders>
            <w:hideMark/>
          </w:tcPr>
          <w:p w:rsidR="00DF04BD" w:rsidRPr="000B28B0" w:rsidRDefault="00DF04BD" w:rsidP="00937184">
            <w:pPr>
              <w:pStyle w:val="TableText"/>
              <w:ind w:left="176"/>
              <w:rPr>
                <w:sz w:val="22"/>
                <w:szCs w:val="22"/>
              </w:rPr>
            </w:pPr>
            <w:r w:rsidRPr="000B28B0">
              <w:rPr>
                <w:sz w:val="22"/>
                <w:szCs w:val="22"/>
              </w:rPr>
              <w:t>The Email Router Service shall have robust technical and procedural controls in place for updating/managing approved local email systems and shall not insecurely route sensitive emails.</w:t>
            </w:r>
          </w:p>
        </w:tc>
        <w:tc>
          <w:tcPr>
            <w:tcW w:w="283" w:type="dxa"/>
            <w:tcBorders>
              <w:top w:val="single" w:sz="4" w:space="0" w:color="auto"/>
              <w:left w:val="single" w:sz="4" w:space="0" w:color="auto"/>
              <w:bottom w:val="single" w:sz="4" w:space="0" w:color="auto"/>
              <w:right w:val="single" w:sz="4" w:space="0" w:color="auto"/>
            </w:tcBorders>
            <w:hideMark/>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tcPr>
          <w:p w:rsidR="00DF04BD" w:rsidRDefault="00DF04BD" w:rsidP="00EA39CE">
            <w:pPr>
              <w:pStyle w:val="TableText"/>
            </w:pPr>
            <w:r>
              <w:t>7</w:t>
            </w:r>
          </w:p>
        </w:tc>
        <w:tc>
          <w:tcPr>
            <w:tcW w:w="7655" w:type="dxa"/>
            <w:tcBorders>
              <w:top w:val="single" w:sz="4" w:space="0" w:color="auto"/>
              <w:left w:val="single" w:sz="4" w:space="0" w:color="auto"/>
              <w:bottom w:val="single" w:sz="4" w:space="0" w:color="auto"/>
              <w:right w:val="single" w:sz="4" w:space="0" w:color="auto"/>
            </w:tcBorders>
          </w:tcPr>
          <w:p w:rsidR="00DF04BD" w:rsidRPr="000B28B0" w:rsidRDefault="00DF04BD" w:rsidP="00095E69">
            <w:pPr>
              <w:pStyle w:val="TableText"/>
              <w:ind w:left="176"/>
              <w:rPr>
                <w:sz w:val="22"/>
                <w:szCs w:val="22"/>
              </w:rPr>
            </w:pPr>
            <w:r w:rsidRPr="000B28B0">
              <w:rPr>
                <w:sz w:val="22"/>
                <w:szCs w:val="22"/>
              </w:rPr>
              <w:t xml:space="preserve">The Email Router Service must be initially configured to prevent masqueraded email being sent to non </w:t>
            </w:r>
            <w:r w:rsidR="00095E69">
              <w:rPr>
                <w:sz w:val="22"/>
                <w:szCs w:val="22"/>
              </w:rPr>
              <w:t xml:space="preserve">Customer domain </w:t>
            </w:r>
            <w:r w:rsidRPr="000B28B0">
              <w:rPr>
                <w:sz w:val="22"/>
                <w:szCs w:val="22"/>
              </w:rPr>
              <w:t>email addresses.</w:t>
            </w:r>
          </w:p>
        </w:tc>
        <w:tc>
          <w:tcPr>
            <w:tcW w:w="283" w:type="dxa"/>
            <w:tcBorders>
              <w:top w:val="single" w:sz="4" w:space="0" w:color="auto"/>
              <w:left w:val="single" w:sz="4" w:space="0" w:color="auto"/>
              <w:bottom w:val="single" w:sz="4" w:space="0" w:color="auto"/>
              <w:right w:val="single" w:sz="4" w:space="0" w:color="auto"/>
            </w:tcBorders>
          </w:tcPr>
          <w:p w:rsidR="00DF04BD" w:rsidRDefault="00DF04BD" w:rsidP="00EA39CE">
            <w:pPr>
              <w:pStyle w:val="TableText"/>
              <w:jc w:val="center"/>
            </w:pPr>
          </w:p>
        </w:tc>
      </w:tr>
      <w:tr w:rsidR="00DF04BD" w:rsidTr="00EA39CE">
        <w:tc>
          <w:tcPr>
            <w:tcW w:w="567" w:type="dxa"/>
            <w:tcBorders>
              <w:top w:val="single" w:sz="4" w:space="0" w:color="auto"/>
              <w:left w:val="single" w:sz="4" w:space="0" w:color="auto"/>
              <w:bottom w:val="single" w:sz="4" w:space="0" w:color="auto"/>
              <w:right w:val="single" w:sz="4" w:space="0" w:color="auto"/>
            </w:tcBorders>
          </w:tcPr>
          <w:p w:rsidR="00DF04BD" w:rsidRDefault="00DF04BD" w:rsidP="00EA39CE">
            <w:pPr>
              <w:pStyle w:val="TableText"/>
            </w:pPr>
            <w:r>
              <w:t>8</w:t>
            </w:r>
          </w:p>
        </w:tc>
        <w:tc>
          <w:tcPr>
            <w:tcW w:w="7655" w:type="dxa"/>
            <w:tcBorders>
              <w:top w:val="single" w:sz="4" w:space="0" w:color="auto"/>
              <w:left w:val="single" w:sz="4" w:space="0" w:color="auto"/>
              <w:bottom w:val="single" w:sz="4" w:space="0" w:color="auto"/>
              <w:right w:val="single" w:sz="4" w:space="0" w:color="auto"/>
            </w:tcBorders>
          </w:tcPr>
          <w:p w:rsidR="00DF04BD" w:rsidRPr="000B28B0" w:rsidRDefault="00DF04BD" w:rsidP="000B28B0">
            <w:pPr>
              <w:pStyle w:val="TableText"/>
              <w:ind w:left="176"/>
              <w:rPr>
                <w:sz w:val="22"/>
                <w:szCs w:val="22"/>
              </w:rPr>
            </w:pPr>
            <w:r w:rsidRPr="000B28B0">
              <w:rPr>
                <w:sz w:val="22"/>
                <w:szCs w:val="22"/>
              </w:rPr>
              <w:t>The Email Router Service shall provide industry leading anti-virus and anti-spam filtering capabilities, commodity virus/spam detection and attachment blocking, maximum attachment size and profanity checking.</w:t>
            </w:r>
          </w:p>
        </w:tc>
        <w:tc>
          <w:tcPr>
            <w:tcW w:w="283" w:type="dxa"/>
            <w:tcBorders>
              <w:top w:val="single" w:sz="4" w:space="0" w:color="auto"/>
              <w:left w:val="single" w:sz="4" w:space="0" w:color="auto"/>
              <w:bottom w:val="single" w:sz="4" w:space="0" w:color="auto"/>
              <w:right w:val="single" w:sz="4" w:space="0" w:color="auto"/>
            </w:tcBorders>
          </w:tcPr>
          <w:p w:rsidR="00DF04BD" w:rsidRDefault="00DF04BD" w:rsidP="00EA39CE">
            <w:pPr>
              <w:pStyle w:val="TableText"/>
              <w:jc w:val="center"/>
            </w:pPr>
          </w:p>
        </w:tc>
      </w:tr>
    </w:tbl>
    <w:p w:rsidR="00327B9A" w:rsidRPr="00AF4BF6" w:rsidRDefault="00327B9A" w:rsidP="00327B9A">
      <w:pPr>
        <w:pStyle w:val="GPSL2NumberedBoldHeading"/>
        <w:numPr>
          <w:ilvl w:val="1"/>
          <w:numId w:val="323"/>
        </w:numPr>
        <w:ind w:left="1418" w:hanging="709"/>
      </w:pPr>
      <w:r w:rsidRPr="00AF4BF6">
        <w:t>Common Components:</w:t>
      </w:r>
    </w:p>
    <w:p w:rsidR="00327B9A" w:rsidRPr="00AF4BF6" w:rsidRDefault="00327B9A" w:rsidP="00327B9A">
      <w:pPr>
        <w:pStyle w:val="GPSL3numberedclause"/>
        <w:numPr>
          <w:ilvl w:val="2"/>
          <w:numId w:val="323"/>
        </w:numPr>
      </w:pPr>
      <w:r w:rsidRPr="00AF4BF6">
        <w:t>Access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83"/>
      </w:tblGrid>
      <w:tr w:rsidR="00327B9A" w:rsidRPr="000B28B0" w:rsidTr="00EA39CE">
        <w:tc>
          <w:tcPr>
            <w:tcW w:w="567" w:type="dxa"/>
            <w:shd w:val="pct12" w:color="auto" w:fill="auto"/>
          </w:tcPr>
          <w:p w:rsidR="00327B9A" w:rsidRPr="000B28B0" w:rsidRDefault="00327B9A" w:rsidP="00EA39CE">
            <w:pPr>
              <w:pStyle w:val="TableHeader"/>
              <w:rPr>
                <w:sz w:val="22"/>
                <w:szCs w:val="22"/>
                <w:lang w:val="en-GB"/>
              </w:rPr>
            </w:pPr>
            <w:r w:rsidRPr="000B28B0">
              <w:rPr>
                <w:sz w:val="22"/>
                <w:szCs w:val="22"/>
                <w:lang w:val="en-GB"/>
              </w:rPr>
              <w:t>#</w:t>
            </w:r>
          </w:p>
        </w:tc>
        <w:tc>
          <w:tcPr>
            <w:tcW w:w="7655" w:type="dxa"/>
            <w:shd w:val="pct12" w:color="auto" w:fill="auto"/>
          </w:tcPr>
          <w:p w:rsidR="00327B9A" w:rsidRPr="000B28B0" w:rsidRDefault="00327B9A" w:rsidP="00EA39CE">
            <w:pPr>
              <w:pStyle w:val="TableHeader"/>
              <w:rPr>
                <w:sz w:val="22"/>
                <w:szCs w:val="22"/>
                <w:lang w:val="en-GB"/>
              </w:rPr>
            </w:pPr>
            <w:r w:rsidRPr="000B28B0">
              <w:rPr>
                <w:sz w:val="22"/>
                <w:szCs w:val="22"/>
                <w:lang w:val="en-GB"/>
              </w:rPr>
              <w:t>Requirement</w:t>
            </w:r>
          </w:p>
        </w:tc>
        <w:tc>
          <w:tcPr>
            <w:tcW w:w="283" w:type="dxa"/>
            <w:tcBorders>
              <w:bottom w:val="single" w:sz="4" w:space="0" w:color="auto"/>
            </w:tcBorders>
            <w:shd w:val="pct12" w:color="auto" w:fill="auto"/>
          </w:tcPr>
          <w:p w:rsidR="00327B9A" w:rsidRPr="000B28B0" w:rsidRDefault="00327B9A" w:rsidP="00EA39CE">
            <w:pPr>
              <w:pStyle w:val="TableHeader"/>
              <w:jc w:val="center"/>
              <w:rPr>
                <w:sz w:val="22"/>
                <w:szCs w:val="22"/>
                <w:lang w:val="en-GB"/>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t>1</w:t>
            </w:r>
          </w:p>
        </w:tc>
        <w:tc>
          <w:tcPr>
            <w:tcW w:w="7655" w:type="dxa"/>
          </w:tcPr>
          <w:p w:rsidR="00DF04BD" w:rsidRPr="000B28B0" w:rsidRDefault="00DF04BD" w:rsidP="000B28B0">
            <w:pPr>
              <w:pStyle w:val="TableText"/>
              <w:ind w:left="176"/>
              <w:rPr>
                <w:rFonts w:cs="Arial"/>
                <w:sz w:val="22"/>
                <w:szCs w:val="22"/>
              </w:rPr>
            </w:pPr>
            <w:r w:rsidRPr="000B28B0">
              <w:rPr>
                <w:rFonts w:cs="Arial"/>
                <w:sz w:val="22"/>
                <w:szCs w:val="22"/>
              </w:rPr>
              <w:t>The Supplier shall ensure that the Services are accessible via the following methods as a minimum:</w:t>
            </w:r>
          </w:p>
          <w:p w:rsidR="00DF04BD" w:rsidRPr="000B28B0" w:rsidRDefault="00DF04BD" w:rsidP="00DF04BD">
            <w:pPr>
              <w:pStyle w:val="TableText"/>
              <w:numPr>
                <w:ilvl w:val="0"/>
                <w:numId w:val="482"/>
              </w:numPr>
              <w:spacing w:before="60" w:after="60"/>
              <w:textboxTightWrap w:val="none"/>
              <w:rPr>
                <w:rFonts w:cs="Arial"/>
                <w:sz w:val="22"/>
                <w:szCs w:val="22"/>
              </w:rPr>
            </w:pPr>
            <w:r w:rsidRPr="000B28B0">
              <w:rPr>
                <w:rFonts w:cs="Arial"/>
                <w:sz w:val="22"/>
                <w:szCs w:val="22"/>
              </w:rPr>
              <w:lastRenderedPageBreak/>
              <w:t>Desktop clients including but not limited to Microsoft Outlook and  Mozilla Thunderbird</w:t>
            </w:r>
          </w:p>
          <w:p w:rsidR="00DF04BD" w:rsidRPr="000B28B0" w:rsidRDefault="00DF04BD" w:rsidP="00DF04BD">
            <w:pPr>
              <w:pStyle w:val="TableText"/>
              <w:numPr>
                <w:ilvl w:val="0"/>
                <w:numId w:val="482"/>
              </w:numPr>
              <w:spacing w:before="60" w:after="60"/>
              <w:textboxTightWrap w:val="none"/>
              <w:rPr>
                <w:rFonts w:cs="Arial"/>
                <w:sz w:val="22"/>
                <w:szCs w:val="22"/>
              </w:rPr>
            </w:pPr>
            <w:r w:rsidRPr="000B28B0">
              <w:rPr>
                <w:rFonts w:cs="Arial"/>
                <w:sz w:val="22"/>
                <w:szCs w:val="22"/>
              </w:rPr>
              <w:t>Web clients including but not limited to Internet Explorer, Firefox, Google Chrome and Safari</w:t>
            </w:r>
          </w:p>
          <w:p w:rsidR="00DF04BD" w:rsidRPr="000B28B0" w:rsidRDefault="00DF04BD" w:rsidP="00DF04BD">
            <w:pPr>
              <w:pStyle w:val="TableText"/>
              <w:numPr>
                <w:ilvl w:val="0"/>
                <w:numId w:val="482"/>
              </w:numPr>
              <w:spacing w:before="60" w:after="60"/>
              <w:textboxTightWrap w:val="none"/>
              <w:rPr>
                <w:rFonts w:cs="Arial"/>
                <w:sz w:val="22"/>
                <w:szCs w:val="22"/>
              </w:rPr>
            </w:pPr>
            <w:r w:rsidRPr="000B28B0">
              <w:rPr>
                <w:rFonts w:cs="Arial"/>
                <w:sz w:val="22"/>
                <w:szCs w:val="22"/>
              </w:rPr>
              <w:t>Mobile device clients (smartphones, tablets, etc.)</w:t>
            </w:r>
          </w:p>
          <w:p w:rsidR="00DF04BD" w:rsidRPr="000B28B0" w:rsidRDefault="00DF04BD" w:rsidP="00DF04BD">
            <w:pPr>
              <w:pStyle w:val="TableText"/>
              <w:numPr>
                <w:ilvl w:val="0"/>
                <w:numId w:val="482"/>
              </w:numPr>
              <w:spacing w:before="60" w:after="60"/>
              <w:textboxTightWrap w:val="none"/>
              <w:rPr>
                <w:rFonts w:cs="Arial"/>
                <w:sz w:val="22"/>
                <w:szCs w:val="22"/>
              </w:rPr>
            </w:pPr>
            <w:r w:rsidRPr="000B28B0">
              <w:rPr>
                <w:rFonts w:cs="Arial"/>
                <w:sz w:val="22"/>
                <w:szCs w:val="22"/>
              </w:rPr>
              <w:t>Applications (e.g. HR systems)</w:t>
            </w:r>
          </w:p>
          <w:p w:rsidR="00DF04BD" w:rsidRPr="000B28B0" w:rsidRDefault="00DF04BD" w:rsidP="000B28B0">
            <w:pPr>
              <w:pStyle w:val="TableText"/>
              <w:spacing w:before="60" w:after="60"/>
              <w:ind w:left="176"/>
              <w:textboxTightWrap w:val="none"/>
              <w:rPr>
                <w:rFonts w:cs="Arial"/>
                <w:sz w:val="22"/>
                <w:szCs w:val="22"/>
              </w:rPr>
            </w:pPr>
            <w:r w:rsidRPr="000B28B0">
              <w:rPr>
                <w:rFonts w:cs="Arial"/>
                <w:sz w:val="22"/>
                <w:szCs w:val="22"/>
              </w:rPr>
              <w:t>The Access Service must support the current and previous three versions produced by the manufacturer of the desktop clients, web clients or mobile devices most commonly used.</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lastRenderedPageBreak/>
              <w:t>2</w:t>
            </w:r>
          </w:p>
        </w:tc>
        <w:tc>
          <w:tcPr>
            <w:tcW w:w="7655" w:type="dxa"/>
          </w:tcPr>
          <w:p w:rsidR="00DF04BD" w:rsidRPr="000B28B0" w:rsidRDefault="00DF04BD" w:rsidP="000B28B0">
            <w:pPr>
              <w:pStyle w:val="TableText"/>
              <w:ind w:left="176"/>
              <w:rPr>
                <w:rFonts w:cs="Arial"/>
                <w:sz w:val="22"/>
                <w:szCs w:val="22"/>
              </w:rPr>
            </w:pPr>
            <w:r w:rsidRPr="000B28B0">
              <w:rPr>
                <w:rFonts w:cs="Arial"/>
                <w:sz w:val="22"/>
                <w:szCs w:val="22"/>
              </w:rPr>
              <w:t xml:space="preserve">The Supplier shall ensure that: </w:t>
            </w:r>
          </w:p>
          <w:p w:rsidR="00DF04BD" w:rsidRPr="000B28B0" w:rsidRDefault="00DF04BD" w:rsidP="00DF04BD">
            <w:pPr>
              <w:pStyle w:val="TableText"/>
              <w:numPr>
                <w:ilvl w:val="0"/>
                <w:numId w:val="483"/>
              </w:numPr>
              <w:rPr>
                <w:rFonts w:cs="Arial"/>
                <w:sz w:val="22"/>
                <w:szCs w:val="22"/>
              </w:rPr>
            </w:pPr>
            <w:r w:rsidRPr="000B28B0">
              <w:rPr>
                <w:rFonts w:cs="Arial"/>
                <w:sz w:val="22"/>
                <w:szCs w:val="22"/>
              </w:rPr>
              <w:t xml:space="preserve">access to content is based on the integrity of the device connecting. </w:t>
            </w:r>
          </w:p>
          <w:p w:rsidR="00DF04BD" w:rsidRPr="000B28B0" w:rsidRDefault="00DF04BD" w:rsidP="00DF04BD">
            <w:pPr>
              <w:pStyle w:val="TableText"/>
              <w:numPr>
                <w:ilvl w:val="0"/>
                <w:numId w:val="483"/>
              </w:numPr>
              <w:rPr>
                <w:rFonts w:cs="Arial"/>
                <w:sz w:val="22"/>
                <w:szCs w:val="22"/>
              </w:rPr>
            </w:pPr>
            <w:r w:rsidRPr="000B28B0">
              <w:rPr>
                <w:rFonts w:cs="Arial"/>
                <w:sz w:val="22"/>
                <w:szCs w:val="22"/>
              </w:rPr>
              <w:t xml:space="preserve">fully secure managed endpoints are granted full service access with the ability to locally download and cache content. In the case of email this could be holding an offline copy of the </w:t>
            </w:r>
            <w:r w:rsidR="00B81364">
              <w:rPr>
                <w:rFonts w:cs="Arial"/>
                <w:sz w:val="22"/>
                <w:szCs w:val="22"/>
              </w:rPr>
              <w:t>Mailbox</w:t>
            </w:r>
            <w:r w:rsidRPr="000B28B0">
              <w:rPr>
                <w:rFonts w:cs="Arial"/>
                <w:sz w:val="22"/>
                <w:szCs w:val="22"/>
              </w:rPr>
              <w:t xml:space="preserve">. </w:t>
            </w:r>
          </w:p>
          <w:p w:rsidR="00937184" w:rsidRDefault="00DF04BD" w:rsidP="00937184">
            <w:pPr>
              <w:pStyle w:val="TableText"/>
              <w:numPr>
                <w:ilvl w:val="0"/>
                <w:numId w:val="483"/>
              </w:numPr>
              <w:rPr>
                <w:rFonts w:cs="Arial"/>
                <w:sz w:val="22"/>
                <w:szCs w:val="22"/>
              </w:rPr>
            </w:pPr>
            <w:r w:rsidRPr="000B28B0">
              <w:rPr>
                <w:rFonts w:cs="Arial"/>
                <w:sz w:val="22"/>
                <w:szCs w:val="22"/>
              </w:rPr>
              <w:t>where an endpoint has no assured protection of data in use or at rest only browser access with no locally cached content is available.</w:t>
            </w:r>
          </w:p>
          <w:p w:rsidR="00DF04BD" w:rsidRPr="000B28B0" w:rsidRDefault="00DF04BD" w:rsidP="000B28B0">
            <w:pPr>
              <w:pStyle w:val="TableText"/>
              <w:ind w:left="176"/>
              <w:rPr>
                <w:rFonts w:cs="Arial"/>
                <w:sz w:val="22"/>
                <w:szCs w:val="22"/>
              </w:rPr>
            </w:pP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t>3</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The Supplier shall ensure that all client server - communication is encrypted.</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t>4</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The Supplier shall ensure that browser access is compliant with the appropriate web standards including HTML 5 support.</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t>5</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The Supplier shall ensure that browser access is compliant with the appropriate accessibility standards and guidelines including but not limited to WCAG 2.0 AA compliance.</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DF04BD" w:rsidP="00EA39CE">
            <w:pPr>
              <w:pStyle w:val="TableText"/>
              <w:rPr>
                <w:rFonts w:cs="Arial"/>
                <w:sz w:val="22"/>
                <w:szCs w:val="22"/>
              </w:rPr>
            </w:pPr>
            <w:r w:rsidRPr="000B28B0">
              <w:rPr>
                <w:rFonts w:cs="Arial"/>
                <w:sz w:val="22"/>
                <w:szCs w:val="22"/>
              </w:rPr>
              <w:t>6</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The Supplier shall ensure that browser access prevents documents being downloaded to non-managed unsecure devices, such as public access computers and instead allow commonly used file formats to be displayed / rendered in the session.</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937184" w:rsidP="00EA39CE">
            <w:pPr>
              <w:pStyle w:val="TableText"/>
              <w:rPr>
                <w:rFonts w:cs="Arial"/>
                <w:sz w:val="22"/>
                <w:szCs w:val="22"/>
              </w:rPr>
            </w:pPr>
            <w:r>
              <w:rPr>
                <w:rFonts w:cs="Arial"/>
                <w:sz w:val="22"/>
                <w:szCs w:val="22"/>
              </w:rPr>
              <w:t>7</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The Supplier shall ensure that the Services are accessible from the public sector networks such as the NHS wide area network (N3 and its successors), the Government secure wide area network (</w:t>
            </w:r>
            <w:proofErr w:type="spellStart"/>
            <w:r w:rsidRPr="000B28B0">
              <w:rPr>
                <w:rFonts w:cs="Arial"/>
                <w:sz w:val="22"/>
                <w:szCs w:val="22"/>
              </w:rPr>
              <w:t>GSi</w:t>
            </w:r>
            <w:proofErr w:type="spellEnd"/>
            <w:r w:rsidRPr="000B28B0">
              <w:rPr>
                <w:rFonts w:cs="Arial"/>
                <w:sz w:val="22"/>
                <w:szCs w:val="22"/>
              </w:rPr>
              <w:t>/GCSX and its successors), the public services network (PSN) and the Internet.</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937184" w:rsidP="00EA39CE">
            <w:pPr>
              <w:pStyle w:val="TableText"/>
              <w:rPr>
                <w:rFonts w:cs="Arial"/>
                <w:sz w:val="22"/>
                <w:szCs w:val="22"/>
              </w:rPr>
            </w:pPr>
            <w:r>
              <w:rPr>
                <w:rFonts w:cs="Arial"/>
                <w:sz w:val="22"/>
                <w:szCs w:val="22"/>
              </w:rPr>
              <w:t>8</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lang w:eastAsia="en-US"/>
              </w:rPr>
              <w:t>The Supplier shall be registered as a PSN Service Provider and maintain its registration as such whilst delivering the Services.</w:t>
            </w:r>
          </w:p>
        </w:tc>
        <w:tc>
          <w:tcPr>
            <w:tcW w:w="283" w:type="dxa"/>
            <w:shd w:val="clear" w:color="auto" w:fill="auto"/>
          </w:tcPr>
          <w:p w:rsidR="00DF04BD" w:rsidRPr="000B28B0" w:rsidRDefault="00DF04BD" w:rsidP="00EA39CE">
            <w:pPr>
              <w:pStyle w:val="TableText"/>
              <w:jc w:val="center"/>
              <w:rPr>
                <w:rFonts w:cs="Arial"/>
                <w:sz w:val="22"/>
                <w:szCs w:val="22"/>
              </w:rPr>
            </w:pPr>
          </w:p>
        </w:tc>
      </w:tr>
      <w:tr w:rsidR="00DF04BD" w:rsidRPr="000B28B0" w:rsidTr="00EA39CE">
        <w:tc>
          <w:tcPr>
            <w:tcW w:w="567" w:type="dxa"/>
          </w:tcPr>
          <w:p w:rsidR="00DF04BD" w:rsidRPr="000B28B0" w:rsidRDefault="00937184" w:rsidP="00EA39CE">
            <w:pPr>
              <w:pStyle w:val="TableText"/>
              <w:rPr>
                <w:rFonts w:cs="Arial"/>
                <w:sz w:val="22"/>
                <w:szCs w:val="22"/>
              </w:rPr>
            </w:pPr>
            <w:r>
              <w:rPr>
                <w:rFonts w:cs="Arial"/>
                <w:sz w:val="22"/>
                <w:szCs w:val="22"/>
              </w:rPr>
              <w:t>9</w:t>
            </w:r>
          </w:p>
        </w:tc>
        <w:tc>
          <w:tcPr>
            <w:tcW w:w="7655" w:type="dxa"/>
          </w:tcPr>
          <w:p w:rsidR="00DF04BD" w:rsidRPr="000B28B0" w:rsidRDefault="00DF04BD" w:rsidP="000B28B0">
            <w:pPr>
              <w:pStyle w:val="MarginText"/>
              <w:spacing w:before="60" w:after="60"/>
              <w:rPr>
                <w:rFonts w:cs="Arial"/>
                <w:szCs w:val="22"/>
                <w:lang w:eastAsia="en-US"/>
              </w:rPr>
            </w:pPr>
          </w:p>
          <w:p w:rsidR="00DF04BD" w:rsidRPr="000B28B0" w:rsidRDefault="00DF04BD" w:rsidP="000B28B0">
            <w:pPr>
              <w:pStyle w:val="TableText"/>
              <w:ind w:left="142"/>
              <w:rPr>
                <w:rFonts w:cs="Arial"/>
                <w:sz w:val="22"/>
                <w:szCs w:val="22"/>
              </w:rPr>
            </w:pPr>
            <w:r w:rsidRPr="000B28B0">
              <w:rPr>
                <w:rFonts w:cs="Arial"/>
                <w:sz w:val="22"/>
                <w:szCs w:val="22"/>
              </w:rPr>
              <w:t xml:space="preserve">The Supplier shall a provide a portal which provides seamless access to all of the individual components that have web components associated </w:t>
            </w:r>
            <w:r w:rsidRPr="000B28B0">
              <w:rPr>
                <w:rFonts w:cs="Arial"/>
                <w:sz w:val="22"/>
                <w:szCs w:val="22"/>
              </w:rPr>
              <w:lastRenderedPageBreak/>
              <w:t>with them e.g. training &amp; guidance pages, administration tools and reports.</w:t>
            </w:r>
          </w:p>
        </w:tc>
        <w:tc>
          <w:tcPr>
            <w:tcW w:w="283" w:type="dxa"/>
            <w:shd w:val="clear" w:color="auto" w:fill="auto"/>
          </w:tcPr>
          <w:p w:rsidR="00DF04BD" w:rsidRPr="000B28B0" w:rsidRDefault="00DF04BD" w:rsidP="00EA39CE">
            <w:pPr>
              <w:pStyle w:val="TableText"/>
              <w:jc w:val="center"/>
              <w:rPr>
                <w:rFonts w:cs="Arial"/>
                <w:sz w:val="22"/>
                <w:szCs w:val="22"/>
              </w:rPr>
            </w:pPr>
          </w:p>
        </w:tc>
      </w:tr>
      <w:tr w:rsidR="000D3795" w:rsidRPr="000B28B0" w:rsidTr="00EA39CE">
        <w:tc>
          <w:tcPr>
            <w:tcW w:w="567" w:type="dxa"/>
          </w:tcPr>
          <w:p w:rsidR="000D3795" w:rsidRPr="000B28B0" w:rsidRDefault="00937184" w:rsidP="00EA39CE">
            <w:pPr>
              <w:pStyle w:val="TableText"/>
              <w:rPr>
                <w:rFonts w:cs="Arial"/>
                <w:sz w:val="22"/>
                <w:szCs w:val="22"/>
              </w:rPr>
            </w:pPr>
            <w:r>
              <w:rPr>
                <w:rFonts w:cs="Arial"/>
                <w:sz w:val="22"/>
                <w:szCs w:val="22"/>
              </w:rPr>
              <w:lastRenderedPageBreak/>
              <w:t>10</w:t>
            </w:r>
          </w:p>
        </w:tc>
        <w:tc>
          <w:tcPr>
            <w:tcW w:w="7655" w:type="dxa"/>
          </w:tcPr>
          <w:p w:rsidR="000B28B0" w:rsidRDefault="000B28B0" w:rsidP="000B28B0">
            <w:pPr>
              <w:pStyle w:val="GPSL2Numbered"/>
              <w:numPr>
                <w:ilvl w:val="0"/>
                <w:numId w:val="0"/>
              </w:numPr>
              <w:ind w:left="119"/>
            </w:pPr>
            <w:r>
              <w:t>[</w:t>
            </w:r>
            <w:r w:rsidRPr="009313F7">
              <w:rPr>
                <w:b/>
                <w:highlight w:val="green"/>
              </w:rPr>
              <w:t xml:space="preserve">Guidance Note: Amend to reflect </w:t>
            </w:r>
            <w:r>
              <w:rPr>
                <w:b/>
                <w:highlight w:val="green"/>
              </w:rPr>
              <w:t>Non Essential Requirements Suppliers agree to comply with within the Award Questionnaire</w:t>
            </w:r>
            <w:r>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0D3795" w:rsidRPr="000B28B0" w:rsidRDefault="00D66B99" w:rsidP="00D66B99">
            <w:pPr>
              <w:pStyle w:val="TableText"/>
              <w:rPr>
                <w:rFonts w:cs="Arial"/>
                <w:b/>
                <w:sz w:val="22"/>
                <w:szCs w:val="22"/>
              </w:rPr>
            </w:pPr>
            <w:r>
              <w:rPr>
                <w:b/>
              </w:rPr>
              <w:t>Non-Essential Requirements the Supplier responded to this element of the Tender, therefore the supplier is able to provide Non- Essential elements detailed below.</w:t>
            </w:r>
          </w:p>
        </w:tc>
        <w:tc>
          <w:tcPr>
            <w:tcW w:w="283" w:type="dxa"/>
            <w:shd w:val="clear" w:color="auto" w:fill="auto"/>
          </w:tcPr>
          <w:p w:rsidR="000D3795" w:rsidRPr="000B28B0" w:rsidRDefault="000D3795" w:rsidP="00EA39CE">
            <w:pPr>
              <w:pStyle w:val="TableText"/>
              <w:jc w:val="center"/>
              <w:rPr>
                <w:rFonts w:cs="Arial"/>
                <w:sz w:val="22"/>
                <w:szCs w:val="22"/>
              </w:rPr>
            </w:pPr>
          </w:p>
        </w:tc>
      </w:tr>
      <w:tr w:rsidR="00DF04BD" w:rsidRPr="000B28B0" w:rsidTr="00EA39CE">
        <w:tc>
          <w:tcPr>
            <w:tcW w:w="567" w:type="dxa"/>
          </w:tcPr>
          <w:p w:rsidR="00DF04BD" w:rsidRPr="00197AEC" w:rsidRDefault="00225C7E" w:rsidP="00EA39CE">
            <w:pPr>
              <w:pStyle w:val="TableText"/>
              <w:rPr>
                <w:rFonts w:cs="Arial"/>
                <w:sz w:val="22"/>
                <w:szCs w:val="22"/>
                <w:highlight w:val="yellow"/>
              </w:rPr>
            </w:pPr>
            <w:r w:rsidRPr="00225C7E">
              <w:rPr>
                <w:rFonts w:cs="Arial"/>
                <w:sz w:val="22"/>
                <w:szCs w:val="22"/>
                <w:highlight w:val="yellow"/>
              </w:rPr>
              <w:t>[11</w:t>
            </w:r>
          </w:p>
        </w:tc>
        <w:tc>
          <w:tcPr>
            <w:tcW w:w="7655" w:type="dxa"/>
          </w:tcPr>
          <w:p w:rsidR="00DF04BD" w:rsidRPr="00197AEC" w:rsidRDefault="00225C7E" w:rsidP="00EA39CE">
            <w:pPr>
              <w:pStyle w:val="TableText"/>
              <w:rPr>
                <w:rFonts w:cs="Arial"/>
                <w:sz w:val="22"/>
                <w:szCs w:val="22"/>
                <w:highlight w:val="yellow"/>
              </w:rPr>
            </w:pPr>
            <w:r w:rsidRPr="00225C7E">
              <w:rPr>
                <w:rFonts w:cs="Arial"/>
                <w:sz w:val="22"/>
                <w:szCs w:val="22"/>
                <w:highlight w:val="yellow"/>
              </w:rPr>
              <w:t>The Supplier may provide browser access which provides all of the functionality of desktop clients.</w:t>
            </w:r>
            <w:r w:rsidR="003370B7">
              <w:rPr>
                <w:rFonts w:cs="Arial"/>
                <w:sz w:val="22"/>
                <w:szCs w:val="22"/>
                <w:highlight w:val="yellow"/>
              </w:rPr>
              <w:t>]</w:t>
            </w:r>
          </w:p>
        </w:tc>
        <w:tc>
          <w:tcPr>
            <w:tcW w:w="283" w:type="dxa"/>
            <w:shd w:val="clear" w:color="auto" w:fill="auto"/>
          </w:tcPr>
          <w:p w:rsidR="00DF04BD" w:rsidRPr="000B28B0" w:rsidRDefault="00DF04BD" w:rsidP="00EA39CE">
            <w:pPr>
              <w:pStyle w:val="TableText"/>
              <w:jc w:val="center"/>
              <w:rPr>
                <w:rFonts w:cs="Arial"/>
                <w:sz w:val="22"/>
                <w:szCs w:val="22"/>
              </w:rPr>
            </w:pPr>
          </w:p>
        </w:tc>
      </w:tr>
      <w:tr w:rsidR="00937184" w:rsidRPr="000B28B0" w:rsidTr="00EA39CE">
        <w:tc>
          <w:tcPr>
            <w:tcW w:w="567" w:type="dxa"/>
          </w:tcPr>
          <w:p w:rsidR="00937184"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12</w:t>
            </w:r>
          </w:p>
        </w:tc>
        <w:tc>
          <w:tcPr>
            <w:tcW w:w="7655" w:type="dxa"/>
          </w:tcPr>
          <w:p w:rsidR="00937184" w:rsidRPr="00197AEC" w:rsidRDefault="00225C7E" w:rsidP="00EA39CE">
            <w:pPr>
              <w:pStyle w:val="TableText"/>
              <w:rPr>
                <w:rFonts w:cs="Arial"/>
                <w:sz w:val="22"/>
                <w:szCs w:val="22"/>
                <w:highlight w:val="yellow"/>
              </w:rPr>
            </w:pPr>
            <w:r w:rsidRPr="00225C7E">
              <w:rPr>
                <w:rFonts w:cs="Arial"/>
                <w:sz w:val="22"/>
                <w:szCs w:val="22"/>
                <w:highlight w:val="yellow"/>
              </w:rPr>
              <w:t>The Supplier shall ensure that browser access complies with departmental branding requirements.]</w:t>
            </w:r>
          </w:p>
        </w:tc>
        <w:tc>
          <w:tcPr>
            <w:tcW w:w="283" w:type="dxa"/>
            <w:shd w:val="clear" w:color="auto" w:fill="auto"/>
          </w:tcPr>
          <w:p w:rsidR="00937184" w:rsidRPr="000B28B0" w:rsidRDefault="00937184" w:rsidP="00EA39CE">
            <w:pPr>
              <w:pStyle w:val="TableText"/>
              <w:jc w:val="center"/>
              <w:rPr>
                <w:rFonts w:cs="Arial"/>
                <w:sz w:val="22"/>
                <w:szCs w:val="22"/>
              </w:rPr>
            </w:pPr>
          </w:p>
        </w:tc>
      </w:tr>
    </w:tbl>
    <w:p w:rsidR="00327B9A" w:rsidRPr="00AF4BF6" w:rsidRDefault="00327B9A" w:rsidP="00327B9A">
      <w:pPr>
        <w:pStyle w:val="GPSL3numberedclause"/>
        <w:numPr>
          <w:ilvl w:val="2"/>
          <w:numId w:val="323"/>
        </w:numPr>
      </w:pPr>
      <w:r w:rsidRPr="00AF4BF6">
        <w:t>Administration:</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23"/>
        <w:gridCol w:w="7688"/>
        <w:gridCol w:w="283"/>
      </w:tblGrid>
      <w:tr w:rsidR="00327B9A" w:rsidRPr="00861217" w:rsidTr="00EA39CE">
        <w:tc>
          <w:tcPr>
            <w:tcW w:w="411" w:type="dxa"/>
            <w:shd w:val="pct12" w:color="auto" w:fill="auto"/>
          </w:tcPr>
          <w:p w:rsidR="00327B9A" w:rsidRPr="0049242F" w:rsidRDefault="00327B9A" w:rsidP="00EA39CE">
            <w:pPr>
              <w:pStyle w:val="TableHeader"/>
              <w:rPr>
                <w:lang w:val="en-GB"/>
              </w:rPr>
            </w:pPr>
            <w:r w:rsidRPr="0049242F">
              <w:rPr>
                <w:lang w:val="en-GB"/>
              </w:rPr>
              <w:t>#</w:t>
            </w:r>
          </w:p>
        </w:tc>
        <w:tc>
          <w:tcPr>
            <w:tcW w:w="7811" w:type="dxa"/>
            <w:gridSpan w:val="2"/>
            <w:shd w:val="pct12" w:color="auto" w:fill="auto"/>
          </w:tcPr>
          <w:p w:rsidR="00327B9A" w:rsidRPr="0049242F" w:rsidRDefault="00327B9A" w:rsidP="00EA39CE">
            <w:pPr>
              <w:pStyle w:val="TableHeader"/>
              <w:rPr>
                <w:lang w:val="en-GB"/>
              </w:rPr>
            </w:pPr>
            <w:r w:rsidRPr="0049242F">
              <w:rPr>
                <w:lang w:val="en-GB"/>
              </w:rPr>
              <w:t>Requirement</w:t>
            </w:r>
          </w:p>
        </w:tc>
        <w:tc>
          <w:tcPr>
            <w:tcW w:w="283" w:type="dxa"/>
            <w:shd w:val="pct12" w:color="auto" w:fill="auto"/>
          </w:tcPr>
          <w:p w:rsidR="00327B9A" w:rsidRPr="0049242F" w:rsidRDefault="00327B9A" w:rsidP="00EA39CE">
            <w:pPr>
              <w:pStyle w:val="TableHeader"/>
              <w:jc w:val="center"/>
              <w:rPr>
                <w:lang w:val="en-GB"/>
              </w:rPr>
            </w:pPr>
          </w:p>
        </w:tc>
      </w:tr>
      <w:tr w:rsidR="00327B9A" w:rsidRPr="00861217" w:rsidTr="00EA39CE">
        <w:tc>
          <w:tcPr>
            <w:tcW w:w="8505" w:type="dxa"/>
            <w:gridSpan w:val="4"/>
          </w:tcPr>
          <w:p w:rsidR="00327B9A" w:rsidRPr="0049242F" w:rsidRDefault="00327B9A" w:rsidP="00EA39CE">
            <w:pPr>
              <w:pStyle w:val="TableText"/>
              <w:rPr>
                <w:b/>
              </w:rPr>
            </w:pPr>
            <w:r w:rsidRPr="0049242F">
              <w:rPr>
                <w:b/>
              </w:rPr>
              <w:t>Administration</w:t>
            </w:r>
          </w:p>
        </w:tc>
      </w:tr>
      <w:tr w:rsidR="00DF04BD" w:rsidRPr="00861217" w:rsidTr="00EA39CE">
        <w:tc>
          <w:tcPr>
            <w:tcW w:w="534" w:type="dxa"/>
            <w:gridSpan w:val="2"/>
          </w:tcPr>
          <w:p w:rsidR="00DF04BD" w:rsidRDefault="00DF04BD" w:rsidP="00EA39CE">
            <w:pPr>
              <w:pStyle w:val="TableText"/>
            </w:pPr>
            <w:r>
              <w:t>1</w:t>
            </w:r>
          </w:p>
        </w:tc>
        <w:tc>
          <w:tcPr>
            <w:tcW w:w="7688" w:type="dxa"/>
          </w:tcPr>
          <w:p w:rsidR="00DF04BD" w:rsidRPr="000B28B0" w:rsidRDefault="00DF04BD" w:rsidP="000B28B0">
            <w:pPr>
              <w:pStyle w:val="TableText"/>
              <w:ind w:left="209"/>
              <w:rPr>
                <w:sz w:val="22"/>
                <w:szCs w:val="22"/>
              </w:rPr>
            </w:pPr>
            <w:r w:rsidRPr="000B28B0">
              <w:rPr>
                <w:sz w:val="22"/>
                <w:szCs w:val="22"/>
              </w:rPr>
              <w:t>The Supplier shall ensure that the Services allow full lifecycle administration including creation, deletion and suspension of accounts.</w:t>
            </w:r>
          </w:p>
        </w:tc>
        <w:tc>
          <w:tcPr>
            <w:tcW w:w="283" w:type="dxa"/>
            <w:shd w:val="clear" w:color="auto" w:fill="auto"/>
          </w:tcPr>
          <w:p w:rsidR="00DF04BD" w:rsidRDefault="00DF04BD" w:rsidP="00EA39CE">
            <w:pPr>
              <w:pStyle w:val="TableText"/>
              <w:jc w:val="center"/>
            </w:pPr>
          </w:p>
        </w:tc>
      </w:tr>
      <w:tr w:rsidR="00DF04BD" w:rsidRPr="00861217" w:rsidTr="00EA39CE">
        <w:tc>
          <w:tcPr>
            <w:tcW w:w="534" w:type="dxa"/>
            <w:gridSpan w:val="2"/>
          </w:tcPr>
          <w:p w:rsidR="00DF04BD" w:rsidRDefault="00DF04BD" w:rsidP="00EA39CE">
            <w:pPr>
              <w:pStyle w:val="TableText"/>
            </w:pPr>
            <w:r>
              <w:t>2</w:t>
            </w:r>
          </w:p>
        </w:tc>
        <w:tc>
          <w:tcPr>
            <w:tcW w:w="7688" w:type="dxa"/>
          </w:tcPr>
          <w:p w:rsidR="00DF04BD" w:rsidRPr="000B28B0" w:rsidRDefault="00DF04BD" w:rsidP="000B28B0">
            <w:pPr>
              <w:pStyle w:val="TableText"/>
              <w:ind w:left="209"/>
              <w:rPr>
                <w:sz w:val="22"/>
                <w:szCs w:val="22"/>
              </w:rPr>
            </w:pPr>
            <w:r w:rsidRPr="000B28B0">
              <w:rPr>
                <w:sz w:val="22"/>
                <w:szCs w:val="22"/>
              </w:rPr>
              <w:t>Email addresses of deleted accounts should only be made available for re-use after an agreed period of time.</w:t>
            </w:r>
          </w:p>
        </w:tc>
        <w:tc>
          <w:tcPr>
            <w:tcW w:w="283" w:type="dxa"/>
            <w:shd w:val="clear" w:color="auto" w:fill="auto"/>
          </w:tcPr>
          <w:p w:rsidR="00DF04BD" w:rsidRDefault="00DF04BD" w:rsidP="00EA39CE">
            <w:pPr>
              <w:pStyle w:val="TableText"/>
              <w:jc w:val="center"/>
            </w:pPr>
          </w:p>
        </w:tc>
      </w:tr>
      <w:tr w:rsidR="00DF04BD" w:rsidRPr="00861217" w:rsidTr="00EA39CE">
        <w:tc>
          <w:tcPr>
            <w:tcW w:w="534" w:type="dxa"/>
            <w:gridSpan w:val="2"/>
          </w:tcPr>
          <w:p w:rsidR="00DF04BD" w:rsidRDefault="00DF04BD" w:rsidP="00EA39CE">
            <w:pPr>
              <w:pStyle w:val="TableText"/>
            </w:pPr>
            <w:r>
              <w:t>3</w:t>
            </w:r>
          </w:p>
        </w:tc>
        <w:tc>
          <w:tcPr>
            <w:tcW w:w="7688" w:type="dxa"/>
          </w:tcPr>
          <w:p w:rsidR="00DF04BD" w:rsidRPr="000B28B0" w:rsidRDefault="00DF04BD" w:rsidP="000B28B0">
            <w:pPr>
              <w:pStyle w:val="TableText"/>
              <w:ind w:left="209"/>
              <w:rPr>
                <w:sz w:val="22"/>
                <w:szCs w:val="22"/>
              </w:rPr>
            </w:pPr>
            <w:r w:rsidRPr="000B28B0">
              <w:rPr>
                <w:sz w:val="22"/>
                <w:szCs w:val="22"/>
              </w:rPr>
              <w:t>Administrators in organisations must be able to remove user accounts, including detecting and removing duplicate accounts.</w:t>
            </w:r>
          </w:p>
        </w:tc>
        <w:tc>
          <w:tcPr>
            <w:tcW w:w="283" w:type="dxa"/>
            <w:shd w:val="clear" w:color="auto" w:fill="auto"/>
          </w:tcPr>
          <w:p w:rsidR="00DF04BD" w:rsidRDefault="00DF04BD" w:rsidP="00EA39CE">
            <w:pPr>
              <w:pStyle w:val="TableText"/>
              <w:jc w:val="center"/>
            </w:pPr>
          </w:p>
        </w:tc>
      </w:tr>
      <w:tr w:rsidR="00DF04BD" w:rsidRPr="00D72D9F" w:rsidTr="00EA39CE">
        <w:tc>
          <w:tcPr>
            <w:tcW w:w="534" w:type="dxa"/>
            <w:gridSpan w:val="2"/>
          </w:tcPr>
          <w:p w:rsidR="00DF04BD" w:rsidRDefault="00DF04BD" w:rsidP="00EA39CE">
            <w:pPr>
              <w:pStyle w:val="TableText"/>
            </w:pPr>
            <w:r>
              <w:t>4</w:t>
            </w:r>
          </w:p>
        </w:tc>
        <w:tc>
          <w:tcPr>
            <w:tcW w:w="7688" w:type="dxa"/>
          </w:tcPr>
          <w:p w:rsidR="00DF04BD" w:rsidRPr="000B28B0" w:rsidRDefault="00DF04BD" w:rsidP="000B28B0">
            <w:pPr>
              <w:pStyle w:val="TableText"/>
              <w:ind w:left="209"/>
              <w:rPr>
                <w:sz w:val="22"/>
                <w:szCs w:val="22"/>
              </w:rPr>
            </w:pPr>
            <w:r w:rsidRPr="000B28B0">
              <w:rPr>
                <w:sz w:val="22"/>
                <w:szCs w:val="22"/>
              </w:rPr>
              <w:t>The Supplier shall ensure that the Services provide RBAC (Role-Based Administration Control) and LBAC (Location-Based Administration Control) administration.</w:t>
            </w:r>
          </w:p>
          <w:p w:rsidR="00DF04BD" w:rsidRPr="000B28B0" w:rsidRDefault="00DF04BD" w:rsidP="000B28B0">
            <w:pPr>
              <w:pStyle w:val="TableText"/>
              <w:ind w:left="209"/>
              <w:rPr>
                <w:sz w:val="22"/>
                <w:szCs w:val="22"/>
              </w:rPr>
            </w:pPr>
            <w:r w:rsidRPr="000B28B0">
              <w:rPr>
                <w:sz w:val="22"/>
                <w:szCs w:val="22"/>
              </w:rPr>
              <w:t>Availability and scope of administrator functions should be controllable by role and location through all the interfaces.</w:t>
            </w:r>
          </w:p>
        </w:tc>
        <w:tc>
          <w:tcPr>
            <w:tcW w:w="283" w:type="dxa"/>
            <w:shd w:val="clear" w:color="auto" w:fill="auto"/>
          </w:tcPr>
          <w:p w:rsidR="00DF04BD" w:rsidRDefault="00DF04BD" w:rsidP="00EA39CE">
            <w:pPr>
              <w:pStyle w:val="TableText"/>
              <w:jc w:val="center"/>
            </w:pPr>
          </w:p>
        </w:tc>
      </w:tr>
      <w:tr w:rsidR="00DF04BD" w:rsidRPr="00D72D9F" w:rsidTr="00EA39CE">
        <w:tc>
          <w:tcPr>
            <w:tcW w:w="534" w:type="dxa"/>
            <w:gridSpan w:val="2"/>
          </w:tcPr>
          <w:p w:rsidR="00DF04BD" w:rsidRDefault="00DF04BD" w:rsidP="00EA39CE">
            <w:pPr>
              <w:pStyle w:val="TableText"/>
            </w:pPr>
            <w:r>
              <w:t>5</w:t>
            </w:r>
          </w:p>
        </w:tc>
        <w:tc>
          <w:tcPr>
            <w:tcW w:w="7688" w:type="dxa"/>
          </w:tcPr>
          <w:p w:rsidR="00DF04BD" w:rsidRPr="00705D21" w:rsidRDefault="00705D21" w:rsidP="000B28B0">
            <w:pPr>
              <w:pStyle w:val="TableText"/>
              <w:ind w:left="209"/>
              <w:rPr>
                <w:sz w:val="22"/>
                <w:szCs w:val="22"/>
              </w:rPr>
            </w:pPr>
            <w:r w:rsidRPr="00705D21">
              <w:rPr>
                <w:sz w:val="22"/>
                <w:szCs w:val="22"/>
              </w:rPr>
              <w:t>The service must allow for multiple administrators in and across organisations.</w:t>
            </w:r>
          </w:p>
        </w:tc>
        <w:tc>
          <w:tcPr>
            <w:tcW w:w="283" w:type="dxa"/>
            <w:shd w:val="clear" w:color="auto" w:fill="auto"/>
          </w:tcPr>
          <w:p w:rsidR="00DF04BD" w:rsidRDefault="00DF04BD" w:rsidP="00EA39CE">
            <w:pPr>
              <w:pStyle w:val="TableText"/>
              <w:jc w:val="center"/>
            </w:pPr>
          </w:p>
        </w:tc>
      </w:tr>
      <w:tr w:rsidR="00DF04BD" w:rsidRPr="00861217" w:rsidTr="00EA39CE">
        <w:tc>
          <w:tcPr>
            <w:tcW w:w="534" w:type="dxa"/>
            <w:gridSpan w:val="2"/>
          </w:tcPr>
          <w:p w:rsidR="00DF04BD" w:rsidRPr="00861217" w:rsidRDefault="00DF04BD" w:rsidP="00EA39CE">
            <w:pPr>
              <w:pStyle w:val="TableText"/>
            </w:pPr>
            <w:r>
              <w:t>6</w:t>
            </w:r>
          </w:p>
        </w:tc>
        <w:tc>
          <w:tcPr>
            <w:tcW w:w="7688" w:type="dxa"/>
          </w:tcPr>
          <w:p w:rsidR="00DF04BD" w:rsidRPr="00705D21" w:rsidRDefault="00705D21" w:rsidP="000B28B0">
            <w:pPr>
              <w:pStyle w:val="TableText"/>
              <w:ind w:left="209"/>
              <w:rPr>
                <w:sz w:val="22"/>
                <w:szCs w:val="22"/>
              </w:rPr>
            </w:pPr>
            <w:r w:rsidRPr="00705D21">
              <w:rPr>
                <w:sz w:val="22"/>
                <w:szCs w:val="22"/>
              </w:rPr>
              <w:t>The service must support platform, organisation and user level rate limiting controls based on for example number of messages sent and/or received per day, the message size, the number of recipients (</w:t>
            </w:r>
            <w:r w:rsidR="00095E69">
              <w:rPr>
                <w:sz w:val="22"/>
                <w:szCs w:val="22"/>
              </w:rPr>
              <w:t>Supplier</w:t>
            </w:r>
            <w:r w:rsidRPr="00705D21">
              <w:rPr>
                <w:sz w:val="22"/>
                <w:szCs w:val="22"/>
              </w:rPr>
              <w:t xml:space="preserve"> to detail how they count recipients on a DL).</w:t>
            </w:r>
          </w:p>
        </w:tc>
        <w:tc>
          <w:tcPr>
            <w:tcW w:w="283" w:type="dxa"/>
            <w:shd w:val="clear" w:color="auto" w:fill="auto"/>
          </w:tcPr>
          <w:p w:rsidR="00DF04BD" w:rsidRDefault="00DF04BD" w:rsidP="00EA39CE">
            <w:pPr>
              <w:pStyle w:val="TableText"/>
              <w:jc w:val="center"/>
            </w:pPr>
          </w:p>
        </w:tc>
      </w:tr>
      <w:tr w:rsidR="00DF04BD" w:rsidTr="00EA39CE">
        <w:tc>
          <w:tcPr>
            <w:tcW w:w="534" w:type="dxa"/>
            <w:gridSpan w:val="2"/>
          </w:tcPr>
          <w:p w:rsidR="00DF04BD" w:rsidRDefault="00DF04BD" w:rsidP="00EA39CE">
            <w:pPr>
              <w:pStyle w:val="TableText"/>
            </w:pPr>
            <w:r>
              <w:t>7</w:t>
            </w:r>
          </w:p>
        </w:tc>
        <w:tc>
          <w:tcPr>
            <w:tcW w:w="7688" w:type="dxa"/>
          </w:tcPr>
          <w:p w:rsidR="00DF04BD" w:rsidRPr="000B28B0" w:rsidRDefault="00DF04BD" w:rsidP="000B28B0">
            <w:pPr>
              <w:pStyle w:val="TableText"/>
              <w:ind w:left="209"/>
              <w:rPr>
                <w:sz w:val="22"/>
                <w:szCs w:val="22"/>
              </w:rPr>
            </w:pPr>
            <w:r w:rsidRPr="000B28B0">
              <w:rPr>
                <w:sz w:val="22"/>
                <w:szCs w:val="22"/>
              </w:rPr>
              <w:t xml:space="preserve">When transferring an account to another organisation such as when changing organisation or restructuring some attributes must be transferred (e.g. name and quota), some attributes removed (e.g. administration permissions) and some attributes updated/replaced.  The Supplier shall ensure that the Services account lifecycle management system must be configurable to support attribute transferrable, removal and updating/replacing. There should also be an ability to specify if </w:t>
            </w:r>
            <w:r w:rsidR="00B81364">
              <w:rPr>
                <w:sz w:val="22"/>
                <w:szCs w:val="22"/>
              </w:rPr>
              <w:t>Mailbox</w:t>
            </w:r>
            <w:r w:rsidRPr="000B28B0">
              <w:rPr>
                <w:sz w:val="22"/>
                <w:szCs w:val="22"/>
              </w:rPr>
              <w:t xml:space="preserve"> contacts should be transferred or exported.</w:t>
            </w:r>
          </w:p>
        </w:tc>
        <w:tc>
          <w:tcPr>
            <w:tcW w:w="283" w:type="dxa"/>
            <w:shd w:val="clear" w:color="auto" w:fill="auto"/>
          </w:tcPr>
          <w:p w:rsidR="00DF04BD" w:rsidRDefault="00DF04BD" w:rsidP="00EA39CE">
            <w:pPr>
              <w:pStyle w:val="TableText"/>
              <w:jc w:val="center"/>
            </w:pPr>
          </w:p>
        </w:tc>
      </w:tr>
      <w:tr w:rsidR="00DF04BD" w:rsidRPr="00C87141" w:rsidTr="00EA39CE">
        <w:tc>
          <w:tcPr>
            <w:tcW w:w="534" w:type="dxa"/>
            <w:gridSpan w:val="2"/>
          </w:tcPr>
          <w:p w:rsidR="00DF04BD" w:rsidRDefault="00DF04BD" w:rsidP="00EA39CE">
            <w:pPr>
              <w:pStyle w:val="TableText"/>
            </w:pPr>
            <w:r>
              <w:t>8</w:t>
            </w:r>
          </w:p>
        </w:tc>
        <w:tc>
          <w:tcPr>
            <w:tcW w:w="7688" w:type="dxa"/>
          </w:tcPr>
          <w:p w:rsidR="00DF04BD" w:rsidRPr="000B28B0" w:rsidRDefault="00DF04BD" w:rsidP="000B28B0">
            <w:pPr>
              <w:pStyle w:val="MarginText"/>
              <w:spacing w:before="60" w:after="60"/>
              <w:rPr>
                <w:rFonts w:cs="Arial"/>
                <w:b/>
                <w:szCs w:val="22"/>
                <w:u w:val="single"/>
                <w:lang w:eastAsia="en-US"/>
              </w:rPr>
            </w:pPr>
            <w:r w:rsidRPr="000B28B0">
              <w:rPr>
                <w:szCs w:val="22"/>
              </w:rPr>
              <w:t xml:space="preserve">The supplier must provide the ability to undertake all necessary administrative tasks through an authenticated role based web user </w:t>
            </w:r>
            <w:r w:rsidRPr="000B28B0">
              <w:rPr>
                <w:szCs w:val="22"/>
              </w:rPr>
              <w:lastRenderedPageBreak/>
              <w:t>interface or programmatic interface.  It should be possible to undertake actions on items both individually and in bulk.  Administrators may manage more than one related and non-related organisation.  In the case of related organisations the service should support delegated/inherited permissions.</w:t>
            </w:r>
          </w:p>
          <w:p w:rsidR="00DF04BD" w:rsidRPr="000B28B0" w:rsidRDefault="00DF04BD" w:rsidP="000D2556">
            <w:pPr>
              <w:pStyle w:val="TableText"/>
              <w:rPr>
                <w:sz w:val="22"/>
                <w:szCs w:val="22"/>
              </w:rPr>
            </w:pPr>
          </w:p>
        </w:tc>
        <w:tc>
          <w:tcPr>
            <w:tcW w:w="283" w:type="dxa"/>
            <w:shd w:val="clear" w:color="auto" w:fill="auto"/>
          </w:tcPr>
          <w:p w:rsidR="00DF04BD" w:rsidRDefault="00DF04BD" w:rsidP="00EA39CE">
            <w:pPr>
              <w:pStyle w:val="TableText"/>
              <w:jc w:val="center"/>
            </w:pPr>
          </w:p>
        </w:tc>
      </w:tr>
      <w:tr w:rsidR="00327B9A" w:rsidRPr="00C87141" w:rsidTr="00EA39CE">
        <w:tc>
          <w:tcPr>
            <w:tcW w:w="534" w:type="dxa"/>
            <w:gridSpan w:val="2"/>
          </w:tcPr>
          <w:p w:rsidR="00327B9A" w:rsidRDefault="00327B9A" w:rsidP="00EA39CE">
            <w:pPr>
              <w:pStyle w:val="TableText"/>
            </w:pPr>
          </w:p>
        </w:tc>
        <w:tc>
          <w:tcPr>
            <w:tcW w:w="7688" w:type="dxa"/>
          </w:tcPr>
          <w:p w:rsidR="000B28B0" w:rsidRDefault="000B28B0" w:rsidP="000B28B0">
            <w:pPr>
              <w:pStyle w:val="GPSL2Numbered"/>
              <w:numPr>
                <w:ilvl w:val="0"/>
                <w:numId w:val="0"/>
              </w:numPr>
              <w:ind w:left="119"/>
            </w:pPr>
            <w:r>
              <w:t>[</w:t>
            </w:r>
            <w:r w:rsidRPr="009313F7">
              <w:rPr>
                <w:b/>
                <w:highlight w:val="green"/>
              </w:rPr>
              <w:t xml:space="preserve">Guidance Note: Amend to reflect </w:t>
            </w:r>
            <w:r>
              <w:rPr>
                <w:b/>
                <w:highlight w:val="green"/>
              </w:rPr>
              <w:t>Non Essential Requirements Suppliers agree to comply with within the Award Questionnaire</w:t>
            </w:r>
            <w:r>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27B9A" w:rsidRPr="003B1E03" w:rsidRDefault="00D66B99" w:rsidP="00D66B99">
            <w:pPr>
              <w:pStyle w:val="TableText"/>
              <w:rPr>
                <w:b/>
              </w:rPr>
            </w:pPr>
            <w:r>
              <w:rPr>
                <w:b/>
              </w:rPr>
              <w:t>Non-Essential Requirements the Supplier responded to this element of the Tender, therefore the supplier is able to provide Non- Essential elements detailed below.</w:t>
            </w:r>
          </w:p>
        </w:tc>
        <w:tc>
          <w:tcPr>
            <w:tcW w:w="283" w:type="dxa"/>
            <w:shd w:val="clear" w:color="auto" w:fill="auto"/>
          </w:tcPr>
          <w:p w:rsidR="00327B9A" w:rsidRDefault="00327B9A" w:rsidP="00EA39CE">
            <w:pPr>
              <w:pStyle w:val="TableText"/>
              <w:jc w:val="center"/>
            </w:pPr>
          </w:p>
        </w:tc>
      </w:tr>
      <w:tr w:rsidR="003B1E03" w:rsidRPr="00C87141" w:rsidTr="00EA39CE">
        <w:tc>
          <w:tcPr>
            <w:tcW w:w="534" w:type="dxa"/>
            <w:gridSpan w:val="2"/>
          </w:tcPr>
          <w:p w:rsidR="003B1E03" w:rsidRPr="00197AEC" w:rsidRDefault="00225C7E" w:rsidP="003B1E03">
            <w:pPr>
              <w:pStyle w:val="TableText"/>
              <w:rPr>
                <w:sz w:val="22"/>
                <w:szCs w:val="22"/>
                <w:highlight w:val="yellow"/>
              </w:rPr>
            </w:pPr>
            <w:r w:rsidRPr="00225C7E">
              <w:rPr>
                <w:sz w:val="22"/>
                <w:szCs w:val="22"/>
                <w:highlight w:val="yellow"/>
              </w:rPr>
              <w:t>[9</w:t>
            </w:r>
          </w:p>
        </w:tc>
        <w:tc>
          <w:tcPr>
            <w:tcW w:w="7688" w:type="dxa"/>
          </w:tcPr>
          <w:p w:rsidR="003B1E03" w:rsidRPr="00197AEC" w:rsidRDefault="00225C7E" w:rsidP="00EA39CE">
            <w:pPr>
              <w:pStyle w:val="TableText"/>
              <w:rPr>
                <w:sz w:val="22"/>
                <w:szCs w:val="22"/>
                <w:highlight w:val="yellow"/>
              </w:rPr>
            </w:pPr>
            <w:r w:rsidRPr="00225C7E">
              <w:rPr>
                <w:sz w:val="22"/>
                <w:szCs w:val="22"/>
                <w:highlight w:val="yellow"/>
              </w:rPr>
              <w:t>The supplier should retain removed and expired accounts for a period to be agreed with the Contracting Body and declared in the Implementation Plan; and this period must be configurable in the event of any agreed policy changes.</w:t>
            </w:r>
            <w:r w:rsidR="003370B7">
              <w:rPr>
                <w:sz w:val="22"/>
                <w:szCs w:val="22"/>
                <w:highlight w:val="yellow"/>
              </w:rPr>
              <w:t>]</w:t>
            </w:r>
          </w:p>
        </w:tc>
        <w:tc>
          <w:tcPr>
            <w:tcW w:w="283" w:type="dxa"/>
            <w:shd w:val="clear" w:color="auto" w:fill="auto"/>
          </w:tcPr>
          <w:p w:rsidR="003B1E03" w:rsidRDefault="003B1E03" w:rsidP="00EA39CE">
            <w:pPr>
              <w:pStyle w:val="TableText"/>
              <w:jc w:val="center"/>
            </w:pPr>
          </w:p>
        </w:tc>
      </w:tr>
      <w:tr w:rsidR="003B1E03" w:rsidRPr="00C87141" w:rsidTr="00EA39CE">
        <w:tc>
          <w:tcPr>
            <w:tcW w:w="534" w:type="dxa"/>
            <w:gridSpan w:val="2"/>
          </w:tcPr>
          <w:p w:rsidR="003B1E03" w:rsidRPr="00197AEC" w:rsidRDefault="003370B7" w:rsidP="00EA39CE">
            <w:pPr>
              <w:pStyle w:val="TableText"/>
              <w:rPr>
                <w:sz w:val="22"/>
                <w:szCs w:val="22"/>
                <w:highlight w:val="yellow"/>
              </w:rPr>
            </w:pPr>
            <w:r>
              <w:rPr>
                <w:sz w:val="22"/>
                <w:szCs w:val="22"/>
                <w:highlight w:val="yellow"/>
              </w:rPr>
              <w:t>[</w:t>
            </w:r>
            <w:r w:rsidR="00225C7E" w:rsidRPr="00225C7E">
              <w:rPr>
                <w:sz w:val="22"/>
                <w:szCs w:val="22"/>
                <w:highlight w:val="yellow"/>
              </w:rPr>
              <w:t>10</w:t>
            </w:r>
          </w:p>
        </w:tc>
        <w:tc>
          <w:tcPr>
            <w:tcW w:w="7688" w:type="dxa"/>
          </w:tcPr>
          <w:p w:rsidR="003B1E03" w:rsidRPr="00197AEC" w:rsidRDefault="00225C7E" w:rsidP="00EA39CE">
            <w:pPr>
              <w:pStyle w:val="TableText"/>
              <w:rPr>
                <w:sz w:val="22"/>
                <w:szCs w:val="22"/>
                <w:highlight w:val="yellow"/>
              </w:rPr>
            </w:pPr>
            <w:r w:rsidRPr="00225C7E">
              <w:rPr>
                <w:sz w:val="22"/>
                <w:szCs w:val="22"/>
                <w:highlight w:val="yellow"/>
              </w:rPr>
              <w:t>The supplier should provide administrators with the ability to restore deleted accounts up to a specified period, and for account owners to be able to do it themselves through a safe method such as shared pre-registered secrets.]</w:t>
            </w:r>
          </w:p>
        </w:tc>
        <w:tc>
          <w:tcPr>
            <w:tcW w:w="283" w:type="dxa"/>
            <w:shd w:val="clear" w:color="auto" w:fill="auto"/>
          </w:tcPr>
          <w:p w:rsidR="003B1E03" w:rsidRDefault="003B1E03" w:rsidP="00EA39CE">
            <w:pPr>
              <w:pStyle w:val="TableText"/>
              <w:jc w:val="center"/>
            </w:pPr>
          </w:p>
        </w:tc>
      </w:tr>
    </w:tbl>
    <w:p w:rsidR="00327B9A" w:rsidRPr="00AF4BF6" w:rsidRDefault="00327B9A" w:rsidP="00327B9A">
      <w:pPr>
        <w:pStyle w:val="GPSL3numberedclause"/>
        <w:numPr>
          <w:ilvl w:val="2"/>
          <w:numId w:val="323"/>
        </w:numPr>
      </w:pPr>
      <w:proofErr w:type="spellStart"/>
      <w:r w:rsidRPr="00AF4BF6">
        <w:t>Onboarding</w:t>
      </w:r>
      <w:proofErr w:type="spellEnd"/>
      <w:r w:rsidRPr="00AF4BF6">
        <w:t xml:space="preserve"> and </w:t>
      </w:r>
      <w:proofErr w:type="spellStart"/>
      <w:r w:rsidRPr="00AF4BF6">
        <w:t>Offboarding</w:t>
      </w:r>
      <w:proofErr w:type="spellEnd"/>
      <w:r w:rsidRPr="00AF4BF6">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83"/>
      </w:tblGrid>
      <w:tr w:rsidR="00327B9A" w:rsidRPr="00861217" w:rsidTr="00EA39CE">
        <w:tc>
          <w:tcPr>
            <w:tcW w:w="567" w:type="dxa"/>
            <w:shd w:val="pct12" w:color="auto" w:fill="auto"/>
          </w:tcPr>
          <w:p w:rsidR="00327B9A" w:rsidRPr="0049242F" w:rsidRDefault="00327B9A" w:rsidP="00EA39CE">
            <w:pPr>
              <w:pStyle w:val="TableHeader"/>
              <w:rPr>
                <w:lang w:val="en-GB"/>
              </w:rPr>
            </w:pPr>
            <w:r w:rsidRPr="0049242F">
              <w:rPr>
                <w:lang w:val="en-GB"/>
              </w:rPr>
              <w:t>#</w:t>
            </w:r>
          </w:p>
        </w:tc>
        <w:tc>
          <w:tcPr>
            <w:tcW w:w="7655" w:type="dxa"/>
            <w:shd w:val="pct12" w:color="auto" w:fill="auto"/>
          </w:tcPr>
          <w:p w:rsidR="00327B9A" w:rsidRPr="0049242F" w:rsidRDefault="00327B9A" w:rsidP="00EA39CE">
            <w:pPr>
              <w:pStyle w:val="TableHeader"/>
              <w:rPr>
                <w:lang w:val="en-GB"/>
              </w:rPr>
            </w:pPr>
            <w:r w:rsidRPr="0049242F">
              <w:rPr>
                <w:lang w:val="en-GB"/>
              </w:rPr>
              <w:t>Requirement</w:t>
            </w:r>
          </w:p>
        </w:tc>
        <w:tc>
          <w:tcPr>
            <w:tcW w:w="283" w:type="dxa"/>
            <w:shd w:val="pct12" w:color="auto" w:fill="auto"/>
          </w:tcPr>
          <w:p w:rsidR="00327B9A" w:rsidRPr="0049242F" w:rsidRDefault="00327B9A" w:rsidP="00EA39CE">
            <w:pPr>
              <w:pStyle w:val="TableHeader"/>
              <w:jc w:val="center"/>
              <w:rPr>
                <w:lang w:val="en-GB"/>
              </w:rPr>
            </w:pPr>
          </w:p>
        </w:tc>
      </w:tr>
      <w:tr w:rsidR="003B1E03" w:rsidRPr="00861217" w:rsidTr="00EA39CE">
        <w:tc>
          <w:tcPr>
            <w:tcW w:w="567" w:type="dxa"/>
          </w:tcPr>
          <w:p w:rsidR="003B1E03" w:rsidRPr="00861217" w:rsidRDefault="003B1E03" w:rsidP="00EA39CE">
            <w:pPr>
              <w:pStyle w:val="TableText"/>
            </w:pPr>
            <w:r w:rsidRPr="00861217">
              <w:t>1</w:t>
            </w:r>
          </w:p>
        </w:tc>
        <w:tc>
          <w:tcPr>
            <w:tcW w:w="7655" w:type="dxa"/>
          </w:tcPr>
          <w:p w:rsidR="003B1E03" w:rsidRPr="000B28B0" w:rsidRDefault="003B1E03" w:rsidP="000B28B0">
            <w:pPr>
              <w:pStyle w:val="TableText"/>
              <w:ind w:left="176"/>
              <w:rPr>
                <w:sz w:val="22"/>
                <w:szCs w:val="22"/>
              </w:rPr>
            </w:pPr>
            <w:r w:rsidRPr="000B28B0">
              <w:rPr>
                <w:sz w:val="22"/>
                <w:szCs w:val="22"/>
              </w:rPr>
              <w:t>For each Services component  the Supplier shall provide the ability for an organisation to move all its specified accounts and  associated data (e.g. emails, contacts, tasks, calendars, distribution lists, ancillary data, email address or  cloud storage content) across suppliers with minimal disruption and no unexpected data loss.</w:t>
            </w:r>
          </w:p>
        </w:tc>
        <w:tc>
          <w:tcPr>
            <w:tcW w:w="283" w:type="dxa"/>
            <w:shd w:val="clear" w:color="auto" w:fill="auto"/>
          </w:tcPr>
          <w:p w:rsidR="003B1E03" w:rsidRDefault="003B1E03" w:rsidP="00EA39CE">
            <w:pPr>
              <w:pStyle w:val="TableText"/>
              <w:jc w:val="center"/>
            </w:pPr>
          </w:p>
        </w:tc>
      </w:tr>
      <w:tr w:rsidR="003B1E03" w:rsidRPr="00861217" w:rsidTr="00EA39CE">
        <w:tc>
          <w:tcPr>
            <w:tcW w:w="567" w:type="dxa"/>
          </w:tcPr>
          <w:p w:rsidR="003B1E03" w:rsidRPr="00861217" w:rsidRDefault="003B1E03" w:rsidP="00EA39CE">
            <w:pPr>
              <w:pStyle w:val="TableText"/>
            </w:pPr>
            <w:r w:rsidRPr="00861217">
              <w:t>2</w:t>
            </w:r>
          </w:p>
        </w:tc>
        <w:tc>
          <w:tcPr>
            <w:tcW w:w="7655" w:type="dxa"/>
          </w:tcPr>
          <w:p w:rsidR="003B1E03" w:rsidRPr="000B28B0" w:rsidRDefault="003B1E03" w:rsidP="000B28B0">
            <w:pPr>
              <w:pStyle w:val="TableText"/>
              <w:ind w:left="176"/>
              <w:rPr>
                <w:sz w:val="22"/>
                <w:szCs w:val="22"/>
              </w:rPr>
            </w:pPr>
            <w:r w:rsidRPr="000B28B0">
              <w:rPr>
                <w:sz w:val="22"/>
                <w:szCs w:val="22"/>
              </w:rPr>
              <w:t>The Supplier shall ensure the Service allows migration to occur with minimal impact on organisations, and must require minimal effort from users and their administrators.</w:t>
            </w:r>
          </w:p>
        </w:tc>
        <w:tc>
          <w:tcPr>
            <w:tcW w:w="283" w:type="dxa"/>
            <w:shd w:val="clear" w:color="auto" w:fill="auto"/>
          </w:tcPr>
          <w:p w:rsidR="003B1E03" w:rsidRDefault="003B1E03" w:rsidP="00EA39CE">
            <w:pPr>
              <w:pStyle w:val="TableText"/>
              <w:jc w:val="center"/>
            </w:pPr>
          </w:p>
        </w:tc>
      </w:tr>
      <w:tr w:rsidR="003B1E03" w:rsidRPr="00861217" w:rsidTr="00EA39CE">
        <w:tc>
          <w:tcPr>
            <w:tcW w:w="567" w:type="dxa"/>
          </w:tcPr>
          <w:p w:rsidR="003B1E03" w:rsidRPr="00861217" w:rsidRDefault="003B1E03" w:rsidP="00EA39CE">
            <w:pPr>
              <w:pStyle w:val="TableText"/>
            </w:pPr>
            <w:r>
              <w:t>3</w:t>
            </w:r>
          </w:p>
        </w:tc>
        <w:tc>
          <w:tcPr>
            <w:tcW w:w="7655" w:type="dxa"/>
          </w:tcPr>
          <w:p w:rsidR="003B1E03" w:rsidRPr="000B28B0" w:rsidRDefault="003B1E03" w:rsidP="000B28B0">
            <w:pPr>
              <w:pStyle w:val="TableText"/>
              <w:ind w:left="176"/>
              <w:rPr>
                <w:sz w:val="22"/>
                <w:szCs w:val="22"/>
              </w:rPr>
            </w:pPr>
            <w:r w:rsidRPr="000B28B0">
              <w:rPr>
                <w:sz w:val="22"/>
                <w:szCs w:val="22"/>
              </w:rPr>
              <w:t>The Supplier shall ensure the Service provides the ability for an organisation to move all its specified accounts and associated data (e.g. emails, contacts, tasks, calendars, distribution lists, ancillary data, email addresses, directory content from any existing service with minimal disruption and no unexpected data loss.</w:t>
            </w:r>
          </w:p>
        </w:tc>
        <w:tc>
          <w:tcPr>
            <w:tcW w:w="283" w:type="dxa"/>
            <w:shd w:val="clear" w:color="auto" w:fill="auto"/>
          </w:tcPr>
          <w:p w:rsidR="003B1E03" w:rsidRDefault="003B1E03" w:rsidP="00EA39CE">
            <w:pPr>
              <w:pStyle w:val="TableText"/>
              <w:jc w:val="center"/>
            </w:pPr>
          </w:p>
        </w:tc>
      </w:tr>
      <w:tr w:rsidR="003B1E03" w:rsidRPr="00861217" w:rsidTr="00EA39CE">
        <w:tc>
          <w:tcPr>
            <w:tcW w:w="567" w:type="dxa"/>
          </w:tcPr>
          <w:p w:rsidR="003B1E03" w:rsidRDefault="003B1E03" w:rsidP="00EA39CE">
            <w:pPr>
              <w:pStyle w:val="TableText"/>
            </w:pPr>
            <w:r>
              <w:t>4</w:t>
            </w:r>
          </w:p>
        </w:tc>
        <w:tc>
          <w:tcPr>
            <w:tcW w:w="7655" w:type="dxa"/>
          </w:tcPr>
          <w:p w:rsidR="003B1E03" w:rsidRPr="000B28B0" w:rsidRDefault="003B1E03" w:rsidP="000B28B0">
            <w:pPr>
              <w:pStyle w:val="TableText"/>
              <w:ind w:left="176"/>
              <w:rPr>
                <w:sz w:val="22"/>
                <w:szCs w:val="22"/>
              </w:rPr>
            </w:pPr>
            <w:r w:rsidRPr="000B28B0">
              <w:rPr>
                <w:sz w:val="22"/>
                <w:szCs w:val="22"/>
              </w:rPr>
              <w:t>Where migration is staged the Supplier shall provide co-existence services to ensure business continuity is maintained as much as possible to the fullness of co-existence capabilities supported between services.  While this may not extend to email folder sharing between services users will have an expectation of looking up email addresses and corresponding with users regardless of the service they are on during transition.</w:t>
            </w:r>
          </w:p>
        </w:tc>
        <w:tc>
          <w:tcPr>
            <w:tcW w:w="283" w:type="dxa"/>
            <w:shd w:val="clear" w:color="auto" w:fill="auto"/>
          </w:tcPr>
          <w:p w:rsidR="003B1E03" w:rsidRDefault="003B1E03" w:rsidP="00EA39CE">
            <w:pPr>
              <w:pStyle w:val="TableText"/>
              <w:jc w:val="center"/>
            </w:pPr>
          </w:p>
        </w:tc>
      </w:tr>
      <w:tr w:rsidR="003B1E03" w:rsidRPr="00861217" w:rsidTr="00EA39CE">
        <w:tc>
          <w:tcPr>
            <w:tcW w:w="567" w:type="dxa"/>
          </w:tcPr>
          <w:p w:rsidR="003B1E03" w:rsidRDefault="003B1E03" w:rsidP="00EA39CE">
            <w:pPr>
              <w:pStyle w:val="TableText"/>
            </w:pPr>
            <w:r>
              <w:t>5</w:t>
            </w:r>
          </w:p>
        </w:tc>
        <w:tc>
          <w:tcPr>
            <w:tcW w:w="7655" w:type="dxa"/>
          </w:tcPr>
          <w:p w:rsidR="003B1E03" w:rsidRPr="000B28B0" w:rsidRDefault="003B1E03" w:rsidP="000B28B0">
            <w:pPr>
              <w:pStyle w:val="TableText"/>
              <w:ind w:left="176"/>
              <w:rPr>
                <w:sz w:val="22"/>
                <w:szCs w:val="22"/>
              </w:rPr>
            </w:pPr>
            <w:r w:rsidRPr="000B28B0">
              <w:rPr>
                <w:sz w:val="22"/>
                <w:szCs w:val="22"/>
              </w:rPr>
              <w:t xml:space="preserve">The Supplier shall ensure that the </w:t>
            </w:r>
            <w:proofErr w:type="spellStart"/>
            <w:r w:rsidRPr="000B28B0">
              <w:rPr>
                <w:sz w:val="22"/>
                <w:szCs w:val="22"/>
              </w:rPr>
              <w:t>onboarding</w:t>
            </w:r>
            <w:proofErr w:type="spellEnd"/>
            <w:r w:rsidRPr="000B28B0">
              <w:rPr>
                <w:sz w:val="22"/>
                <w:szCs w:val="22"/>
              </w:rPr>
              <w:t>/</w:t>
            </w:r>
            <w:proofErr w:type="spellStart"/>
            <w:r w:rsidRPr="000B28B0">
              <w:rPr>
                <w:sz w:val="22"/>
                <w:szCs w:val="22"/>
              </w:rPr>
              <w:t>offboarding</w:t>
            </w:r>
            <w:proofErr w:type="spellEnd"/>
            <w:r w:rsidRPr="000B28B0">
              <w:rPr>
                <w:sz w:val="22"/>
                <w:szCs w:val="22"/>
              </w:rPr>
              <w:t xml:space="preserve"> capabilities provide industry leading anti-virus capabilities and also support attachment blocking, maximum attachment size and profanity checking to ensure the integrity of source and destination systems is maintained.</w:t>
            </w:r>
          </w:p>
        </w:tc>
        <w:tc>
          <w:tcPr>
            <w:tcW w:w="283" w:type="dxa"/>
            <w:shd w:val="clear" w:color="auto" w:fill="auto"/>
          </w:tcPr>
          <w:p w:rsidR="003B1E03" w:rsidRDefault="003B1E03" w:rsidP="00EA39CE">
            <w:pPr>
              <w:pStyle w:val="TableText"/>
              <w:jc w:val="center"/>
            </w:pPr>
          </w:p>
        </w:tc>
      </w:tr>
    </w:tbl>
    <w:p w:rsidR="00327B9A" w:rsidRPr="00AF4BF6" w:rsidRDefault="00327B9A" w:rsidP="00327B9A">
      <w:pPr>
        <w:pStyle w:val="GPSL3numberedclause"/>
        <w:numPr>
          <w:ilvl w:val="2"/>
          <w:numId w:val="323"/>
        </w:numPr>
      </w:pPr>
      <w:r w:rsidRPr="00AF4BF6">
        <w:lastRenderedPageBreak/>
        <w:t>Information Security:</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88"/>
        <w:gridCol w:w="283"/>
      </w:tblGrid>
      <w:tr w:rsidR="00327B9A" w:rsidRPr="000B28B0" w:rsidTr="00EA39CE">
        <w:tc>
          <w:tcPr>
            <w:tcW w:w="534" w:type="dxa"/>
            <w:shd w:val="pct12" w:color="auto" w:fill="auto"/>
          </w:tcPr>
          <w:p w:rsidR="00327B9A" w:rsidRPr="000B28B0" w:rsidRDefault="00327B9A" w:rsidP="00EA39CE">
            <w:pPr>
              <w:pStyle w:val="TableHeader"/>
              <w:rPr>
                <w:sz w:val="22"/>
                <w:szCs w:val="22"/>
                <w:lang w:val="en-GB"/>
              </w:rPr>
            </w:pPr>
            <w:r w:rsidRPr="000B28B0">
              <w:rPr>
                <w:sz w:val="22"/>
                <w:szCs w:val="22"/>
                <w:lang w:val="en-GB"/>
              </w:rPr>
              <w:t>#</w:t>
            </w:r>
          </w:p>
        </w:tc>
        <w:tc>
          <w:tcPr>
            <w:tcW w:w="7688" w:type="dxa"/>
            <w:shd w:val="pct12" w:color="auto" w:fill="auto"/>
          </w:tcPr>
          <w:p w:rsidR="00327B9A" w:rsidRPr="000B28B0" w:rsidRDefault="00327B9A" w:rsidP="00EA39CE">
            <w:pPr>
              <w:pStyle w:val="TableHeader"/>
              <w:rPr>
                <w:sz w:val="22"/>
                <w:szCs w:val="22"/>
                <w:lang w:val="en-GB"/>
              </w:rPr>
            </w:pPr>
            <w:r w:rsidRPr="000B28B0">
              <w:rPr>
                <w:sz w:val="22"/>
                <w:szCs w:val="22"/>
                <w:lang w:val="en-GB"/>
              </w:rPr>
              <w:t>Requirement</w:t>
            </w:r>
          </w:p>
        </w:tc>
        <w:tc>
          <w:tcPr>
            <w:tcW w:w="283" w:type="dxa"/>
            <w:shd w:val="pct12" w:color="auto" w:fill="auto"/>
          </w:tcPr>
          <w:p w:rsidR="00327B9A" w:rsidRPr="000B28B0" w:rsidRDefault="00327B9A" w:rsidP="00EA39CE">
            <w:pPr>
              <w:pStyle w:val="TableHeader"/>
              <w:jc w:val="center"/>
              <w:rPr>
                <w:sz w:val="22"/>
                <w:szCs w:val="22"/>
                <w:lang w:val="en-GB"/>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at all times provide and maintain the Services securely.</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2</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w:t>
            </w:r>
            <w:r w:rsidR="00937184">
              <w:rPr>
                <w:rFonts w:cs="Arial"/>
                <w:sz w:val="22"/>
                <w:szCs w:val="22"/>
              </w:rPr>
              <w:t>ll ensure that the Services</w:t>
            </w:r>
            <w:r w:rsidRPr="000B28B0">
              <w:rPr>
                <w:rFonts w:cs="Arial"/>
                <w:sz w:val="22"/>
                <w:szCs w:val="22"/>
              </w:rPr>
              <w:t xml:space="preserve"> are accredited to the PSN security levels defined and the Supplier shall follow and comply with the  following guidance on operating a service to PSN and non-PSN </w:t>
            </w:r>
            <w:r w:rsidR="001A0B07">
              <w:rPr>
                <w:rFonts w:cs="Arial"/>
                <w:sz w:val="22"/>
                <w:szCs w:val="22"/>
              </w:rPr>
              <w:t>Contracting Bodies</w:t>
            </w:r>
            <w:r w:rsidRPr="000B28B0">
              <w:rPr>
                <w:rFonts w:cs="Arial"/>
                <w:sz w:val="22"/>
                <w:szCs w:val="22"/>
              </w:rPr>
              <w:t xml:space="preserve"> available at: </w:t>
            </w:r>
            <w:hyperlink r:id="rId14" w:history="1">
              <w:r w:rsidRPr="000B28B0">
                <w:rPr>
                  <w:rStyle w:val="Hyperlink"/>
                  <w:rFonts w:eastAsia="SimSun" w:cs="Arial"/>
                  <w:sz w:val="22"/>
                  <w:szCs w:val="22"/>
                </w:rPr>
                <w:t>IA Requirements for shared PSN and G-Cloud services v1</w:t>
              </w:r>
            </w:hyperlink>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3</w:t>
            </w:r>
          </w:p>
        </w:tc>
        <w:tc>
          <w:tcPr>
            <w:tcW w:w="7688" w:type="dxa"/>
          </w:tcPr>
          <w:p w:rsidR="003B1E03" w:rsidRPr="000B28B0" w:rsidRDefault="003B1E03" w:rsidP="000B28B0">
            <w:pPr>
              <w:pStyle w:val="TableText"/>
              <w:spacing w:before="60" w:after="60"/>
              <w:ind w:left="209"/>
              <w:textboxTightWrap w:val="none"/>
              <w:rPr>
                <w:rFonts w:cs="Arial"/>
                <w:sz w:val="22"/>
                <w:szCs w:val="22"/>
              </w:rPr>
            </w:pPr>
            <w:r w:rsidRPr="000B28B0">
              <w:rPr>
                <w:rFonts w:cs="Arial"/>
                <w:sz w:val="22"/>
                <w:szCs w:val="22"/>
              </w:rPr>
              <w:t>The Supplier shall provide the ability for users to safely perform self-service password resets</w:t>
            </w:r>
            <w:r w:rsidR="001D7676">
              <w:rPr>
                <w:rFonts w:cs="Arial"/>
                <w:sz w:val="22"/>
                <w:szCs w:val="22"/>
              </w:rPr>
              <w:t>.</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4</w:t>
            </w:r>
          </w:p>
        </w:tc>
        <w:tc>
          <w:tcPr>
            <w:tcW w:w="7688" w:type="dxa"/>
          </w:tcPr>
          <w:p w:rsidR="003B1E03" w:rsidRPr="000B28B0" w:rsidRDefault="003B1E03" w:rsidP="003B1E03">
            <w:pPr>
              <w:pStyle w:val="TableText"/>
              <w:numPr>
                <w:ilvl w:val="0"/>
                <w:numId w:val="485"/>
              </w:numPr>
              <w:ind w:hanging="370"/>
              <w:rPr>
                <w:rFonts w:cs="Arial"/>
                <w:sz w:val="22"/>
                <w:szCs w:val="22"/>
              </w:rPr>
            </w:pPr>
            <w:r w:rsidRPr="000B28B0">
              <w:rPr>
                <w:rFonts w:cs="Arial"/>
                <w:sz w:val="22"/>
                <w:szCs w:val="22"/>
              </w:rPr>
              <w:t xml:space="preserve">The Supplier shall provide organisation administrators with tools to set per user and per client type access to individual components to support their local information governance policies.  </w:t>
            </w:r>
          </w:p>
          <w:p w:rsidR="003B1E03" w:rsidRPr="000B28B0" w:rsidRDefault="003B1E03" w:rsidP="003B1E03">
            <w:pPr>
              <w:pStyle w:val="TableText"/>
              <w:numPr>
                <w:ilvl w:val="0"/>
                <w:numId w:val="485"/>
              </w:numPr>
              <w:ind w:hanging="370"/>
              <w:rPr>
                <w:rFonts w:cs="Arial"/>
                <w:sz w:val="22"/>
                <w:szCs w:val="22"/>
              </w:rPr>
            </w:pPr>
            <w:r w:rsidRPr="000B28B0">
              <w:rPr>
                <w:rFonts w:cs="Arial"/>
                <w:sz w:val="22"/>
                <w:szCs w:val="22"/>
              </w:rPr>
              <w:t>The Supplier shall enable Contracting Bodies to identify personally owned equipment so that they can manage the risk and if need be block access to personally owned devices that do not comply with local information governance policies.</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5</w:t>
            </w:r>
          </w:p>
        </w:tc>
        <w:tc>
          <w:tcPr>
            <w:tcW w:w="7688" w:type="dxa"/>
          </w:tcPr>
          <w:p w:rsidR="003B1E03" w:rsidRPr="000B28B0" w:rsidRDefault="003B1E03" w:rsidP="003B1E03">
            <w:pPr>
              <w:pStyle w:val="TableText"/>
              <w:numPr>
                <w:ilvl w:val="0"/>
                <w:numId w:val="486"/>
              </w:numPr>
              <w:rPr>
                <w:rFonts w:cs="Arial"/>
                <w:sz w:val="22"/>
                <w:szCs w:val="22"/>
              </w:rPr>
            </w:pPr>
            <w:r w:rsidRPr="000B28B0">
              <w:rPr>
                <w:rFonts w:cs="Arial"/>
                <w:sz w:val="22"/>
                <w:szCs w:val="22"/>
              </w:rPr>
              <w:t>The Supplier shall maintain an Information Security Management System (ISMS) that conforms to ISO/IEC 2700</w:t>
            </w:r>
            <w:r w:rsidR="0069655A">
              <w:rPr>
                <w:rFonts w:cs="Arial"/>
                <w:sz w:val="22"/>
                <w:szCs w:val="22"/>
              </w:rPr>
              <w:t>1</w:t>
            </w:r>
            <w:r w:rsidRPr="000B28B0">
              <w:rPr>
                <w:rFonts w:cs="Arial"/>
                <w:sz w:val="22"/>
                <w:szCs w:val="22"/>
              </w:rPr>
              <w:t>:2013 Information technology -- Security techniques -- Information security management systems -- Requirements</w:t>
            </w:r>
            <w:r w:rsidRPr="000B28B0">
              <w:rPr>
                <w:rStyle w:val="Heading1Char"/>
              </w:rPr>
              <w:t xml:space="preserve"> </w:t>
            </w:r>
            <w:r w:rsidRPr="000B28B0">
              <w:rPr>
                <w:rFonts w:cs="Arial"/>
                <w:sz w:val="22"/>
                <w:szCs w:val="22"/>
              </w:rPr>
              <w:t>and BS ISO/IEC 27002: 2013</w:t>
            </w:r>
            <w:r w:rsidRPr="000B28B0">
              <w:rPr>
                <w:rStyle w:val="Hyperlink"/>
                <w:rFonts w:eastAsia="SimSun" w:cs="Arial"/>
                <w:sz w:val="22"/>
                <w:szCs w:val="22"/>
              </w:rPr>
              <w:t xml:space="preserve"> </w:t>
            </w:r>
            <w:r w:rsidRPr="000B28B0">
              <w:rPr>
                <w:rFonts w:cs="Arial"/>
                <w:sz w:val="22"/>
                <w:szCs w:val="22"/>
              </w:rPr>
              <w:t xml:space="preserve">Information technology. Security techniques. Code of practice for information security controls. </w:t>
            </w:r>
          </w:p>
          <w:p w:rsidR="003B1E03" w:rsidRPr="000B28B0" w:rsidRDefault="003B1E03" w:rsidP="003B1E03">
            <w:pPr>
              <w:pStyle w:val="TableText"/>
              <w:numPr>
                <w:ilvl w:val="0"/>
                <w:numId w:val="486"/>
              </w:numPr>
              <w:rPr>
                <w:rFonts w:cs="Arial"/>
                <w:sz w:val="22"/>
                <w:szCs w:val="22"/>
              </w:rPr>
            </w:pPr>
            <w:r w:rsidRPr="000B28B0">
              <w:rPr>
                <w:rFonts w:cs="Arial"/>
                <w:sz w:val="22"/>
                <w:szCs w:val="22"/>
              </w:rPr>
              <w:t xml:space="preserve">The Supplier shall evidence its compliance with requirement </w:t>
            </w:r>
            <w:r w:rsidR="0069655A">
              <w:rPr>
                <w:rFonts w:cs="Arial"/>
                <w:sz w:val="22"/>
                <w:szCs w:val="22"/>
              </w:rPr>
              <w:t>5</w:t>
            </w:r>
            <w:r w:rsidRPr="000B28B0">
              <w:rPr>
                <w:rFonts w:cs="Arial"/>
                <w:sz w:val="22"/>
                <w:szCs w:val="22"/>
              </w:rPr>
              <w:t xml:space="preserve">(a) (above) to the </w:t>
            </w:r>
            <w:r w:rsidR="001A0B07">
              <w:rPr>
                <w:rFonts w:cs="Arial"/>
                <w:sz w:val="22"/>
                <w:szCs w:val="22"/>
              </w:rPr>
              <w:t>Contracting Body</w:t>
            </w:r>
            <w:r w:rsidRPr="000B28B0">
              <w:rPr>
                <w:rFonts w:cs="Arial"/>
                <w:sz w:val="22"/>
                <w:szCs w:val="22"/>
              </w:rPr>
              <w:t xml:space="preserve"> on request by a certification from a body accredited by an appropriate national authority, which, in respect of the UK is the </w:t>
            </w:r>
            <w:hyperlink r:id="rId15" w:history="1">
              <w:r w:rsidRPr="000B28B0">
                <w:rPr>
                  <w:rFonts w:cs="Arial"/>
                  <w:sz w:val="22"/>
                  <w:szCs w:val="22"/>
                </w:rPr>
                <w:t>United Kingdom Accreditation Service (UKAS).</w:t>
              </w:r>
            </w:hyperlink>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6</w:t>
            </w:r>
          </w:p>
        </w:tc>
        <w:tc>
          <w:tcPr>
            <w:tcW w:w="7688" w:type="dxa"/>
          </w:tcPr>
          <w:p w:rsidR="003B1E03" w:rsidRPr="000B28B0" w:rsidRDefault="003B1E03" w:rsidP="003B1E03">
            <w:pPr>
              <w:pStyle w:val="TableText"/>
              <w:numPr>
                <w:ilvl w:val="0"/>
                <w:numId w:val="527"/>
              </w:numPr>
              <w:rPr>
                <w:rFonts w:cs="Arial"/>
                <w:sz w:val="22"/>
                <w:szCs w:val="22"/>
              </w:rPr>
            </w:pPr>
            <w:r w:rsidRPr="000B28B0">
              <w:rPr>
                <w:rFonts w:cs="Arial"/>
                <w:sz w:val="22"/>
                <w:szCs w:val="22"/>
              </w:rPr>
              <w:t>The Supplier shall implement and maintain a security policy which sets out the security measures to be implemented and maintained in accordance with ISO/IEC 27001, BS ISO/IEC 27002 and the Information Security Management System.</w:t>
            </w:r>
          </w:p>
          <w:p w:rsidR="003B1E03" w:rsidRPr="000B28B0" w:rsidRDefault="003B1E03" w:rsidP="003B1E03">
            <w:pPr>
              <w:pStyle w:val="TableText"/>
              <w:numPr>
                <w:ilvl w:val="0"/>
                <w:numId w:val="527"/>
              </w:numPr>
              <w:rPr>
                <w:rFonts w:cs="Arial"/>
                <w:sz w:val="22"/>
                <w:szCs w:val="22"/>
              </w:rPr>
            </w:pPr>
            <w:r w:rsidRPr="000B28B0">
              <w:rPr>
                <w:rFonts w:cs="Arial"/>
                <w:sz w:val="22"/>
                <w:szCs w:val="22"/>
              </w:rPr>
              <w:t xml:space="preserve">The security policy implemented and maintained by the Supplier further to requirement </w:t>
            </w:r>
            <w:r w:rsidR="0069655A">
              <w:rPr>
                <w:rFonts w:cs="Arial"/>
                <w:sz w:val="22"/>
                <w:szCs w:val="22"/>
              </w:rPr>
              <w:t>6</w:t>
            </w:r>
            <w:r w:rsidRPr="000B28B0">
              <w:rPr>
                <w:rFonts w:cs="Arial"/>
                <w:sz w:val="22"/>
                <w:szCs w:val="22"/>
              </w:rPr>
              <w:t>(a) (above) will be reviewed and updated in a timely fashion and will be reviewed on an annual basis by the Supplier, evidencing such review to the Contracting Body.</w:t>
            </w:r>
          </w:p>
          <w:p w:rsidR="003B1E03" w:rsidRPr="000B28B0" w:rsidRDefault="003B1E03" w:rsidP="00E669CB">
            <w:pPr>
              <w:pStyle w:val="TableText"/>
              <w:ind w:left="776" w:hanging="426"/>
              <w:rPr>
                <w:rFonts w:cs="Arial"/>
                <w:sz w:val="22"/>
                <w:szCs w:val="22"/>
              </w:rPr>
            </w:pP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7</w:t>
            </w:r>
          </w:p>
        </w:tc>
        <w:tc>
          <w:tcPr>
            <w:tcW w:w="7688" w:type="dxa"/>
          </w:tcPr>
          <w:p w:rsidR="003B1E03" w:rsidRPr="000B28B0" w:rsidRDefault="003B1E03" w:rsidP="003B1E03">
            <w:pPr>
              <w:pStyle w:val="TableText"/>
              <w:numPr>
                <w:ilvl w:val="0"/>
                <w:numId w:val="488"/>
              </w:numPr>
              <w:rPr>
                <w:rFonts w:cs="Arial"/>
                <w:sz w:val="22"/>
                <w:szCs w:val="22"/>
              </w:rPr>
            </w:pPr>
            <w:r w:rsidRPr="000B28B0">
              <w:rPr>
                <w:rFonts w:cs="Arial"/>
                <w:sz w:val="22"/>
                <w:szCs w:val="22"/>
              </w:rPr>
              <w:t xml:space="preserve">The Supplier shall conduct tests of the Supplier’s security policy in accordance with the provisions of the Supplier’s security policy relating to security testing. </w:t>
            </w:r>
          </w:p>
          <w:p w:rsidR="003B1E03" w:rsidRPr="000B28B0" w:rsidRDefault="003B1E03" w:rsidP="003B1E03">
            <w:pPr>
              <w:pStyle w:val="TableText"/>
              <w:numPr>
                <w:ilvl w:val="0"/>
                <w:numId w:val="488"/>
              </w:numPr>
              <w:rPr>
                <w:rFonts w:cs="Arial"/>
                <w:sz w:val="22"/>
                <w:szCs w:val="22"/>
              </w:rPr>
            </w:pPr>
            <w:r w:rsidRPr="000B28B0">
              <w:rPr>
                <w:rFonts w:cs="Arial"/>
                <w:sz w:val="22"/>
                <w:szCs w:val="22"/>
              </w:rPr>
              <w:t>Such tests shall be independently audited by either an accredited 3rd party or representatives of the Contracting Body at the Contracting Body’s discretion.</w:t>
            </w:r>
          </w:p>
          <w:p w:rsidR="003B1E03" w:rsidRPr="000B28B0" w:rsidRDefault="003B1E03" w:rsidP="003B1E03">
            <w:pPr>
              <w:pStyle w:val="TableText"/>
              <w:ind w:left="720"/>
              <w:rPr>
                <w:rFonts w:cs="Arial"/>
                <w:sz w:val="22"/>
                <w:szCs w:val="22"/>
              </w:rPr>
            </w:pPr>
          </w:p>
        </w:tc>
        <w:tc>
          <w:tcPr>
            <w:tcW w:w="283" w:type="dxa"/>
            <w:tcBorders>
              <w:bottom w:val="single" w:sz="4" w:space="0" w:color="auto"/>
            </w:tcBorders>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8</w:t>
            </w:r>
          </w:p>
        </w:tc>
        <w:tc>
          <w:tcPr>
            <w:tcW w:w="7688" w:type="dxa"/>
          </w:tcPr>
          <w:p w:rsidR="003B1E03" w:rsidRPr="000B28B0" w:rsidRDefault="003B1E03" w:rsidP="000B28B0">
            <w:pPr>
              <w:pStyle w:val="MarginText"/>
              <w:spacing w:before="60" w:after="60"/>
              <w:ind w:left="209"/>
              <w:rPr>
                <w:rFonts w:cs="Arial"/>
                <w:b/>
                <w:szCs w:val="22"/>
                <w:u w:val="single"/>
                <w:lang w:eastAsia="en-US"/>
              </w:rPr>
            </w:pPr>
            <w:r w:rsidRPr="000B28B0">
              <w:rPr>
                <w:rFonts w:cs="Arial"/>
                <w:szCs w:val="22"/>
              </w:rPr>
              <w:t xml:space="preserve">The Supplier shall notify the </w:t>
            </w:r>
            <w:r w:rsidR="001A0B07">
              <w:rPr>
                <w:rFonts w:cs="Arial"/>
                <w:szCs w:val="22"/>
              </w:rPr>
              <w:t>Contracting Body</w:t>
            </w:r>
            <w:r w:rsidRPr="000B28B0">
              <w:rPr>
                <w:rFonts w:cs="Arial"/>
                <w:szCs w:val="22"/>
              </w:rPr>
              <w:t xml:space="preserve"> immediately upon </w:t>
            </w:r>
            <w:r w:rsidRPr="000B28B0">
              <w:rPr>
                <w:rFonts w:cs="Arial"/>
                <w:szCs w:val="22"/>
              </w:rPr>
              <w:lastRenderedPageBreak/>
              <w:t>becoming aware of any breach of security, including an actual, potential or attempted breach of, or threat to, the security policy and/or the security of the Services or the systems used to provide the Services.</w:t>
            </w:r>
          </w:p>
          <w:p w:rsidR="003B1E03" w:rsidRPr="000B28B0" w:rsidRDefault="003B1E03" w:rsidP="003B1E03">
            <w:pPr>
              <w:pStyle w:val="TableText"/>
              <w:ind w:left="720"/>
              <w:rPr>
                <w:rFonts w:cs="Arial"/>
                <w:sz w:val="22"/>
                <w:szCs w:val="22"/>
              </w:rPr>
            </w:pP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EB3A0F" w:rsidP="00EA39CE">
            <w:pPr>
              <w:pStyle w:val="TableText"/>
              <w:rPr>
                <w:rFonts w:cs="Arial"/>
                <w:sz w:val="22"/>
                <w:szCs w:val="22"/>
              </w:rPr>
            </w:pPr>
            <w:r>
              <w:rPr>
                <w:rFonts w:cs="Arial"/>
                <w:sz w:val="22"/>
                <w:szCs w:val="22"/>
              </w:rPr>
              <w:lastRenderedPageBreak/>
              <w:t>9</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provide protection against malicious content when providing the Services.</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r w:rsidR="00EB3A0F">
              <w:rPr>
                <w:rFonts w:cs="Arial"/>
                <w:sz w:val="22"/>
                <w:szCs w:val="22"/>
              </w:rPr>
              <w:t>0</w:t>
            </w:r>
          </w:p>
        </w:tc>
        <w:tc>
          <w:tcPr>
            <w:tcW w:w="7688" w:type="dxa"/>
          </w:tcPr>
          <w:p w:rsidR="003B1E03" w:rsidRPr="000B28B0" w:rsidRDefault="003B1E03" w:rsidP="003B1E03">
            <w:pPr>
              <w:pStyle w:val="TableText"/>
              <w:numPr>
                <w:ilvl w:val="0"/>
                <w:numId w:val="490"/>
              </w:numPr>
              <w:rPr>
                <w:rFonts w:cs="Arial"/>
                <w:sz w:val="22"/>
                <w:szCs w:val="22"/>
              </w:rPr>
            </w:pPr>
            <w:r w:rsidRPr="000B28B0">
              <w:rPr>
                <w:rFonts w:cs="Arial"/>
                <w:sz w:val="22"/>
                <w:szCs w:val="22"/>
              </w:rPr>
              <w:t xml:space="preserve">The Supplier shall ensure that all Patient Identifiable, DPA sensitive, RESTRICTED and Official-Sensitive data at all times remain in the UK.  </w:t>
            </w:r>
          </w:p>
          <w:p w:rsidR="003B1E03" w:rsidRPr="000B28B0" w:rsidRDefault="003B1E03" w:rsidP="003B1E03">
            <w:pPr>
              <w:pStyle w:val="TableText"/>
              <w:numPr>
                <w:ilvl w:val="0"/>
                <w:numId w:val="490"/>
              </w:numPr>
              <w:rPr>
                <w:rFonts w:cs="Arial"/>
                <w:sz w:val="22"/>
                <w:szCs w:val="22"/>
              </w:rPr>
            </w:pPr>
            <w:r w:rsidRPr="000B28B0">
              <w:rPr>
                <w:rFonts w:cs="Arial"/>
                <w:sz w:val="22"/>
                <w:szCs w:val="22"/>
              </w:rPr>
              <w:t>The Supplier may hold types of data not described in requirement 1</w:t>
            </w:r>
            <w:r w:rsidR="0069655A">
              <w:rPr>
                <w:rFonts w:cs="Arial"/>
                <w:sz w:val="22"/>
                <w:szCs w:val="22"/>
              </w:rPr>
              <w:t>0</w:t>
            </w:r>
            <w:r w:rsidRPr="000B28B0">
              <w:rPr>
                <w:rFonts w:cs="Arial"/>
                <w:sz w:val="22"/>
                <w:szCs w:val="22"/>
              </w:rPr>
              <w:t>(a) (above), outside of the UK in specified countries within the European Economic Area (EEA) subject to DPA compliance  e.g. non sensitive content used in a collaboration meeting</w:t>
            </w:r>
          </w:p>
          <w:p w:rsidR="003B1E03" w:rsidRPr="000B28B0" w:rsidRDefault="003B1E03" w:rsidP="00EA39CE">
            <w:pPr>
              <w:pStyle w:val="TableText"/>
              <w:rPr>
                <w:rFonts w:cs="Arial"/>
                <w:sz w:val="22"/>
                <w:szCs w:val="22"/>
              </w:rPr>
            </w:pP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r w:rsidR="00EB3A0F">
              <w:rPr>
                <w:rFonts w:cs="Arial"/>
                <w:sz w:val="22"/>
                <w:szCs w:val="22"/>
              </w:rPr>
              <w:t>1</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ensure that the Services enable the ability to protectively mark content and allow the application of data leakage prevention rules to be applied/reported based on the protective marking applied.  Protective markings may include Private, Personal, NHS CONFIDENTIAL, RESTRICTED (may include sub markings like MEDICAL), OFFICIAL and OFFICIAL-SENSITIVE.</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r w:rsidR="00EB3A0F">
              <w:rPr>
                <w:rFonts w:cs="Arial"/>
                <w:sz w:val="22"/>
                <w:szCs w:val="22"/>
              </w:rPr>
              <w:t>2</w:t>
            </w:r>
          </w:p>
        </w:tc>
        <w:tc>
          <w:tcPr>
            <w:tcW w:w="7688" w:type="dxa"/>
          </w:tcPr>
          <w:p w:rsidR="003B1E03" w:rsidRPr="000B28B0" w:rsidRDefault="003B1E03" w:rsidP="003D321E">
            <w:pPr>
              <w:pStyle w:val="TableText"/>
              <w:ind w:left="209"/>
              <w:rPr>
                <w:rFonts w:cs="Arial"/>
                <w:sz w:val="22"/>
                <w:szCs w:val="22"/>
              </w:rPr>
            </w:pPr>
            <w:r w:rsidRPr="000B28B0">
              <w:rPr>
                <w:rFonts w:cs="Arial"/>
                <w:sz w:val="22"/>
                <w:szCs w:val="22"/>
              </w:rPr>
              <w:t xml:space="preserve">The Supplier shall ensure that the Services meet the pan-government standards for the data carried or held during the performance of the Services. </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r w:rsidR="00EB3A0F">
              <w:rPr>
                <w:rFonts w:cs="Arial"/>
                <w:sz w:val="22"/>
                <w:szCs w:val="22"/>
              </w:rPr>
              <w:t>3</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ensure that the Services are accredited to the relevant pan-government accreditation level.</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p>
        </w:tc>
        <w:tc>
          <w:tcPr>
            <w:tcW w:w="7688" w:type="dxa"/>
          </w:tcPr>
          <w:p w:rsidR="000B28B0" w:rsidRPr="000B28B0" w:rsidRDefault="000B28B0" w:rsidP="000B28B0">
            <w:pPr>
              <w:pStyle w:val="GPSL2Numbered"/>
              <w:numPr>
                <w:ilvl w:val="0"/>
                <w:numId w:val="0"/>
              </w:numPr>
              <w:ind w:left="119"/>
            </w:pPr>
            <w:r w:rsidRPr="000B28B0">
              <w:t>[</w:t>
            </w:r>
            <w:r w:rsidRPr="000B28B0">
              <w:rPr>
                <w:b/>
                <w:highlight w:val="green"/>
              </w:rPr>
              <w:t>Guidance Note: Amend to reflect Non Essential Requirements Suppliers agree to comply with within the Award Questionnaire</w:t>
            </w:r>
            <w:r w:rsidRPr="000B28B0">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B1E03" w:rsidRPr="000B28B0" w:rsidRDefault="00D66B99" w:rsidP="00D66B99">
            <w:pPr>
              <w:pStyle w:val="MarginText"/>
              <w:spacing w:before="60" w:after="60"/>
              <w:rPr>
                <w:rFonts w:cs="Arial"/>
                <w:b/>
                <w:szCs w:val="22"/>
                <w:u w:val="single"/>
                <w:lang w:eastAsia="en-US"/>
              </w:rPr>
            </w:pPr>
            <w:r>
              <w:rPr>
                <w:b/>
              </w:rPr>
              <w:t>Non-Essential Requirements the Supplier responded to this element of the Tender, therefore the supplier is able to provide Non- Essential elements detailed below.</w:t>
            </w: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225C7E" w:rsidP="00EA39CE">
            <w:pPr>
              <w:pStyle w:val="TableText"/>
              <w:rPr>
                <w:rFonts w:cs="Arial"/>
                <w:sz w:val="22"/>
                <w:szCs w:val="22"/>
                <w:highlight w:val="yellow"/>
              </w:rPr>
            </w:pPr>
            <w:r w:rsidRPr="00225C7E">
              <w:rPr>
                <w:rFonts w:cs="Arial"/>
                <w:sz w:val="22"/>
                <w:szCs w:val="22"/>
                <w:highlight w:val="yellow"/>
              </w:rPr>
              <w:t>[14</w:t>
            </w:r>
          </w:p>
        </w:tc>
        <w:tc>
          <w:tcPr>
            <w:tcW w:w="7688" w:type="dxa"/>
          </w:tcPr>
          <w:p w:rsidR="003B1E03" w:rsidRPr="00197AEC" w:rsidRDefault="00225C7E" w:rsidP="000B28B0">
            <w:pPr>
              <w:pStyle w:val="TableText"/>
              <w:ind w:left="209"/>
              <w:rPr>
                <w:rFonts w:cs="Arial"/>
                <w:sz w:val="22"/>
                <w:szCs w:val="22"/>
                <w:highlight w:val="yellow"/>
              </w:rPr>
            </w:pPr>
            <w:r w:rsidRPr="00225C7E">
              <w:rPr>
                <w:rFonts w:cs="Arial"/>
                <w:sz w:val="22"/>
                <w:szCs w:val="22"/>
                <w:highlight w:val="yellow"/>
              </w:rPr>
              <w:t>The Supplier shall implement one of the following for account access when not using an official  public sector network:</w:t>
            </w:r>
          </w:p>
          <w:p w:rsidR="003B1E03" w:rsidRPr="00197AEC" w:rsidRDefault="00225C7E" w:rsidP="003B1E03">
            <w:pPr>
              <w:pStyle w:val="TableText"/>
              <w:numPr>
                <w:ilvl w:val="0"/>
                <w:numId w:val="526"/>
              </w:numPr>
              <w:spacing w:before="60" w:after="60"/>
              <w:textboxTightWrap w:val="none"/>
              <w:rPr>
                <w:rFonts w:cs="Arial"/>
                <w:sz w:val="22"/>
                <w:szCs w:val="22"/>
                <w:highlight w:val="yellow"/>
              </w:rPr>
            </w:pPr>
            <w:r w:rsidRPr="00225C7E">
              <w:rPr>
                <w:rFonts w:cs="Arial"/>
                <w:sz w:val="22"/>
                <w:szCs w:val="22"/>
                <w:highlight w:val="yellow"/>
              </w:rPr>
              <w:t>A recognised form of two-factor authentication; or</w:t>
            </w:r>
          </w:p>
          <w:p w:rsidR="003B1E03" w:rsidRPr="00197AEC" w:rsidRDefault="00225C7E" w:rsidP="003B1E03">
            <w:pPr>
              <w:pStyle w:val="TableText"/>
              <w:numPr>
                <w:ilvl w:val="0"/>
                <w:numId w:val="526"/>
              </w:numPr>
              <w:spacing w:before="60" w:after="60"/>
              <w:textboxTightWrap w:val="none"/>
              <w:rPr>
                <w:rFonts w:cs="Arial"/>
                <w:sz w:val="22"/>
                <w:szCs w:val="22"/>
                <w:highlight w:val="yellow"/>
              </w:rPr>
            </w:pPr>
            <w:r w:rsidRPr="00225C7E">
              <w:rPr>
                <w:rFonts w:cs="Arial"/>
                <w:sz w:val="22"/>
                <w:szCs w:val="22"/>
                <w:highlight w:val="yellow"/>
              </w:rPr>
              <w:t xml:space="preserve">A mechanism that augments the strength of username and password. </w:t>
            </w:r>
            <w:r w:rsidR="003370B7">
              <w:rPr>
                <w:rFonts w:cs="Arial"/>
                <w:sz w:val="22"/>
                <w:szCs w:val="22"/>
                <w:highlight w:val="yellow"/>
              </w:rPr>
              <w:t>]</w:t>
            </w:r>
          </w:p>
          <w:p w:rsidR="003B1E03" w:rsidRPr="00197AEC" w:rsidRDefault="003B1E03" w:rsidP="00EA39CE">
            <w:pPr>
              <w:pStyle w:val="TableText"/>
              <w:rPr>
                <w:rFonts w:cs="Arial"/>
                <w:sz w:val="22"/>
                <w:szCs w:val="22"/>
                <w:highlight w:val="yellow"/>
              </w:rPr>
            </w:pPr>
          </w:p>
        </w:tc>
        <w:tc>
          <w:tcPr>
            <w:tcW w:w="283" w:type="dxa"/>
            <w:shd w:val="clear" w:color="auto" w:fill="auto"/>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15</w:t>
            </w:r>
          </w:p>
        </w:tc>
        <w:tc>
          <w:tcPr>
            <w:tcW w:w="7688" w:type="dxa"/>
          </w:tcPr>
          <w:p w:rsidR="003B1E03" w:rsidRPr="00197AEC" w:rsidRDefault="00225C7E" w:rsidP="000B28B0">
            <w:pPr>
              <w:pStyle w:val="TableText"/>
              <w:ind w:left="209"/>
              <w:rPr>
                <w:rFonts w:cs="Arial"/>
                <w:sz w:val="22"/>
                <w:szCs w:val="22"/>
                <w:highlight w:val="yellow"/>
              </w:rPr>
            </w:pPr>
            <w:r w:rsidRPr="00225C7E">
              <w:rPr>
                <w:rFonts w:cs="Arial"/>
                <w:sz w:val="22"/>
                <w:szCs w:val="22"/>
                <w:highlight w:val="yellow"/>
              </w:rPr>
              <w:t>The Supplier shall provide the ability for the login to be part of another single sign-on solution, such as integration with an organisation’s existing solution, e.g. using SAML 2.0 integration.</w:t>
            </w:r>
            <w:r w:rsidR="003370B7">
              <w:rPr>
                <w:rFonts w:cs="Arial"/>
                <w:sz w:val="22"/>
                <w:szCs w:val="22"/>
                <w:highlight w:val="yellow"/>
              </w:rPr>
              <w:t>]</w:t>
            </w:r>
          </w:p>
        </w:tc>
        <w:tc>
          <w:tcPr>
            <w:tcW w:w="283" w:type="dxa"/>
            <w:shd w:val="clear" w:color="auto" w:fill="auto"/>
          </w:tcPr>
          <w:p w:rsidR="003B1E03" w:rsidRPr="000B28B0" w:rsidRDefault="003B1E03" w:rsidP="00EA39CE">
            <w:pPr>
              <w:pStyle w:val="TableText"/>
              <w:jc w:val="center"/>
              <w:rPr>
                <w:rFonts w:cs="Arial"/>
                <w:sz w:val="22"/>
                <w:szCs w:val="22"/>
              </w:rPr>
            </w:pPr>
          </w:p>
        </w:tc>
      </w:tr>
      <w:tr w:rsidR="00EB3A0F" w:rsidRPr="000B28B0" w:rsidTr="00EA39CE">
        <w:tc>
          <w:tcPr>
            <w:tcW w:w="534" w:type="dxa"/>
          </w:tcPr>
          <w:p w:rsidR="00EB3A0F"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16</w:t>
            </w:r>
          </w:p>
        </w:tc>
        <w:tc>
          <w:tcPr>
            <w:tcW w:w="7688" w:type="dxa"/>
          </w:tcPr>
          <w:p w:rsidR="00EB3A0F" w:rsidRPr="00197AEC" w:rsidRDefault="00225C7E" w:rsidP="00EB3A0F">
            <w:pPr>
              <w:pStyle w:val="TableText"/>
              <w:ind w:left="209"/>
              <w:rPr>
                <w:rFonts w:cs="Arial"/>
                <w:sz w:val="22"/>
                <w:szCs w:val="22"/>
                <w:highlight w:val="yellow"/>
              </w:rPr>
            </w:pPr>
            <w:r w:rsidRPr="00225C7E">
              <w:rPr>
                <w:rFonts w:cs="Arial"/>
                <w:sz w:val="22"/>
                <w:szCs w:val="22"/>
                <w:highlight w:val="yellow"/>
              </w:rPr>
              <w:t>The Supplier shall comply with the open standards policy for all parts of the Services:</w:t>
            </w:r>
          </w:p>
          <w:p w:rsidR="00EB3A0F" w:rsidRPr="00197AEC" w:rsidRDefault="00390EFB" w:rsidP="000B28B0">
            <w:pPr>
              <w:pStyle w:val="TableText"/>
              <w:ind w:left="209"/>
              <w:rPr>
                <w:rFonts w:cs="Arial"/>
                <w:sz w:val="22"/>
                <w:szCs w:val="22"/>
                <w:highlight w:val="yellow"/>
              </w:rPr>
            </w:pPr>
            <w:hyperlink r:id="rId16" w:history="1">
              <w:r w:rsidR="00225C7E" w:rsidRPr="00225C7E">
                <w:rPr>
                  <w:rStyle w:val="Hyperlink"/>
                  <w:rFonts w:eastAsia="SimSun" w:cs="Arial"/>
                  <w:sz w:val="22"/>
                  <w:szCs w:val="22"/>
                  <w:highlight w:val="yellow"/>
                </w:rPr>
                <w:t>https://www.gov.uk/government/publications/open-standards-principles</w:t>
              </w:r>
            </w:hyperlink>
            <w:r w:rsidR="003370B7">
              <w:rPr>
                <w:highlight w:val="yellow"/>
              </w:rPr>
              <w:t>]</w:t>
            </w:r>
          </w:p>
        </w:tc>
        <w:tc>
          <w:tcPr>
            <w:tcW w:w="283" w:type="dxa"/>
            <w:shd w:val="clear" w:color="auto" w:fill="auto"/>
          </w:tcPr>
          <w:p w:rsidR="00EB3A0F" w:rsidRPr="000B28B0" w:rsidRDefault="00EB3A0F" w:rsidP="00EA39CE">
            <w:pPr>
              <w:pStyle w:val="TableText"/>
              <w:jc w:val="center"/>
              <w:rPr>
                <w:rFonts w:cs="Arial"/>
                <w:sz w:val="22"/>
                <w:szCs w:val="22"/>
              </w:rPr>
            </w:pPr>
          </w:p>
        </w:tc>
      </w:tr>
      <w:tr w:rsidR="00EB3A0F" w:rsidRPr="000B28B0" w:rsidTr="00EA39CE">
        <w:tc>
          <w:tcPr>
            <w:tcW w:w="534" w:type="dxa"/>
          </w:tcPr>
          <w:p w:rsidR="00EB3A0F" w:rsidRPr="00197AEC" w:rsidRDefault="003370B7" w:rsidP="00EA39CE">
            <w:pPr>
              <w:pStyle w:val="TableText"/>
              <w:rPr>
                <w:rFonts w:cs="Arial"/>
                <w:sz w:val="22"/>
                <w:szCs w:val="22"/>
                <w:highlight w:val="yellow"/>
              </w:rPr>
            </w:pPr>
            <w:r>
              <w:rPr>
                <w:rFonts w:cs="Arial"/>
                <w:sz w:val="22"/>
                <w:szCs w:val="22"/>
                <w:highlight w:val="yellow"/>
              </w:rPr>
              <w:lastRenderedPageBreak/>
              <w:t>[</w:t>
            </w:r>
            <w:r w:rsidR="00225C7E" w:rsidRPr="00225C7E">
              <w:rPr>
                <w:rFonts w:cs="Arial"/>
                <w:sz w:val="22"/>
                <w:szCs w:val="22"/>
                <w:highlight w:val="yellow"/>
              </w:rPr>
              <w:t>17</w:t>
            </w:r>
          </w:p>
        </w:tc>
        <w:tc>
          <w:tcPr>
            <w:tcW w:w="7688" w:type="dxa"/>
          </w:tcPr>
          <w:p w:rsidR="00EB3A0F" w:rsidRPr="00197AEC" w:rsidRDefault="00870A9F" w:rsidP="000B28B0">
            <w:pPr>
              <w:pStyle w:val="TableText"/>
              <w:ind w:left="209"/>
              <w:rPr>
                <w:rFonts w:cs="Arial"/>
                <w:sz w:val="22"/>
                <w:szCs w:val="22"/>
                <w:highlight w:val="yellow"/>
              </w:rPr>
            </w:pPr>
            <w:r w:rsidRPr="00870A9F">
              <w:rPr>
                <w:rFonts w:cs="Arial"/>
                <w:sz w:val="22"/>
                <w:szCs w:val="22"/>
                <w:highlight w:val="yellow"/>
              </w:rPr>
              <w:t>The Supplier shall comply with the provisions of ISB 0129 Clinical Risk Management: its Application in the Manufacture of Health IT Systems, or equivalent, when delivering Services to any NHS organisation.</w:t>
            </w:r>
            <w:r w:rsidR="00225C7E" w:rsidRPr="00225C7E">
              <w:rPr>
                <w:rFonts w:cs="Arial"/>
                <w:sz w:val="22"/>
                <w:szCs w:val="22"/>
                <w:highlight w:val="yellow"/>
              </w:rPr>
              <w:t>]</w:t>
            </w:r>
          </w:p>
        </w:tc>
        <w:tc>
          <w:tcPr>
            <w:tcW w:w="283" w:type="dxa"/>
            <w:shd w:val="clear" w:color="auto" w:fill="auto"/>
          </w:tcPr>
          <w:p w:rsidR="00EB3A0F" w:rsidRPr="000B28B0" w:rsidRDefault="00EB3A0F" w:rsidP="00EA39CE">
            <w:pPr>
              <w:pStyle w:val="TableText"/>
              <w:jc w:val="center"/>
              <w:rPr>
                <w:rFonts w:cs="Arial"/>
                <w:sz w:val="22"/>
                <w:szCs w:val="22"/>
              </w:rPr>
            </w:pPr>
          </w:p>
        </w:tc>
      </w:tr>
    </w:tbl>
    <w:p w:rsidR="00327B9A" w:rsidRPr="00AF4BF6" w:rsidRDefault="00327B9A" w:rsidP="00327B9A">
      <w:pPr>
        <w:pStyle w:val="GPSL3numberedclause"/>
        <w:numPr>
          <w:ilvl w:val="2"/>
          <w:numId w:val="323"/>
        </w:numPr>
      </w:pPr>
      <w:r w:rsidRPr="00AF4BF6">
        <w:t>Service Management: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88"/>
        <w:gridCol w:w="283"/>
      </w:tblGrid>
      <w:tr w:rsidR="00327B9A" w:rsidRPr="000B28B0" w:rsidTr="00EA39CE">
        <w:tc>
          <w:tcPr>
            <w:tcW w:w="534" w:type="dxa"/>
            <w:shd w:val="clear" w:color="auto" w:fill="EAF1DD"/>
          </w:tcPr>
          <w:p w:rsidR="00327B9A" w:rsidRPr="000B28B0" w:rsidRDefault="00327B9A" w:rsidP="00EA39CE">
            <w:pPr>
              <w:pStyle w:val="TableHeader"/>
              <w:rPr>
                <w:sz w:val="22"/>
                <w:szCs w:val="22"/>
                <w:lang w:val="en-GB"/>
              </w:rPr>
            </w:pPr>
            <w:r w:rsidRPr="000B28B0">
              <w:rPr>
                <w:sz w:val="22"/>
                <w:szCs w:val="22"/>
                <w:lang w:val="en-GB"/>
              </w:rPr>
              <w:t>#</w:t>
            </w:r>
          </w:p>
        </w:tc>
        <w:tc>
          <w:tcPr>
            <w:tcW w:w="7688" w:type="dxa"/>
            <w:shd w:val="clear" w:color="auto" w:fill="EAF1DD"/>
          </w:tcPr>
          <w:p w:rsidR="00327B9A" w:rsidRPr="000B28B0" w:rsidRDefault="00327B9A" w:rsidP="00EA39CE">
            <w:pPr>
              <w:pStyle w:val="TableHeader"/>
              <w:rPr>
                <w:sz w:val="22"/>
                <w:szCs w:val="22"/>
                <w:lang w:val="en-GB"/>
              </w:rPr>
            </w:pPr>
            <w:r w:rsidRPr="000B28B0">
              <w:rPr>
                <w:sz w:val="22"/>
                <w:szCs w:val="22"/>
                <w:lang w:val="en-GB"/>
              </w:rPr>
              <w:t>Requirement</w:t>
            </w:r>
          </w:p>
        </w:tc>
        <w:tc>
          <w:tcPr>
            <w:tcW w:w="283" w:type="dxa"/>
            <w:shd w:val="clear" w:color="auto" w:fill="EAF1DD"/>
          </w:tcPr>
          <w:p w:rsidR="00327B9A" w:rsidRPr="000B28B0" w:rsidRDefault="00327B9A" w:rsidP="00EA39CE">
            <w:pPr>
              <w:pStyle w:val="TableHeader"/>
              <w:jc w:val="center"/>
              <w:rPr>
                <w:sz w:val="22"/>
                <w:szCs w:val="22"/>
                <w:lang w:val="en-GB"/>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employ an IT service management framework using processes that are based on ITIL or equivalent best practice guidance. Demonstrating the capability of the organisation by achieving certification to the ISO/IEC 20000 standard or an equivalent standard is desirable.</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2</w:t>
            </w:r>
          </w:p>
        </w:tc>
        <w:tc>
          <w:tcPr>
            <w:tcW w:w="7688" w:type="dxa"/>
          </w:tcPr>
          <w:p w:rsidR="003B1E03" w:rsidRPr="000B28B0" w:rsidRDefault="003B1E03" w:rsidP="001A0B07">
            <w:pPr>
              <w:pStyle w:val="TableText"/>
              <w:ind w:left="209"/>
              <w:rPr>
                <w:rFonts w:cs="Arial"/>
                <w:sz w:val="22"/>
                <w:szCs w:val="22"/>
              </w:rPr>
            </w:pPr>
            <w:r w:rsidRPr="000B28B0">
              <w:rPr>
                <w:rFonts w:cs="Arial"/>
                <w:sz w:val="22"/>
                <w:szCs w:val="22"/>
              </w:rPr>
              <w:t xml:space="preserve">The Supplier shall interface appropriately, where required, with the Contracting Body’s ITIL aligned Service </w:t>
            </w:r>
            <w:r w:rsidR="001A0B07">
              <w:rPr>
                <w:rFonts w:cs="Arial"/>
                <w:sz w:val="22"/>
                <w:szCs w:val="22"/>
              </w:rPr>
              <w:t>m</w:t>
            </w:r>
            <w:r w:rsidRPr="000B28B0">
              <w:rPr>
                <w:rFonts w:cs="Arial"/>
                <w:sz w:val="22"/>
                <w:szCs w:val="22"/>
              </w:rPr>
              <w:t>anagement processes, ensuring appropriate peer contacts, process interfaces and deliverables are made available to support those processes and the integration of services that make up the Service.</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3</w:t>
            </w:r>
          </w:p>
        </w:tc>
        <w:tc>
          <w:tcPr>
            <w:tcW w:w="7688" w:type="dxa"/>
          </w:tcPr>
          <w:p w:rsidR="003B1E03" w:rsidRPr="000B28B0" w:rsidRDefault="003B1E03" w:rsidP="001A0B07">
            <w:pPr>
              <w:pStyle w:val="TableText"/>
              <w:ind w:left="209"/>
              <w:rPr>
                <w:rFonts w:cs="Arial"/>
                <w:sz w:val="22"/>
                <w:szCs w:val="22"/>
              </w:rPr>
            </w:pPr>
            <w:r w:rsidRPr="000B28B0">
              <w:rPr>
                <w:rFonts w:cs="Arial"/>
                <w:sz w:val="22"/>
                <w:szCs w:val="22"/>
              </w:rPr>
              <w:t xml:space="preserve">The Supplier shall implement a comprehensive </w:t>
            </w:r>
            <w:r w:rsidR="001A0B07">
              <w:rPr>
                <w:rFonts w:cs="Arial"/>
                <w:sz w:val="22"/>
                <w:szCs w:val="22"/>
              </w:rPr>
              <w:t>p</w:t>
            </w:r>
            <w:r w:rsidRPr="000B28B0">
              <w:rPr>
                <w:rFonts w:cs="Arial"/>
                <w:sz w:val="22"/>
                <w:szCs w:val="22"/>
              </w:rPr>
              <w:t xml:space="preserve">erformance </w:t>
            </w:r>
            <w:r w:rsidR="001A0B07">
              <w:rPr>
                <w:rFonts w:cs="Arial"/>
                <w:sz w:val="22"/>
                <w:szCs w:val="22"/>
              </w:rPr>
              <w:t>m</w:t>
            </w:r>
            <w:r w:rsidRPr="000B28B0">
              <w:rPr>
                <w:rFonts w:cs="Arial"/>
                <w:sz w:val="22"/>
                <w:szCs w:val="22"/>
              </w:rPr>
              <w:t xml:space="preserve">onitoring </w:t>
            </w:r>
            <w:r w:rsidR="001A0B07">
              <w:rPr>
                <w:rFonts w:cs="Arial"/>
                <w:sz w:val="22"/>
                <w:szCs w:val="22"/>
              </w:rPr>
              <w:t>s</w:t>
            </w:r>
            <w:r w:rsidRPr="000B28B0">
              <w:rPr>
                <w:rFonts w:cs="Arial"/>
                <w:sz w:val="22"/>
                <w:szCs w:val="22"/>
              </w:rPr>
              <w:t>ystem to monitor and measure the performance of services being delivered and performance against agreed Service Levels and Key Performance Indicators.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4</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 xml:space="preserve">The Supplier shall permit the </w:t>
            </w:r>
            <w:r w:rsidR="001A0B07">
              <w:rPr>
                <w:rFonts w:cs="Arial"/>
                <w:sz w:val="22"/>
                <w:szCs w:val="22"/>
              </w:rPr>
              <w:t>Contracting Body</w:t>
            </w:r>
            <w:r w:rsidRPr="000B28B0">
              <w:rPr>
                <w:rFonts w:cs="Arial"/>
                <w:sz w:val="22"/>
                <w:szCs w:val="22"/>
              </w:rPr>
              <w:t xml:space="preserve"> to publish service performance information via media which may be visible in the public domain. These shall be published using the GDS performance platform.</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5</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shall utilise an ITIL based Service </w:t>
            </w:r>
            <w:r w:rsidR="00394377">
              <w:rPr>
                <w:rFonts w:cs="Arial"/>
                <w:sz w:val="22"/>
                <w:szCs w:val="22"/>
              </w:rPr>
              <w:t>m</w:t>
            </w:r>
            <w:r w:rsidRPr="000B28B0">
              <w:rPr>
                <w:rFonts w:cs="Arial"/>
                <w:sz w:val="22"/>
                <w:szCs w:val="22"/>
              </w:rPr>
              <w:t>anagement toolset.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6</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shall work collaboratively with the </w:t>
            </w:r>
            <w:r w:rsidR="001A0B07">
              <w:rPr>
                <w:rFonts w:cs="Arial"/>
                <w:sz w:val="22"/>
                <w:szCs w:val="22"/>
              </w:rPr>
              <w:t>Contracting Body</w:t>
            </w:r>
            <w:r w:rsidRPr="000B28B0">
              <w:rPr>
                <w:rFonts w:cs="Arial"/>
                <w:sz w:val="22"/>
                <w:szCs w:val="22"/>
              </w:rPr>
              <w:t xml:space="preserve"> and other suppliers, when requested, in circumstances such as when an integration issue has occurred and the root cause is unknown. Such activities will be led by the </w:t>
            </w:r>
            <w:r w:rsidR="001A0B07">
              <w:rPr>
                <w:rFonts w:cs="Arial"/>
                <w:sz w:val="22"/>
                <w:szCs w:val="22"/>
              </w:rPr>
              <w:t>Contracting Body</w:t>
            </w:r>
            <w:r w:rsidRPr="000B28B0">
              <w:rPr>
                <w:rFonts w:cs="Arial"/>
                <w:sz w:val="22"/>
                <w:szCs w:val="22"/>
              </w:rPr>
              <w:t xml:space="preserve">’s Service </w:t>
            </w:r>
            <w:r w:rsidR="00394377">
              <w:rPr>
                <w:rFonts w:cs="Arial"/>
                <w:sz w:val="22"/>
                <w:szCs w:val="22"/>
              </w:rPr>
              <w:t>m</w:t>
            </w:r>
            <w:r w:rsidRPr="000B28B0">
              <w:rPr>
                <w:rFonts w:cs="Arial"/>
                <w:sz w:val="22"/>
                <w:szCs w:val="22"/>
              </w:rPr>
              <w:t>anagement.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7</w:t>
            </w:r>
          </w:p>
        </w:tc>
        <w:tc>
          <w:tcPr>
            <w:tcW w:w="7688" w:type="dxa"/>
          </w:tcPr>
          <w:p w:rsidR="003B1E03" w:rsidRPr="000B28B0" w:rsidRDefault="003B1E03" w:rsidP="001A0B07">
            <w:pPr>
              <w:pStyle w:val="TableText"/>
              <w:ind w:left="209"/>
              <w:rPr>
                <w:rFonts w:cs="Arial"/>
                <w:sz w:val="22"/>
                <w:szCs w:val="22"/>
              </w:rPr>
            </w:pPr>
            <w:r w:rsidRPr="000B28B0">
              <w:rPr>
                <w:rFonts w:cs="Arial"/>
                <w:sz w:val="22"/>
                <w:szCs w:val="22"/>
              </w:rPr>
              <w:t xml:space="preserve">The Supplier shall apply a set of </w:t>
            </w:r>
            <w:r w:rsidR="001A0B07">
              <w:rPr>
                <w:rFonts w:cs="Arial"/>
                <w:sz w:val="22"/>
                <w:szCs w:val="22"/>
              </w:rPr>
              <w:t>i</w:t>
            </w:r>
            <w:r w:rsidRPr="000B28B0">
              <w:rPr>
                <w:rFonts w:cs="Arial"/>
                <w:sz w:val="22"/>
                <w:szCs w:val="22"/>
              </w:rPr>
              <w:t xml:space="preserve">ncident and </w:t>
            </w:r>
            <w:r w:rsidR="001A0B07">
              <w:rPr>
                <w:rFonts w:cs="Arial"/>
                <w:sz w:val="22"/>
                <w:szCs w:val="22"/>
              </w:rPr>
              <w:t>p</w:t>
            </w:r>
            <w:r w:rsidRPr="000B28B0">
              <w:rPr>
                <w:rFonts w:cs="Arial"/>
                <w:sz w:val="22"/>
                <w:szCs w:val="22"/>
              </w:rPr>
              <w:t xml:space="preserve">roblem </w:t>
            </w:r>
            <w:r w:rsidR="001A0B07">
              <w:rPr>
                <w:rFonts w:cs="Arial"/>
                <w:sz w:val="22"/>
                <w:szCs w:val="22"/>
              </w:rPr>
              <w:t>s</w:t>
            </w:r>
            <w:r w:rsidRPr="000B28B0">
              <w:rPr>
                <w:rFonts w:cs="Arial"/>
                <w:sz w:val="22"/>
                <w:szCs w:val="22"/>
              </w:rPr>
              <w:t xml:space="preserve">everity classifications. It is expected that these classifications are based on the impact and the urgency of the </w:t>
            </w:r>
            <w:r w:rsidR="001A0B07">
              <w:rPr>
                <w:rFonts w:cs="Arial"/>
                <w:sz w:val="22"/>
                <w:szCs w:val="22"/>
              </w:rPr>
              <w:t>i</w:t>
            </w:r>
            <w:r w:rsidRPr="000B28B0">
              <w:rPr>
                <w:rFonts w:cs="Arial"/>
                <w:sz w:val="22"/>
                <w:szCs w:val="22"/>
              </w:rPr>
              <w:t xml:space="preserve">ncident / </w:t>
            </w:r>
            <w:r w:rsidR="001A0B07">
              <w:rPr>
                <w:rFonts w:cs="Arial"/>
                <w:sz w:val="22"/>
                <w:szCs w:val="22"/>
              </w:rPr>
              <w:t>p</w:t>
            </w:r>
            <w:r w:rsidRPr="000B28B0">
              <w:rPr>
                <w:rFonts w:cs="Arial"/>
                <w:sz w:val="22"/>
                <w:szCs w:val="22"/>
              </w:rPr>
              <w:t>roblem. As an example, please see the example severity guidelines which many of the national suppliers adhere to currently.</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8</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must allocate each </w:t>
            </w:r>
            <w:r w:rsidR="00394377">
              <w:rPr>
                <w:rFonts w:cs="Arial"/>
                <w:sz w:val="22"/>
                <w:szCs w:val="22"/>
              </w:rPr>
              <w:t>i</w:t>
            </w:r>
            <w:r w:rsidRPr="000B28B0">
              <w:rPr>
                <w:rFonts w:cs="Arial"/>
                <w:sz w:val="22"/>
                <w:szCs w:val="22"/>
              </w:rPr>
              <w:t xml:space="preserve">ncident </w:t>
            </w:r>
            <w:r w:rsidR="00394377">
              <w:rPr>
                <w:rFonts w:cs="Arial"/>
                <w:sz w:val="22"/>
                <w:szCs w:val="22"/>
              </w:rPr>
              <w:t>r</w:t>
            </w:r>
            <w:r w:rsidRPr="000B28B0">
              <w:rPr>
                <w:rFonts w:cs="Arial"/>
                <w:sz w:val="22"/>
                <w:szCs w:val="22"/>
              </w:rPr>
              <w:t xml:space="preserve">ecord with a unique reference number when the </w:t>
            </w:r>
            <w:r w:rsidR="00394377">
              <w:rPr>
                <w:rFonts w:cs="Arial"/>
                <w:sz w:val="22"/>
                <w:szCs w:val="22"/>
              </w:rPr>
              <w:t>i</w:t>
            </w:r>
            <w:r w:rsidRPr="000B28B0">
              <w:rPr>
                <w:rFonts w:cs="Arial"/>
                <w:sz w:val="22"/>
                <w:szCs w:val="22"/>
              </w:rPr>
              <w:t xml:space="preserve">ncident is </w:t>
            </w:r>
            <w:r w:rsidR="00394377">
              <w:rPr>
                <w:rFonts w:cs="Arial"/>
                <w:sz w:val="22"/>
                <w:szCs w:val="22"/>
              </w:rPr>
              <w:t>l</w:t>
            </w:r>
            <w:r w:rsidRPr="000B28B0">
              <w:rPr>
                <w:rFonts w:cs="Arial"/>
                <w:sz w:val="22"/>
                <w:szCs w:val="22"/>
              </w:rPr>
              <w:t xml:space="preserve">ogged on the Supplier’s </w:t>
            </w:r>
            <w:r w:rsidR="00394377">
              <w:rPr>
                <w:rFonts w:cs="Arial"/>
                <w:sz w:val="22"/>
                <w:szCs w:val="22"/>
              </w:rPr>
              <w:t>i</w:t>
            </w:r>
            <w:r w:rsidRPr="000B28B0">
              <w:rPr>
                <w:rFonts w:cs="Arial"/>
                <w:sz w:val="22"/>
                <w:szCs w:val="22"/>
              </w:rPr>
              <w:t xml:space="preserve">ncident </w:t>
            </w:r>
            <w:r w:rsidR="00394377">
              <w:rPr>
                <w:rFonts w:cs="Arial"/>
                <w:sz w:val="22"/>
                <w:szCs w:val="22"/>
              </w:rPr>
              <w:t>m</w:t>
            </w:r>
            <w:r w:rsidRPr="000B28B0">
              <w:rPr>
                <w:rFonts w:cs="Arial"/>
                <w:sz w:val="22"/>
                <w:szCs w:val="22"/>
              </w:rPr>
              <w:t xml:space="preserve">anagement </w:t>
            </w:r>
            <w:r w:rsidR="00394377">
              <w:rPr>
                <w:rFonts w:cs="Arial"/>
                <w:sz w:val="22"/>
                <w:szCs w:val="22"/>
              </w:rPr>
              <w:t>to</w:t>
            </w:r>
            <w:r w:rsidRPr="000B28B0">
              <w:rPr>
                <w:rFonts w:cs="Arial"/>
                <w:sz w:val="22"/>
                <w:szCs w:val="22"/>
              </w:rPr>
              <w:t xml:space="preserve">ol. This reference number must be provided to the party logging the </w:t>
            </w:r>
            <w:r w:rsidR="00394377">
              <w:rPr>
                <w:rFonts w:cs="Arial"/>
                <w:sz w:val="22"/>
                <w:szCs w:val="22"/>
              </w:rPr>
              <w:t>i</w:t>
            </w:r>
            <w:r w:rsidRPr="000B28B0">
              <w:rPr>
                <w:rFonts w:cs="Arial"/>
                <w:sz w:val="22"/>
                <w:szCs w:val="22"/>
              </w:rPr>
              <w:t>ncident.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9</w:t>
            </w:r>
          </w:p>
        </w:tc>
        <w:tc>
          <w:tcPr>
            <w:tcW w:w="7688" w:type="dxa"/>
          </w:tcPr>
          <w:p w:rsidR="003B1E03" w:rsidRPr="000B28B0" w:rsidRDefault="003B1E03" w:rsidP="000B28B0">
            <w:pPr>
              <w:pStyle w:val="TableText"/>
              <w:ind w:left="209"/>
              <w:rPr>
                <w:rFonts w:cs="Arial"/>
                <w:sz w:val="22"/>
                <w:szCs w:val="22"/>
              </w:rPr>
            </w:pPr>
            <w:r w:rsidRPr="000B28B0">
              <w:rPr>
                <w:rFonts w:cs="Arial"/>
                <w:color w:val="000000"/>
                <w:sz w:val="22"/>
                <w:szCs w:val="22"/>
              </w:rPr>
              <w:t>The Supplier shall provide an audit trail of any incident actions and resolution activity upon request for a period of 12 months.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10</w:t>
            </w:r>
          </w:p>
        </w:tc>
        <w:tc>
          <w:tcPr>
            <w:tcW w:w="7688" w:type="dxa"/>
          </w:tcPr>
          <w:p w:rsidR="003B1E03" w:rsidRPr="000B28B0" w:rsidRDefault="003B1E03" w:rsidP="000B28B0">
            <w:pPr>
              <w:pStyle w:val="TableText"/>
              <w:ind w:left="209"/>
              <w:rPr>
                <w:rFonts w:cs="Arial"/>
                <w:sz w:val="22"/>
                <w:szCs w:val="22"/>
              </w:rPr>
            </w:pPr>
            <w:r w:rsidRPr="000B28B0">
              <w:rPr>
                <w:rFonts w:cs="Arial"/>
                <w:color w:val="000000"/>
                <w:sz w:val="22"/>
                <w:szCs w:val="22"/>
              </w:rPr>
              <w:t xml:space="preserve">The Supplier shall provide diagnostic scripts, tools, knowledge articles, and training materials to enable </w:t>
            </w:r>
            <w:r w:rsidR="001A0B07">
              <w:rPr>
                <w:rFonts w:cs="Arial"/>
                <w:color w:val="000000"/>
                <w:sz w:val="22"/>
                <w:szCs w:val="22"/>
              </w:rPr>
              <w:t>Contracting Body</w:t>
            </w:r>
            <w:r w:rsidRPr="000B28B0">
              <w:rPr>
                <w:rFonts w:cs="Arial"/>
                <w:color w:val="000000"/>
                <w:sz w:val="22"/>
                <w:szCs w:val="22"/>
              </w:rPr>
              <w:t>’s service desks to triage incidents, support local resolution, and capture the information necessary to resolve incidents. These must be subject to continual improvement.</w:t>
            </w:r>
          </w:p>
        </w:tc>
        <w:tc>
          <w:tcPr>
            <w:tcW w:w="283" w:type="dxa"/>
          </w:tcPr>
          <w:p w:rsidR="003B1E03" w:rsidRPr="000B28B0" w:rsidRDefault="003B1E03" w:rsidP="00EA39CE">
            <w:pPr>
              <w:pStyle w:val="TableText"/>
              <w:jc w:val="center"/>
              <w:rPr>
                <w:rFonts w:cs="Arial"/>
                <w:color w:val="000000"/>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11</w:t>
            </w:r>
          </w:p>
        </w:tc>
        <w:tc>
          <w:tcPr>
            <w:tcW w:w="7688" w:type="dxa"/>
          </w:tcPr>
          <w:p w:rsidR="003B1E03" w:rsidRPr="000B28B0" w:rsidRDefault="003B1E03" w:rsidP="00394377">
            <w:pPr>
              <w:pStyle w:val="TableText"/>
              <w:ind w:left="209"/>
              <w:rPr>
                <w:rFonts w:cs="Arial"/>
                <w:color w:val="000000"/>
                <w:sz w:val="22"/>
                <w:szCs w:val="22"/>
              </w:rPr>
            </w:pPr>
            <w:r w:rsidRPr="000B28B0">
              <w:rPr>
                <w:rFonts w:cs="Arial"/>
                <w:sz w:val="22"/>
                <w:szCs w:val="22"/>
              </w:rPr>
              <w:t xml:space="preserve">The Supplier will own and actively manage all </w:t>
            </w:r>
            <w:r w:rsidR="00394377">
              <w:rPr>
                <w:rFonts w:cs="Arial"/>
                <w:sz w:val="22"/>
                <w:szCs w:val="22"/>
              </w:rPr>
              <w:t>i</w:t>
            </w:r>
            <w:r w:rsidRPr="000B28B0">
              <w:rPr>
                <w:rFonts w:cs="Arial"/>
                <w:sz w:val="22"/>
                <w:szCs w:val="22"/>
              </w:rPr>
              <w:t xml:space="preserve">ncidents, </w:t>
            </w:r>
            <w:r w:rsidR="00394377">
              <w:rPr>
                <w:rFonts w:cs="Arial"/>
                <w:sz w:val="22"/>
                <w:szCs w:val="22"/>
              </w:rPr>
              <w:t>p</w:t>
            </w:r>
            <w:r w:rsidR="001A0B07">
              <w:rPr>
                <w:rFonts w:cs="Arial"/>
                <w:sz w:val="22"/>
                <w:szCs w:val="22"/>
              </w:rPr>
              <w:t>roblem</w:t>
            </w:r>
            <w:r w:rsidRPr="000B28B0">
              <w:rPr>
                <w:rFonts w:cs="Arial"/>
                <w:sz w:val="22"/>
                <w:szCs w:val="22"/>
              </w:rPr>
              <w:t xml:space="preserve">s and Service </w:t>
            </w:r>
            <w:r w:rsidR="00394377">
              <w:rPr>
                <w:rFonts w:cs="Arial"/>
                <w:sz w:val="22"/>
                <w:szCs w:val="22"/>
              </w:rPr>
              <w:t>r</w:t>
            </w:r>
            <w:r w:rsidRPr="000B28B0">
              <w:rPr>
                <w:rFonts w:cs="Arial"/>
                <w:sz w:val="22"/>
                <w:szCs w:val="22"/>
              </w:rPr>
              <w:t xml:space="preserve">equests logged through its Service Desk or raised proactively </w:t>
            </w:r>
            <w:r w:rsidRPr="000B28B0">
              <w:rPr>
                <w:rFonts w:cs="Arial"/>
                <w:sz w:val="22"/>
                <w:szCs w:val="22"/>
              </w:rPr>
              <w:lastRenderedPageBreak/>
              <w:t>until an appropriate resolution is effected and confirmed by the end users affected.</w:t>
            </w:r>
          </w:p>
        </w:tc>
        <w:tc>
          <w:tcPr>
            <w:tcW w:w="283" w:type="dxa"/>
          </w:tcPr>
          <w:p w:rsidR="003B1E03" w:rsidRPr="000B28B0" w:rsidRDefault="003B1E03" w:rsidP="00EA39CE">
            <w:pPr>
              <w:pStyle w:val="TableText"/>
              <w:jc w:val="center"/>
              <w:rPr>
                <w:rFonts w:cs="Arial"/>
                <w:color w:val="000000"/>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lastRenderedPageBreak/>
              <w:t>12</w:t>
            </w:r>
          </w:p>
        </w:tc>
        <w:tc>
          <w:tcPr>
            <w:tcW w:w="7688" w:type="dxa"/>
          </w:tcPr>
          <w:p w:rsidR="003B1E03" w:rsidRPr="000B28B0" w:rsidRDefault="003B1E03" w:rsidP="00394377">
            <w:pPr>
              <w:pStyle w:val="TableText"/>
              <w:ind w:left="209"/>
              <w:rPr>
                <w:rFonts w:cs="Arial"/>
                <w:color w:val="000000"/>
                <w:sz w:val="22"/>
                <w:szCs w:val="22"/>
              </w:rPr>
            </w:pPr>
            <w:r w:rsidRPr="000B28B0">
              <w:rPr>
                <w:rFonts w:cs="Arial"/>
                <w:sz w:val="22"/>
                <w:szCs w:val="22"/>
              </w:rPr>
              <w:t xml:space="preserve">The Supplier should present notification of changes to the </w:t>
            </w:r>
            <w:r w:rsidR="001A0B07">
              <w:rPr>
                <w:rFonts w:cs="Arial"/>
                <w:sz w:val="22"/>
                <w:szCs w:val="22"/>
              </w:rPr>
              <w:t>Contracting Bodies</w:t>
            </w:r>
            <w:r w:rsidRPr="000B28B0">
              <w:rPr>
                <w:rFonts w:cs="Arial"/>
                <w:sz w:val="22"/>
                <w:szCs w:val="22"/>
              </w:rPr>
              <w:t xml:space="preserve"> Service </w:t>
            </w:r>
            <w:r w:rsidR="00394377">
              <w:rPr>
                <w:rFonts w:cs="Arial"/>
                <w:sz w:val="22"/>
                <w:szCs w:val="22"/>
              </w:rPr>
              <w:t>m</w:t>
            </w:r>
            <w:r w:rsidRPr="000B28B0">
              <w:rPr>
                <w:rFonts w:cs="Arial"/>
                <w:sz w:val="22"/>
                <w:szCs w:val="22"/>
              </w:rPr>
              <w:t xml:space="preserve">anagement </w:t>
            </w:r>
            <w:r w:rsidR="00394377">
              <w:rPr>
                <w:rFonts w:cs="Arial"/>
                <w:sz w:val="22"/>
                <w:szCs w:val="22"/>
              </w:rPr>
              <w:t>t</w:t>
            </w:r>
            <w:r w:rsidRPr="000B28B0">
              <w:rPr>
                <w:rFonts w:cs="Arial"/>
                <w:sz w:val="22"/>
                <w:szCs w:val="22"/>
              </w:rPr>
              <w:t>eam in sufficient time to allow integrated suppliers to impact assess and test the change appropriately on the non-production test environment. For normal changes, the expectation would be a minimum of one weeks’ notice.</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13</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 xml:space="preserve">The Supplier shall agree a set of appropriate Service Levels which shall be monitored, measured and reported against to the </w:t>
            </w:r>
            <w:r w:rsidR="001A0B07">
              <w:rPr>
                <w:rFonts w:cs="Arial"/>
                <w:sz w:val="22"/>
                <w:szCs w:val="22"/>
              </w:rPr>
              <w:t>Contracting Body</w:t>
            </w:r>
            <w:r w:rsidRPr="000B28B0">
              <w:rPr>
                <w:rFonts w:cs="Arial"/>
                <w:sz w:val="22"/>
                <w:szCs w:val="22"/>
              </w:rPr>
              <w:t xml:space="preserve"> at least on a monthly basis.  There should be an underpinning commercial regime to support the Service Levels.</w:t>
            </w:r>
          </w:p>
          <w:p w:rsidR="003B1E03" w:rsidRPr="000B28B0" w:rsidRDefault="003B1E03" w:rsidP="000B28B0">
            <w:pPr>
              <w:pStyle w:val="TableText"/>
              <w:ind w:left="209"/>
              <w:rPr>
                <w:rFonts w:cs="Arial"/>
                <w:sz w:val="22"/>
                <w:szCs w:val="22"/>
              </w:rPr>
            </w:pPr>
            <w:r w:rsidRPr="000B28B0">
              <w:rPr>
                <w:rFonts w:cs="Arial"/>
                <w:sz w:val="22"/>
                <w:szCs w:val="22"/>
              </w:rPr>
              <w:t>The Service Levels shall include availability at a minimum of 99.9% and the following desirable service levels:</w:t>
            </w:r>
          </w:p>
          <w:p w:rsidR="003B1E03" w:rsidRPr="000B28B0" w:rsidRDefault="003B1E03" w:rsidP="003B1E03">
            <w:pPr>
              <w:pStyle w:val="TableText"/>
              <w:numPr>
                <w:ilvl w:val="0"/>
                <w:numId w:val="491"/>
              </w:numPr>
              <w:rPr>
                <w:rFonts w:cs="Arial"/>
                <w:sz w:val="22"/>
                <w:szCs w:val="22"/>
              </w:rPr>
            </w:pPr>
            <w:r w:rsidRPr="000B28B0">
              <w:rPr>
                <w:rFonts w:cs="Arial"/>
                <w:sz w:val="22"/>
                <w:szCs w:val="22"/>
              </w:rPr>
              <w:t xml:space="preserve">Response </w:t>
            </w:r>
            <w:r w:rsidR="00394377">
              <w:rPr>
                <w:rFonts w:cs="Arial"/>
                <w:sz w:val="22"/>
                <w:szCs w:val="22"/>
              </w:rPr>
              <w:t>t</w:t>
            </w:r>
            <w:r w:rsidRPr="000B28B0">
              <w:rPr>
                <w:rFonts w:cs="Arial"/>
                <w:sz w:val="22"/>
                <w:szCs w:val="22"/>
              </w:rPr>
              <w:t>imes of user interactions with the service e.g. login, view an email</w:t>
            </w:r>
          </w:p>
          <w:p w:rsidR="003B1E03" w:rsidRPr="000B28B0" w:rsidRDefault="003B1E03" w:rsidP="003B1E03">
            <w:pPr>
              <w:pStyle w:val="TableText"/>
              <w:numPr>
                <w:ilvl w:val="0"/>
                <w:numId w:val="491"/>
              </w:numPr>
              <w:rPr>
                <w:rFonts w:cs="Arial"/>
                <w:sz w:val="22"/>
                <w:szCs w:val="22"/>
              </w:rPr>
            </w:pPr>
            <w:r w:rsidRPr="000B28B0">
              <w:rPr>
                <w:rFonts w:cs="Arial"/>
                <w:sz w:val="22"/>
                <w:szCs w:val="22"/>
              </w:rPr>
              <w:t xml:space="preserve">Email </w:t>
            </w:r>
            <w:r w:rsidR="00394377">
              <w:rPr>
                <w:rFonts w:cs="Arial"/>
                <w:sz w:val="22"/>
                <w:szCs w:val="22"/>
              </w:rPr>
              <w:t>d</w:t>
            </w:r>
            <w:r w:rsidRPr="000B28B0">
              <w:rPr>
                <w:rFonts w:cs="Arial"/>
                <w:sz w:val="22"/>
                <w:szCs w:val="22"/>
              </w:rPr>
              <w:t>elivery times within the service</w:t>
            </w:r>
          </w:p>
          <w:p w:rsidR="003B1E03" w:rsidRPr="000B28B0" w:rsidRDefault="003B1E03" w:rsidP="003B1E03">
            <w:pPr>
              <w:pStyle w:val="TableText"/>
              <w:numPr>
                <w:ilvl w:val="0"/>
                <w:numId w:val="491"/>
              </w:numPr>
              <w:rPr>
                <w:rFonts w:cs="Arial"/>
                <w:sz w:val="22"/>
                <w:szCs w:val="22"/>
              </w:rPr>
            </w:pPr>
            <w:r w:rsidRPr="000B28B0">
              <w:rPr>
                <w:rFonts w:cs="Arial"/>
                <w:sz w:val="22"/>
                <w:szCs w:val="22"/>
              </w:rPr>
              <w:t xml:space="preserve">Incident </w:t>
            </w:r>
            <w:r w:rsidR="00394377">
              <w:rPr>
                <w:rFonts w:cs="Arial"/>
                <w:sz w:val="22"/>
                <w:szCs w:val="22"/>
              </w:rPr>
              <w:t>f</w:t>
            </w:r>
            <w:r w:rsidRPr="000B28B0">
              <w:rPr>
                <w:rFonts w:cs="Arial"/>
                <w:sz w:val="22"/>
                <w:szCs w:val="22"/>
              </w:rPr>
              <w:t xml:space="preserve">ix </w:t>
            </w:r>
            <w:r w:rsidR="00394377">
              <w:rPr>
                <w:rFonts w:cs="Arial"/>
                <w:sz w:val="22"/>
                <w:szCs w:val="22"/>
              </w:rPr>
              <w:t>t</w:t>
            </w:r>
            <w:r w:rsidRPr="000B28B0">
              <w:rPr>
                <w:rFonts w:cs="Arial"/>
                <w:sz w:val="22"/>
                <w:szCs w:val="22"/>
              </w:rPr>
              <w:t>imes</w:t>
            </w:r>
          </w:p>
          <w:p w:rsidR="003B1E03" w:rsidRPr="000B28B0" w:rsidRDefault="003B1E03" w:rsidP="003B1E03">
            <w:pPr>
              <w:pStyle w:val="TableText"/>
              <w:numPr>
                <w:ilvl w:val="0"/>
                <w:numId w:val="491"/>
              </w:numPr>
              <w:rPr>
                <w:rFonts w:cs="Arial"/>
                <w:sz w:val="22"/>
                <w:szCs w:val="22"/>
              </w:rPr>
            </w:pPr>
            <w:r w:rsidRPr="000B28B0">
              <w:rPr>
                <w:rFonts w:cs="Arial"/>
                <w:sz w:val="22"/>
                <w:szCs w:val="22"/>
              </w:rPr>
              <w:t xml:space="preserve">Service </w:t>
            </w:r>
            <w:r w:rsidR="00394377">
              <w:rPr>
                <w:rFonts w:cs="Arial"/>
                <w:sz w:val="22"/>
                <w:szCs w:val="22"/>
              </w:rPr>
              <w:t>d</w:t>
            </w:r>
            <w:r w:rsidRPr="000B28B0">
              <w:rPr>
                <w:rFonts w:cs="Arial"/>
                <w:sz w:val="22"/>
                <w:szCs w:val="22"/>
              </w:rPr>
              <w:t xml:space="preserve">esk </w:t>
            </w:r>
            <w:r w:rsidR="00394377">
              <w:rPr>
                <w:rFonts w:cs="Arial"/>
                <w:sz w:val="22"/>
                <w:szCs w:val="22"/>
              </w:rPr>
              <w:t>p</w:t>
            </w:r>
            <w:r w:rsidRPr="000B28B0">
              <w:rPr>
                <w:rFonts w:cs="Arial"/>
                <w:sz w:val="22"/>
                <w:szCs w:val="22"/>
              </w:rPr>
              <w:t>erformance</w:t>
            </w:r>
          </w:p>
          <w:p w:rsidR="003B1E03" w:rsidRPr="000B28B0" w:rsidRDefault="003B1E03" w:rsidP="00EA39CE">
            <w:pPr>
              <w:pStyle w:val="TableText"/>
              <w:rPr>
                <w:rFonts w:cs="Arial"/>
                <w:sz w:val="22"/>
                <w:szCs w:val="22"/>
              </w:rPr>
            </w:pP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14</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The Supplier shall deliver a Business Continuity and Disaster Recovery solution which allows for the agreed service levels to be maintained at all times, even in the event of a catastrophic event.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15</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shall deliver a Business Continuity and Disaster Recovery </w:t>
            </w:r>
            <w:r w:rsidR="00394377">
              <w:rPr>
                <w:rFonts w:cs="Arial"/>
                <w:sz w:val="22"/>
                <w:szCs w:val="22"/>
              </w:rPr>
              <w:t>p</w:t>
            </w:r>
            <w:r w:rsidRPr="000B28B0">
              <w:rPr>
                <w:rFonts w:cs="Arial"/>
                <w:sz w:val="22"/>
                <w:szCs w:val="22"/>
              </w:rPr>
              <w:t xml:space="preserve">lan to the </w:t>
            </w:r>
            <w:r w:rsidR="001A0B07">
              <w:rPr>
                <w:rFonts w:cs="Arial"/>
                <w:sz w:val="22"/>
                <w:szCs w:val="22"/>
              </w:rPr>
              <w:t>Contracting Body</w:t>
            </w:r>
            <w:r w:rsidRPr="000B28B0">
              <w:rPr>
                <w:rFonts w:cs="Arial"/>
                <w:sz w:val="22"/>
                <w:szCs w:val="22"/>
              </w:rPr>
              <w:t xml:space="preserve"> for review on an </w:t>
            </w:r>
            <w:r w:rsidR="00394377">
              <w:rPr>
                <w:rFonts w:cs="Arial"/>
                <w:sz w:val="22"/>
                <w:szCs w:val="22"/>
              </w:rPr>
              <w:t>a</w:t>
            </w:r>
            <w:r w:rsidRPr="000B28B0">
              <w:rPr>
                <w:rFonts w:cs="Arial"/>
                <w:sz w:val="22"/>
                <w:szCs w:val="22"/>
              </w:rPr>
              <w:t>nnual basis – or following any significant change to the services. Any material issues with the plan must be addressed by the supplier.</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16</w:t>
            </w:r>
          </w:p>
        </w:tc>
        <w:tc>
          <w:tcPr>
            <w:tcW w:w="7688" w:type="dxa"/>
          </w:tcPr>
          <w:p w:rsidR="003B1E03" w:rsidRPr="000B28B0" w:rsidRDefault="003B1E03" w:rsidP="000B28B0">
            <w:pPr>
              <w:pStyle w:val="TableText"/>
              <w:ind w:left="209"/>
              <w:rPr>
                <w:rFonts w:cs="Arial"/>
                <w:sz w:val="22"/>
                <w:szCs w:val="22"/>
              </w:rPr>
            </w:pPr>
            <w:r w:rsidRPr="000B28B0">
              <w:rPr>
                <w:rFonts w:cs="Arial"/>
                <w:sz w:val="22"/>
                <w:szCs w:val="22"/>
              </w:rPr>
              <w:t xml:space="preserve">The Supplier Service </w:t>
            </w:r>
            <w:r w:rsidR="00394377">
              <w:rPr>
                <w:rFonts w:cs="Arial"/>
                <w:sz w:val="22"/>
                <w:szCs w:val="22"/>
              </w:rPr>
              <w:t>d</w:t>
            </w:r>
            <w:r w:rsidRPr="000B28B0">
              <w:rPr>
                <w:rFonts w:cs="Arial"/>
                <w:sz w:val="22"/>
                <w:szCs w:val="22"/>
              </w:rPr>
              <w:t xml:space="preserve">esk shall accept </w:t>
            </w:r>
            <w:r w:rsidR="00394377">
              <w:rPr>
                <w:rFonts w:cs="Arial"/>
                <w:sz w:val="22"/>
                <w:szCs w:val="22"/>
              </w:rPr>
              <w:t>i</w:t>
            </w:r>
            <w:r w:rsidRPr="000B28B0">
              <w:rPr>
                <w:rFonts w:cs="Arial"/>
                <w:sz w:val="22"/>
                <w:szCs w:val="22"/>
              </w:rPr>
              <w:t xml:space="preserve">ncidents and Service </w:t>
            </w:r>
            <w:r w:rsidR="00394377">
              <w:rPr>
                <w:rFonts w:cs="Arial"/>
                <w:sz w:val="22"/>
                <w:szCs w:val="22"/>
              </w:rPr>
              <w:t>r</w:t>
            </w:r>
            <w:r w:rsidRPr="000B28B0">
              <w:rPr>
                <w:rFonts w:cs="Arial"/>
                <w:sz w:val="22"/>
                <w:szCs w:val="22"/>
              </w:rPr>
              <w:t>equests by at least the following means from both users and administrators of the Services:</w:t>
            </w:r>
          </w:p>
          <w:p w:rsidR="003B1E03" w:rsidRPr="000B28B0" w:rsidRDefault="003B1E03" w:rsidP="003B1E03">
            <w:pPr>
              <w:pStyle w:val="TableText"/>
              <w:numPr>
                <w:ilvl w:val="0"/>
                <w:numId w:val="492"/>
              </w:numPr>
              <w:spacing w:before="60" w:after="60"/>
              <w:textboxTightWrap w:val="none"/>
              <w:rPr>
                <w:rFonts w:cs="Arial"/>
                <w:sz w:val="22"/>
                <w:szCs w:val="22"/>
              </w:rPr>
            </w:pPr>
            <w:r w:rsidRPr="000B28B0">
              <w:rPr>
                <w:rFonts w:cs="Arial"/>
                <w:sz w:val="22"/>
                <w:szCs w:val="22"/>
              </w:rPr>
              <w:t>Telephone.</w:t>
            </w:r>
          </w:p>
          <w:p w:rsidR="003B1E03" w:rsidRPr="000B28B0" w:rsidRDefault="003B1E03" w:rsidP="003B1E03">
            <w:pPr>
              <w:pStyle w:val="TableText"/>
              <w:numPr>
                <w:ilvl w:val="0"/>
                <w:numId w:val="492"/>
              </w:numPr>
              <w:spacing w:before="60" w:after="60"/>
              <w:textboxTightWrap w:val="none"/>
              <w:rPr>
                <w:rFonts w:cs="Arial"/>
                <w:sz w:val="22"/>
                <w:szCs w:val="22"/>
              </w:rPr>
            </w:pPr>
            <w:r w:rsidRPr="000B28B0">
              <w:rPr>
                <w:rFonts w:cs="Arial"/>
                <w:sz w:val="22"/>
                <w:szCs w:val="22"/>
              </w:rPr>
              <w:t>Email.</w:t>
            </w:r>
          </w:p>
          <w:p w:rsidR="003B1E03" w:rsidRPr="000B28B0" w:rsidRDefault="003B1E03" w:rsidP="003B1E03">
            <w:pPr>
              <w:pStyle w:val="TableText"/>
              <w:numPr>
                <w:ilvl w:val="0"/>
                <w:numId w:val="492"/>
              </w:numPr>
              <w:spacing w:before="60" w:after="60"/>
              <w:textboxTightWrap w:val="none"/>
              <w:rPr>
                <w:rFonts w:cs="Arial"/>
                <w:sz w:val="22"/>
                <w:szCs w:val="22"/>
              </w:rPr>
            </w:pPr>
            <w:r w:rsidRPr="000B28B0">
              <w:rPr>
                <w:rFonts w:cs="Arial"/>
                <w:sz w:val="22"/>
                <w:szCs w:val="22"/>
              </w:rPr>
              <w:t>Web Portal.</w:t>
            </w:r>
          </w:p>
          <w:p w:rsidR="003B1E03" w:rsidRPr="000B28B0" w:rsidRDefault="003B1E03" w:rsidP="000B28B0">
            <w:pPr>
              <w:pStyle w:val="TableText"/>
              <w:ind w:left="209"/>
              <w:rPr>
                <w:rFonts w:cs="Arial"/>
                <w:sz w:val="22"/>
                <w:szCs w:val="22"/>
              </w:rPr>
            </w:pPr>
            <w:r w:rsidRPr="000B28B0">
              <w:rPr>
                <w:rFonts w:cs="Arial"/>
                <w:sz w:val="22"/>
                <w:szCs w:val="22"/>
              </w:rPr>
              <w:t>Toolset integration via API (desirable and should be presented as an additional cost line item if available).</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17</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Service </w:t>
            </w:r>
            <w:r w:rsidR="00394377">
              <w:rPr>
                <w:rFonts w:cs="Arial"/>
                <w:sz w:val="22"/>
                <w:szCs w:val="22"/>
              </w:rPr>
              <w:t>d</w:t>
            </w:r>
            <w:r w:rsidRPr="000B28B0">
              <w:rPr>
                <w:rFonts w:cs="Arial"/>
                <w:sz w:val="22"/>
                <w:szCs w:val="22"/>
              </w:rPr>
              <w:t xml:space="preserve">esk </w:t>
            </w:r>
            <w:r w:rsidR="00394377">
              <w:rPr>
                <w:rFonts w:cs="Arial"/>
                <w:sz w:val="22"/>
                <w:szCs w:val="22"/>
              </w:rPr>
              <w:t>t</w:t>
            </w:r>
            <w:r w:rsidRPr="000B28B0">
              <w:rPr>
                <w:rFonts w:cs="Arial"/>
                <w:sz w:val="22"/>
                <w:szCs w:val="22"/>
              </w:rPr>
              <w:t>elephone number shall be via a single, published number which is either free or standard rate charged to landlines.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18</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shall publish an appropriate </w:t>
            </w:r>
            <w:r w:rsidR="00394377">
              <w:rPr>
                <w:rFonts w:cs="Arial"/>
                <w:sz w:val="22"/>
                <w:szCs w:val="22"/>
              </w:rPr>
              <w:t>e</w:t>
            </w:r>
            <w:r w:rsidRPr="000B28B0">
              <w:rPr>
                <w:rFonts w:cs="Arial"/>
                <w:sz w:val="22"/>
                <w:szCs w:val="22"/>
              </w:rPr>
              <w:t>scalation process.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19</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 shall publish an appropriate </w:t>
            </w:r>
            <w:r w:rsidR="00394377">
              <w:rPr>
                <w:rFonts w:cs="Arial"/>
                <w:sz w:val="22"/>
                <w:szCs w:val="22"/>
              </w:rPr>
              <w:t>c</w:t>
            </w:r>
            <w:r w:rsidRPr="000B28B0">
              <w:rPr>
                <w:rFonts w:cs="Arial"/>
                <w:sz w:val="22"/>
                <w:szCs w:val="22"/>
              </w:rPr>
              <w:t>omplaints process.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20</w:t>
            </w:r>
          </w:p>
        </w:tc>
        <w:tc>
          <w:tcPr>
            <w:tcW w:w="7688" w:type="dxa"/>
          </w:tcPr>
          <w:p w:rsidR="003B1E03" w:rsidRPr="000B28B0" w:rsidRDefault="003B1E03" w:rsidP="00394377">
            <w:pPr>
              <w:pStyle w:val="TableText"/>
              <w:ind w:left="209"/>
              <w:rPr>
                <w:rFonts w:cs="Arial"/>
                <w:sz w:val="22"/>
                <w:szCs w:val="22"/>
              </w:rPr>
            </w:pPr>
            <w:r w:rsidRPr="000B28B0">
              <w:rPr>
                <w:rFonts w:cs="Arial"/>
                <w:sz w:val="22"/>
                <w:szCs w:val="22"/>
              </w:rPr>
              <w:t xml:space="preserve">The Supplier’s Service </w:t>
            </w:r>
            <w:r w:rsidR="00394377">
              <w:rPr>
                <w:rFonts w:cs="Arial"/>
                <w:sz w:val="22"/>
                <w:szCs w:val="22"/>
              </w:rPr>
              <w:t>d</w:t>
            </w:r>
            <w:r w:rsidRPr="000B28B0">
              <w:rPr>
                <w:rFonts w:cs="Arial"/>
                <w:sz w:val="22"/>
                <w:szCs w:val="22"/>
              </w:rPr>
              <w:t xml:space="preserve">esk shall at all times reasonably co-operate with the </w:t>
            </w:r>
            <w:r w:rsidR="001A0B07">
              <w:rPr>
                <w:rFonts w:cs="Arial"/>
                <w:sz w:val="22"/>
                <w:szCs w:val="22"/>
              </w:rPr>
              <w:t>Contracting Body</w:t>
            </w:r>
            <w:r w:rsidRPr="000B28B0">
              <w:rPr>
                <w:rFonts w:cs="Arial"/>
                <w:sz w:val="22"/>
                <w:szCs w:val="22"/>
              </w:rPr>
              <w:t xml:space="preserve">’s </w:t>
            </w:r>
            <w:r w:rsidR="00394377">
              <w:rPr>
                <w:rFonts w:cs="Arial"/>
                <w:sz w:val="22"/>
                <w:szCs w:val="22"/>
              </w:rPr>
              <w:t>d</w:t>
            </w:r>
            <w:r w:rsidRPr="000B28B0">
              <w:rPr>
                <w:rFonts w:cs="Arial"/>
                <w:sz w:val="22"/>
                <w:szCs w:val="22"/>
              </w:rPr>
              <w:t xml:space="preserve">esks and the </w:t>
            </w:r>
            <w:r w:rsidR="001A0B07">
              <w:rPr>
                <w:rFonts w:cs="Arial"/>
                <w:sz w:val="22"/>
                <w:szCs w:val="22"/>
              </w:rPr>
              <w:t>Contracting Body</w:t>
            </w:r>
            <w:r w:rsidRPr="000B28B0">
              <w:rPr>
                <w:rFonts w:cs="Arial"/>
                <w:sz w:val="22"/>
                <w:szCs w:val="22"/>
              </w:rPr>
              <w:t xml:space="preserve"> in the investigation and resolution of Incidents associated with the Services and with services provided by related service providers.</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lastRenderedPageBreak/>
              <w:t>21</w:t>
            </w:r>
          </w:p>
        </w:tc>
        <w:tc>
          <w:tcPr>
            <w:tcW w:w="7688" w:type="dxa"/>
          </w:tcPr>
          <w:p w:rsidR="003B1E03" w:rsidRPr="000B28B0" w:rsidRDefault="003B1E03" w:rsidP="003B1E03">
            <w:pPr>
              <w:pStyle w:val="TableText"/>
              <w:numPr>
                <w:ilvl w:val="0"/>
                <w:numId w:val="493"/>
              </w:numPr>
              <w:rPr>
                <w:rFonts w:cs="Arial"/>
                <w:sz w:val="22"/>
                <w:szCs w:val="22"/>
              </w:rPr>
            </w:pPr>
            <w:r w:rsidRPr="000B28B0">
              <w:rPr>
                <w:rFonts w:cs="Arial"/>
                <w:sz w:val="22"/>
                <w:szCs w:val="22"/>
              </w:rPr>
              <w:t xml:space="preserve">The Supplier shall provide a mechanism for communicating the current status of the Services out to the user community. The Supplier may use a self-service model; however, a ‘push’ mechanism would be desirable. The use of social media is an acceptable mechanism. </w:t>
            </w:r>
          </w:p>
          <w:p w:rsidR="003B1E03" w:rsidRPr="000B28B0" w:rsidRDefault="003B1E03" w:rsidP="00394377">
            <w:pPr>
              <w:pStyle w:val="TableText"/>
              <w:ind w:left="209"/>
              <w:rPr>
                <w:rFonts w:cs="Arial"/>
                <w:sz w:val="22"/>
                <w:szCs w:val="22"/>
              </w:rPr>
            </w:pPr>
            <w:r w:rsidRPr="000B28B0">
              <w:rPr>
                <w:rFonts w:cs="Arial"/>
                <w:sz w:val="22"/>
                <w:szCs w:val="22"/>
              </w:rPr>
              <w:t xml:space="preserve">In the case of severity 1 and severity 2 </w:t>
            </w:r>
            <w:r w:rsidR="00394377">
              <w:rPr>
                <w:rFonts w:cs="Arial"/>
                <w:sz w:val="22"/>
                <w:szCs w:val="22"/>
              </w:rPr>
              <w:t>i</w:t>
            </w:r>
            <w:r w:rsidRPr="000B28B0">
              <w:rPr>
                <w:rFonts w:cs="Arial"/>
                <w:sz w:val="22"/>
                <w:szCs w:val="22"/>
              </w:rPr>
              <w:t xml:space="preserve">ncidents (or equivalent for the two highest impact/urgency incident categories), the Supplier shall provide updates on the status of the </w:t>
            </w:r>
            <w:r w:rsidR="00394377">
              <w:rPr>
                <w:rFonts w:cs="Arial"/>
                <w:sz w:val="22"/>
                <w:szCs w:val="22"/>
              </w:rPr>
              <w:t>i</w:t>
            </w:r>
            <w:r w:rsidRPr="000B28B0">
              <w:rPr>
                <w:rFonts w:cs="Arial"/>
                <w:sz w:val="22"/>
                <w:szCs w:val="22"/>
              </w:rPr>
              <w:t xml:space="preserve">ncident at intervals of no greater than 30 minutes for </w:t>
            </w:r>
            <w:r w:rsidR="00394377">
              <w:rPr>
                <w:rFonts w:cs="Arial"/>
                <w:sz w:val="22"/>
                <w:szCs w:val="22"/>
              </w:rPr>
              <w:t>s</w:t>
            </w:r>
            <w:r w:rsidRPr="000B28B0">
              <w:rPr>
                <w:rFonts w:cs="Arial"/>
                <w:sz w:val="22"/>
                <w:szCs w:val="22"/>
              </w:rPr>
              <w:t xml:space="preserve">everity 1 (or equivalent) and 60 minutes for severity 2 (or equivalent), or as otherwise requested by the </w:t>
            </w:r>
            <w:r w:rsidR="001A0B07">
              <w:rPr>
                <w:rFonts w:cs="Arial"/>
                <w:sz w:val="22"/>
                <w:szCs w:val="22"/>
              </w:rPr>
              <w:t>Contracting Body</w:t>
            </w:r>
            <w:r w:rsidRPr="000B28B0">
              <w:rPr>
                <w:rFonts w:cs="Arial"/>
                <w:sz w:val="22"/>
                <w:szCs w:val="22"/>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0B28B0" w:rsidRDefault="003B1E03" w:rsidP="00EA39CE">
            <w:pPr>
              <w:pStyle w:val="TableText"/>
              <w:rPr>
                <w:rFonts w:cs="Arial"/>
                <w:sz w:val="22"/>
                <w:szCs w:val="22"/>
              </w:rPr>
            </w:pPr>
            <w:r w:rsidRPr="000B28B0">
              <w:rPr>
                <w:rFonts w:cs="Arial"/>
                <w:sz w:val="22"/>
                <w:szCs w:val="22"/>
              </w:rPr>
              <w:t>22</w:t>
            </w:r>
          </w:p>
        </w:tc>
        <w:tc>
          <w:tcPr>
            <w:tcW w:w="7688" w:type="dxa"/>
          </w:tcPr>
          <w:p w:rsidR="004A3D4C" w:rsidRDefault="003A0549">
            <w:pPr>
              <w:pStyle w:val="MarginText"/>
              <w:spacing w:before="60" w:after="60"/>
              <w:rPr>
                <w:rFonts w:cs="Arial"/>
                <w:szCs w:val="22"/>
              </w:rPr>
            </w:pPr>
            <w:r w:rsidRPr="00AC6BC4">
              <w:rPr>
                <w:rFonts w:cs="Arial"/>
              </w:rPr>
              <w:t>The Supplier</w:t>
            </w:r>
            <w:r>
              <w:rPr>
                <w:rFonts w:cs="Arial"/>
              </w:rPr>
              <w:t>’s</w:t>
            </w:r>
            <w:r w:rsidRPr="00AC6BC4">
              <w:rPr>
                <w:rFonts w:cs="Arial"/>
              </w:rPr>
              <w:t xml:space="preserve"> Service Desk shall be available during </w:t>
            </w:r>
            <w:r>
              <w:rPr>
                <w:rFonts w:cs="Arial"/>
              </w:rPr>
              <w:t>the Service Hours (as defined in the relevant Service Package or specified by the customer during further competition).</w:t>
            </w:r>
          </w:p>
        </w:tc>
        <w:tc>
          <w:tcPr>
            <w:tcW w:w="283" w:type="dxa"/>
          </w:tcPr>
          <w:p w:rsidR="003B1E03" w:rsidRPr="000B28B0" w:rsidRDefault="003B1E03" w:rsidP="00EA39CE">
            <w:pPr>
              <w:pStyle w:val="TableText"/>
              <w:jc w:val="center"/>
              <w:rPr>
                <w:rFonts w:cs="Arial"/>
                <w:sz w:val="22"/>
                <w:szCs w:val="22"/>
              </w:rPr>
            </w:pPr>
          </w:p>
        </w:tc>
      </w:tr>
      <w:tr w:rsidR="00327B9A" w:rsidRPr="000B28B0" w:rsidTr="00EA39CE">
        <w:tc>
          <w:tcPr>
            <w:tcW w:w="8505" w:type="dxa"/>
            <w:gridSpan w:val="3"/>
          </w:tcPr>
          <w:p w:rsidR="000B28B0" w:rsidRPr="000B28B0" w:rsidRDefault="000B28B0" w:rsidP="000B28B0">
            <w:pPr>
              <w:pStyle w:val="GPSL2Numbered"/>
              <w:numPr>
                <w:ilvl w:val="0"/>
                <w:numId w:val="0"/>
              </w:numPr>
              <w:ind w:left="119"/>
            </w:pPr>
            <w:r w:rsidRPr="000B28B0">
              <w:t>[</w:t>
            </w:r>
            <w:r w:rsidRPr="000B28B0">
              <w:rPr>
                <w:b/>
                <w:highlight w:val="green"/>
              </w:rPr>
              <w:t>Guidance Note: Amend to reflect Non Essential Requirements Suppliers agree to comply with within the Award Questionnaire</w:t>
            </w:r>
            <w:r w:rsidRPr="000B28B0">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27B9A" w:rsidRPr="000B28B0" w:rsidRDefault="00D66B99" w:rsidP="00D66B99">
            <w:pPr>
              <w:pStyle w:val="TableText"/>
              <w:rPr>
                <w:rFonts w:cs="Arial"/>
                <w:b/>
                <w:sz w:val="22"/>
                <w:szCs w:val="22"/>
              </w:rPr>
            </w:pPr>
            <w:r>
              <w:rPr>
                <w:b/>
              </w:rPr>
              <w:t>Non-Essential Requirements the Supplier responded to this element of the Tender, therefore the supplier is able to provide Non- Essential elements detailed below.</w:t>
            </w:r>
          </w:p>
        </w:tc>
      </w:tr>
      <w:tr w:rsidR="003B1E03" w:rsidRPr="000B28B0" w:rsidTr="00EA39CE">
        <w:tc>
          <w:tcPr>
            <w:tcW w:w="534" w:type="dxa"/>
          </w:tcPr>
          <w:p w:rsidR="003B1E03" w:rsidRPr="00197AEC" w:rsidRDefault="00225C7E" w:rsidP="00EA39CE">
            <w:pPr>
              <w:pStyle w:val="TableText"/>
              <w:rPr>
                <w:rFonts w:cs="Arial"/>
                <w:sz w:val="22"/>
                <w:szCs w:val="22"/>
                <w:highlight w:val="yellow"/>
              </w:rPr>
            </w:pPr>
            <w:r w:rsidRPr="00225C7E">
              <w:rPr>
                <w:rFonts w:cs="Arial"/>
                <w:sz w:val="22"/>
                <w:szCs w:val="22"/>
                <w:highlight w:val="yellow"/>
              </w:rPr>
              <w:t>[23</w:t>
            </w:r>
          </w:p>
        </w:tc>
        <w:tc>
          <w:tcPr>
            <w:tcW w:w="7688" w:type="dxa"/>
          </w:tcPr>
          <w:p w:rsidR="003B1E03" w:rsidRPr="00197AEC" w:rsidRDefault="00225C7E" w:rsidP="00394377">
            <w:pPr>
              <w:pStyle w:val="TableText"/>
              <w:ind w:left="209"/>
              <w:rPr>
                <w:rFonts w:cs="Arial"/>
                <w:sz w:val="22"/>
                <w:szCs w:val="22"/>
                <w:highlight w:val="yellow"/>
              </w:rPr>
            </w:pPr>
            <w:r w:rsidRPr="00225C7E">
              <w:rPr>
                <w:rFonts w:cs="Arial"/>
                <w:sz w:val="22"/>
                <w:szCs w:val="22"/>
                <w:highlight w:val="yellow"/>
              </w:rPr>
              <w:t>The Supplier shall provide a feed of live service monitoring to the Contracting Body’s Service management function.</w:t>
            </w:r>
            <w:r w:rsidR="003370B7">
              <w:rPr>
                <w:rFonts w:cs="Arial"/>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24</w:t>
            </w:r>
          </w:p>
        </w:tc>
        <w:tc>
          <w:tcPr>
            <w:tcW w:w="7688" w:type="dxa"/>
          </w:tcPr>
          <w:p w:rsidR="003B1E03" w:rsidRPr="00197AEC" w:rsidDel="003B1E03" w:rsidRDefault="00225C7E" w:rsidP="00394377">
            <w:pPr>
              <w:pStyle w:val="TableText"/>
              <w:ind w:left="209"/>
              <w:rPr>
                <w:rFonts w:cs="Arial"/>
                <w:sz w:val="22"/>
                <w:szCs w:val="22"/>
                <w:highlight w:val="yellow"/>
              </w:rPr>
            </w:pPr>
            <w:r w:rsidRPr="00225C7E">
              <w:rPr>
                <w:sz w:val="22"/>
                <w:szCs w:val="22"/>
                <w:highlight w:val="yellow"/>
              </w:rPr>
              <w:t>The Supplier should allow authorised users access to their incident management tool to review the status and progress of their incidents and Service requests. This may be via a self-service web portal or similar.</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25</w:t>
            </w:r>
          </w:p>
        </w:tc>
        <w:tc>
          <w:tcPr>
            <w:tcW w:w="7688" w:type="dxa"/>
          </w:tcPr>
          <w:p w:rsidR="003B1E03" w:rsidRPr="00197AEC" w:rsidDel="003B1E03" w:rsidRDefault="00225C7E" w:rsidP="00394377">
            <w:pPr>
              <w:pStyle w:val="TableText"/>
              <w:ind w:left="209"/>
              <w:rPr>
                <w:rFonts w:cs="Arial"/>
                <w:sz w:val="22"/>
                <w:szCs w:val="22"/>
                <w:highlight w:val="yellow"/>
              </w:rPr>
            </w:pPr>
            <w:r w:rsidRPr="00225C7E">
              <w:rPr>
                <w:sz w:val="22"/>
                <w:szCs w:val="22"/>
                <w:highlight w:val="yellow"/>
              </w:rPr>
              <w:t>Upon identification that the activity required to resolve the problem resides outside of the Supplier’s boundary of responsibility the Supplier shall immediately refer the problem to the appropriate party where one exists. The Supplier shall retain an open problem record until the accepting party confirms resolution of the problem. Any dispute between the parties shall be referred to the Contracting Body by the Supplier.</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26</w:t>
            </w:r>
          </w:p>
        </w:tc>
        <w:tc>
          <w:tcPr>
            <w:tcW w:w="7688" w:type="dxa"/>
          </w:tcPr>
          <w:p w:rsidR="003B1E03" w:rsidRPr="00197AEC" w:rsidDel="003B1E03" w:rsidRDefault="00225C7E" w:rsidP="00394377">
            <w:pPr>
              <w:pStyle w:val="TableText"/>
              <w:ind w:left="209"/>
              <w:rPr>
                <w:rFonts w:cs="Arial"/>
                <w:sz w:val="22"/>
                <w:szCs w:val="22"/>
                <w:highlight w:val="yellow"/>
              </w:rPr>
            </w:pPr>
            <w:r w:rsidRPr="00225C7E">
              <w:rPr>
                <w:sz w:val="22"/>
                <w:szCs w:val="22"/>
                <w:highlight w:val="yellow"/>
              </w:rPr>
              <w:t>The Supplier should make available a copy of its problem tracker on a regular basis to reflect updates to the status of problems</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27</w:t>
            </w:r>
          </w:p>
        </w:tc>
        <w:tc>
          <w:tcPr>
            <w:tcW w:w="7688" w:type="dxa"/>
          </w:tcPr>
          <w:p w:rsidR="003B1E03" w:rsidRPr="00197AEC" w:rsidDel="003B1E03" w:rsidRDefault="00225C7E" w:rsidP="00394377">
            <w:pPr>
              <w:pStyle w:val="TableText"/>
              <w:ind w:left="209"/>
              <w:rPr>
                <w:rFonts w:cs="Arial"/>
                <w:sz w:val="22"/>
                <w:szCs w:val="22"/>
                <w:highlight w:val="yellow"/>
              </w:rPr>
            </w:pPr>
            <w:r w:rsidRPr="00225C7E">
              <w:rPr>
                <w:sz w:val="22"/>
                <w:szCs w:val="22"/>
                <w:highlight w:val="yellow"/>
              </w:rPr>
              <w:t>When planning a release, the Supplier should ensure that the timing of the release is notified to the Contracting Body’s Service management team, with the opportunity to provide feedback and objection, at least 3 months before the planned release date.</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28</w:t>
            </w:r>
          </w:p>
        </w:tc>
        <w:tc>
          <w:tcPr>
            <w:tcW w:w="7688" w:type="dxa"/>
          </w:tcPr>
          <w:p w:rsidR="003B1E03" w:rsidRPr="00197AEC" w:rsidDel="003B1E03" w:rsidRDefault="00225C7E" w:rsidP="00A94DE0">
            <w:pPr>
              <w:pStyle w:val="TableText"/>
              <w:ind w:left="209"/>
              <w:rPr>
                <w:rFonts w:cs="Arial"/>
                <w:sz w:val="22"/>
                <w:szCs w:val="22"/>
                <w:highlight w:val="yellow"/>
              </w:rPr>
            </w:pPr>
            <w:r w:rsidRPr="00225C7E">
              <w:rPr>
                <w:sz w:val="22"/>
                <w:szCs w:val="22"/>
                <w:highlight w:val="yellow"/>
              </w:rPr>
              <w:t>It is the responsibility of the Supplier to ensure sufficient capacity to meet the future needs of public sector organisations. All information utilised in the management of capacity should be made available for review by the Contracting Body.</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29</w:t>
            </w:r>
          </w:p>
        </w:tc>
        <w:tc>
          <w:tcPr>
            <w:tcW w:w="7688" w:type="dxa"/>
          </w:tcPr>
          <w:p w:rsidR="003B1E03" w:rsidRPr="00197AEC" w:rsidDel="003B1E03" w:rsidRDefault="00225C7E" w:rsidP="00A94DE0">
            <w:pPr>
              <w:pStyle w:val="TableText"/>
              <w:spacing w:before="60" w:after="60"/>
              <w:ind w:left="209"/>
              <w:textboxTightWrap w:val="none"/>
              <w:rPr>
                <w:rFonts w:cs="Arial"/>
                <w:sz w:val="22"/>
                <w:szCs w:val="22"/>
                <w:highlight w:val="yellow"/>
              </w:rPr>
            </w:pPr>
            <w:r w:rsidRPr="00225C7E">
              <w:rPr>
                <w:sz w:val="22"/>
                <w:szCs w:val="22"/>
                <w:highlight w:val="yellow"/>
              </w:rPr>
              <w:t>The Supplier shall host a regular service review to review the previous period’s service performance and agree performance against Service Level Agreements.</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30</w:t>
            </w:r>
          </w:p>
        </w:tc>
        <w:tc>
          <w:tcPr>
            <w:tcW w:w="7688" w:type="dxa"/>
          </w:tcPr>
          <w:p w:rsidR="003B1E03" w:rsidRPr="00197AEC" w:rsidDel="003B1E03" w:rsidRDefault="00225C7E" w:rsidP="00A94DE0">
            <w:pPr>
              <w:pStyle w:val="TableText"/>
              <w:ind w:left="209"/>
              <w:rPr>
                <w:rFonts w:cs="Arial"/>
                <w:sz w:val="22"/>
                <w:szCs w:val="22"/>
                <w:highlight w:val="yellow"/>
              </w:rPr>
            </w:pPr>
            <w:r w:rsidRPr="00225C7E">
              <w:rPr>
                <w:sz w:val="22"/>
                <w:szCs w:val="22"/>
                <w:highlight w:val="yellow"/>
              </w:rPr>
              <w:t>The Supplier shall comply with the provisions of ISO/IEC 22313 – Societal security -- Business continuity management systems.</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lastRenderedPageBreak/>
              <w:t>[</w:t>
            </w:r>
            <w:r w:rsidR="00225C7E" w:rsidRPr="00225C7E">
              <w:rPr>
                <w:rFonts w:cs="Arial"/>
                <w:sz w:val="22"/>
                <w:szCs w:val="22"/>
                <w:highlight w:val="yellow"/>
              </w:rPr>
              <w:t>31</w:t>
            </w:r>
          </w:p>
        </w:tc>
        <w:tc>
          <w:tcPr>
            <w:tcW w:w="7688" w:type="dxa"/>
          </w:tcPr>
          <w:p w:rsidR="003B1E03" w:rsidRPr="00197AEC" w:rsidDel="003B1E03" w:rsidRDefault="00225C7E" w:rsidP="00A94DE0">
            <w:pPr>
              <w:pStyle w:val="TableText"/>
              <w:ind w:left="209"/>
              <w:rPr>
                <w:rFonts w:cs="Arial"/>
                <w:sz w:val="22"/>
                <w:szCs w:val="22"/>
                <w:highlight w:val="yellow"/>
              </w:rPr>
            </w:pPr>
            <w:r w:rsidRPr="00225C7E">
              <w:rPr>
                <w:sz w:val="22"/>
                <w:szCs w:val="22"/>
                <w:highlight w:val="yellow"/>
              </w:rPr>
              <w:t>The Supplier shall prove their Business Continuity/Disaster Recovery solutions with an annual test which will be independently witnessed and assured with the output report being made available to the Contracting Body.</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32</w:t>
            </w:r>
          </w:p>
        </w:tc>
        <w:tc>
          <w:tcPr>
            <w:tcW w:w="7688" w:type="dxa"/>
          </w:tcPr>
          <w:p w:rsidR="003B1E03" w:rsidRPr="00197AEC" w:rsidDel="003B1E03" w:rsidRDefault="00225C7E" w:rsidP="00A94DE0">
            <w:pPr>
              <w:pStyle w:val="TableText"/>
              <w:ind w:left="209"/>
              <w:rPr>
                <w:rFonts w:cs="Arial"/>
                <w:sz w:val="22"/>
                <w:szCs w:val="22"/>
                <w:highlight w:val="yellow"/>
              </w:rPr>
            </w:pPr>
            <w:r w:rsidRPr="00225C7E">
              <w:rPr>
                <w:sz w:val="22"/>
                <w:szCs w:val="22"/>
                <w:highlight w:val="yellow"/>
              </w:rPr>
              <w:t>The Supplier shall demonstrate that continuous improvements are made to the service delivered based on both proactive activities and user feedback.</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33</w:t>
            </w:r>
          </w:p>
        </w:tc>
        <w:tc>
          <w:tcPr>
            <w:tcW w:w="7688" w:type="dxa"/>
          </w:tcPr>
          <w:p w:rsidR="003B1E03" w:rsidRPr="00197AEC" w:rsidDel="003B1E03" w:rsidRDefault="00225C7E" w:rsidP="00394377">
            <w:pPr>
              <w:pStyle w:val="TableText"/>
              <w:ind w:left="209"/>
              <w:rPr>
                <w:rFonts w:cs="Arial"/>
                <w:sz w:val="22"/>
                <w:szCs w:val="22"/>
                <w:highlight w:val="yellow"/>
              </w:rPr>
            </w:pPr>
            <w:r w:rsidRPr="00225C7E">
              <w:rPr>
                <w:sz w:val="22"/>
                <w:szCs w:val="22"/>
                <w:highlight w:val="yellow"/>
              </w:rPr>
              <w:t>Upon identification that the activity required to resolve the incident or Service request resides with another service provider, the Supplier shall immediately log an Incident or Service request with the appropriate service provider. The Supplier shall retain an open incident record until the accepting party confirms acceptance of the incident. Any dispute between the parties shall be referred to the Contracting Body.</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r w:rsidR="003B1E03" w:rsidRPr="000B28B0" w:rsidTr="00EA39CE">
        <w:tc>
          <w:tcPr>
            <w:tcW w:w="534"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34</w:t>
            </w:r>
          </w:p>
        </w:tc>
        <w:tc>
          <w:tcPr>
            <w:tcW w:w="7688" w:type="dxa"/>
          </w:tcPr>
          <w:p w:rsidR="003B1E03" w:rsidRPr="00197AEC" w:rsidDel="003B1E03" w:rsidRDefault="00225C7E" w:rsidP="00A94DE0">
            <w:pPr>
              <w:pStyle w:val="TableText"/>
              <w:ind w:left="209"/>
              <w:rPr>
                <w:rFonts w:cs="Arial"/>
                <w:sz w:val="22"/>
                <w:szCs w:val="22"/>
                <w:highlight w:val="yellow"/>
              </w:rPr>
            </w:pPr>
            <w:r w:rsidRPr="00225C7E">
              <w:rPr>
                <w:sz w:val="22"/>
                <w:szCs w:val="22"/>
                <w:highlight w:val="yellow"/>
              </w:rPr>
              <w:t>The Supplier’s Service Desk shall provide the originator of the incident or Service request with regular communications on the status and progress of the incident or Service request.]</w:t>
            </w:r>
            <w:r w:rsidR="003370B7">
              <w:rPr>
                <w:sz w:val="22"/>
                <w:szCs w:val="22"/>
                <w:highlight w:val="yellow"/>
              </w:rPr>
              <w:t>]</w:t>
            </w:r>
          </w:p>
        </w:tc>
        <w:tc>
          <w:tcPr>
            <w:tcW w:w="283" w:type="dxa"/>
          </w:tcPr>
          <w:p w:rsidR="003B1E03" w:rsidRPr="000B28B0" w:rsidRDefault="003B1E03" w:rsidP="00EA39CE">
            <w:pPr>
              <w:pStyle w:val="TableText"/>
              <w:jc w:val="center"/>
              <w:rPr>
                <w:rFonts w:cs="Arial"/>
                <w:sz w:val="22"/>
                <w:szCs w:val="22"/>
              </w:rPr>
            </w:pPr>
          </w:p>
        </w:tc>
      </w:tr>
    </w:tbl>
    <w:p w:rsidR="00327B9A" w:rsidRPr="00AF4BF6" w:rsidRDefault="00327B9A" w:rsidP="00327B9A">
      <w:pPr>
        <w:pStyle w:val="GPSL3numberedclause"/>
        <w:numPr>
          <w:ilvl w:val="2"/>
          <w:numId w:val="323"/>
        </w:numPr>
      </w:pPr>
      <w:r w:rsidRPr="00AF4BF6">
        <w:t>Customer Service: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290"/>
        <w:gridCol w:w="1703"/>
      </w:tblGrid>
      <w:tr w:rsidR="00327B9A" w:rsidRPr="000B28B0" w:rsidTr="003B1E03">
        <w:tc>
          <w:tcPr>
            <w:tcW w:w="512" w:type="dxa"/>
            <w:shd w:val="pct12" w:color="auto" w:fill="auto"/>
          </w:tcPr>
          <w:p w:rsidR="00327B9A" w:rsidRPr="000B28B0" w:rsidRDefault="00327B9A" w:rsidP="00EA39CE">
            <w:pPr>
              <w:pStyle w:val="TableHeader"/>
              <w:rPr>
                <w:sz w:val="22"/>
                <w:szCs w:val="22"/>
                <w:lang w:val="en-GB"/>
              </w:rPr>
            </w:pPr>
            <w:r w:rsidRPr="000B28B0">
              <w:rPr>
                <w:sz w:val="22"/>
                <w:szCs w:val="22"/>
                <w:lang w:val="en-GB"/>
              </w:rPr>
              <w:t>#</w:t>
            </w:r>
          </w:p>
        </w:tc>
        <w:tc>
          <w:tcPr>
            <w:tcW w:w="6290" w:type="dxa"/>
            <w:shd w:val="pct12" w:color="auto" w:fill="auto"/>
          </w:tcPr>
          <w:p w:rsidR="00327B9A" w:rsidRPr="000B28B0" w:rsidRDefault="00327B9A" w:rsidP="00EA39CE">
            <w:pPr>
              <w:pStyle w:val="TableHeader"/>
              <w:rPr>
                <w:sz w:val="22"/>
                <w:szCs w:val="22"/>
                <w:lang w:val="en-GB"/>
              </w:rPr>
            </w:pPr>
            <w:r w:rsidRPr="000B28B0">
              <w:rPr>
                <w:sz w:val="22"/>
                <w:szCs w:val="22"/>
                <w:lang w:val="en-GB"/>
              </w:rPr>
              <w:t>Requirement</w:t>
            </w:r>
          </w:p>
        </w:tc>
        <w:tc>
          <w:tcPr>
            <w:tcW w:w="1703" w:type="dxa"/>
            <w:shd w:val="pct12" w:color="auto" w:fill="auto"/>
          </w:tcPr>
          <w:p w:rsidR="00327B9A" w:rsidRPr="000B28B0" w:rsidRDefault="00327B9A" w:rsidP="00EA39CE">
            <w:pPr>
              <w:pStyle w:val="TableHeader"/>
              <w:ind w:right="-5"/>
              <w:jc w:val="center"/>
              <w:rPr>
                <w:sz w:val="22"/>
                <w:szCs w:val="22"/>
                <w:lang w:val="en-GB"/>
              </w:rPr>
            </w:pPr>
          </w:p>
        </w:tc>
      </w:tr>
      <w:tr w:rsidR="003B1E03" w:rsidRPr="000B28B0" w:rsidTr="003B1E03">
        <w:tc>
          <w:tcPr>
            <w:tcW w:w="512" w:type="dxa"/>
          </w:tcPr>
          <w:p w:rsidR="003B1E03" w:rsidRPr="000B28B0" w:rsidRDefault="003B1E03" w:rsidP="00EA39CE">
            <w:pPr>
              <w:pStyle w:val="TableText"/>
              <w:rPr>
                <w:rFonts w:cs="Arial"/>
                <w:sz w:val="22"/>
                <w:szCs w:val="22"/>
              </w:rPr>
            </w:pPr>
            <w:r w:rsidRPr="000B28B0">
              <w:rPr>
                <w:rFonts w:cs="Arial"/>
                <w:sz w:val="22"/>
                <w:szCs w:val="22"/>
              </w:rPr>
              <w:t>1</w:t>
            </w:r>
          </w:p>
        </w:tc>
        <w:tc>
          <w:tcPr>
            <w:tcW w:w="6290" w:type="dxa"/>
          </w:tcPr>
          <w:p w:rsidR="003B1E03" w:rsidRPr="000B28B0" w:rsidRDefault="003B1E03" w:rsidP="000B28B0">
            <w:pPr>
              <w:pStyle w:val="TableText"/>
              <w:ind w:left="221"/>
              <w:rPr>
                <w:rFonts w:cs="Arial"/>
                <w:sz w:val="22"/>
                <w:szCs w:val="22"/>
              </w:rPr>
            </w:pPr>
            <w:r w:rsidRPr="000B28B0">
              <w:rPr>
                <w:rFonts w:cs="Arial"/>
                <w:sz w:val="22"/>
                <w:szCs w:val="22"/>
              </w:rPr>
              <w:t>The Supplier shall provide appropriate training for the users on all aspects of the Services.</w:t>
            </w:r>
          </w:p>
        </w:tc>
        <w:tc>
          <w:tcPr>
            <w:tcW w:w="1703" w:type="dxa"/>
            <w:shd w:val="clear" w:color="auto" w:fill="auto"/>
          </w:tcPr>
          <w:p w:rsidR="003B1E03" w:rsidRPr="000B28B0" w:rsidRDefault="003B1E03" w:rsidP="00EA39CE">
            <w:pPr>
              <w:pStyle w:val="TableText"/>
              <w:ind w:right="-377"/>
              <w:jc w:val="center"/>
              <w:rPr>
                <w:rFonts w:cs="Arial"/>
                <w:sz w:val="22"/>
                <w:szCs w:val="22"/>
              </w:rPr>
            </w:pPr>
          </w:p>
        </w:tc>
      </w:tr>
      <w:tr w:rsidR="003B1E03" w:rsidRPr="000B28B0" w:rsidTr="003B1E03">
        <w:tc>
          <w:tcPr>
            <w:tcW w:w="512" w:type="dxa"/>
          </w:tcPr>
          <w:p w:rsidR="003B1E03" w:rsidRPr="000B28B0" w:rsidRDefault="003B1E03" w:rsidP="00EA39CE">
            <w:pPr>
              <w:pStyle w:val="TableText"/>
              <w:rPr>
                <w:rFonts w:cs="Arial"/>
                <w:sz w:val="22"/>
                <w:szCs w:val="22"/>
              </w:rPr>
            </w:pPr>
            <w:r w:rsidRPr="000B28B0">
              <w:rPr>
                <w:rFonts w:cs="Arial"/>
                <w:sz w:val="22"/>
                <w:szCs w:val="22"/>
              </w:rPr>
              <w:t>2</w:t>
            </w:r>
          </w:p>
        </w:tc>
        <w:tc>
          <w:tcPr>
            <w:tcW w:w="6290" w:type="dxa"/>
          </w:tcPr>
          <w:p w:rsidR="003B1E03" w:rsidRPr="000B28B0" w:rsidRDefault="003B1E03" w:rsidP="000B28B0">
            <w:pPr>
              <w:pStyle w:val="TableText"/>
              <w:ind w:left="221"/>
              <w:rPr>
                <w:rFonts w:cs="Arial"/>
                <w:sz w:val="22"/>
                <w:szCs w:val="22"/>
              </w:rPr>
            </w:pPr>
            <w:r w:rsidRPr="000B28B0">
              <w:rPr>
                <w:rFonts w:cs="Arial"/>
                <w:sz w:val="22"/>
                <w:szCs w:val="22"/>
              </w:rPr>
              <w:t>The Supplier shall support purchasing of services from any Contracting Body. This must include individual billing for services at a granular level with sufficient detail to undertake necessary validation of billed items.</w:t>
            </w:r>
          </w:p>
        </w:tc>
        <w:tc>
          <w:tcPr>
            <w:tcW w:w="1703" w:type="dxa"/>
            <w:shd w:val="clear" w:color="auto" w:fill="auto"/>
          </w:tcPr>
          <w:p w:rsidR="003B1E03" w:rsidRPr="000B28B0" w:rsidRDefault="003B1E03" w:rsidP="00EA39CE">
            <w:pPr>
              <w:pStyle w:val="TableText"/>
              <w:jc w:val="center"/>
              <w:rPr>
                <w:rFonts w:cs="Arial"/>
                <w:sz w:val="22"/>
                <w:szCs w:val="22"/>
              </w:rPr>
            </w:pPr>
          </w:p>
        </w:tc>
      </w:tr>
      <w:tr w:rsidR="00327B9A" w:rsidRPr="000B28B0" w:rsidTr="003B1E03">
        <w:tc>
          <w:tcPr>
            <w:tcW w:w="6802" w:type="dxa"/>
            <w:gridSpan w:val="2"/>
          </w:tcPr>
          <w:p w:rsidR="000B28B0" w:rsidRPr="000B28B0" w:rsidRDefault="000B28B0" w:rsidP="000B28B0">
            <w:pPr>
              <w:pStyle w:val="GPSL2Numbered"/>
              <w:numPr>
                <w:ilvl w:val="0"/>
                <w:numId w:val="0"/>
              </w:numPr>
              <w:ind w:left="221"/>
            </w:pPr>
            <w:r w:rsidRPr="000B28B0">
              <w:t>[</w:t>
            </w:r>
            <w:r w:rsidRPr="000B28B0">
              <w:rPr>
                <w:b/>
                <w:highlight w:val="green"/>
              </w:rPr>
              <w:t>Guidance Note: Amend to reflect Non Essential Requirements Suppliers agree to comply with within the Award Questionnaire</w:t>
            </w:r>
            <w:r w:rsidRPr="000B28B0">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27B9A" w:rsidRPr="000B28B0" w:rsidRDefault="00D66B99" w:rsidP="00D66B99">
            <w:pPr>
              <w:pStyle w:val="TableText"/>
              <w:ind w:left="221"/>
              <w:rPr>
                <w:rFonts w:cs="Arial"/>
                <w:sz w:val="22"/>
                <w:szCs w:val="22"/>
              </w:rPr>
            </w:pPr>
            <w:r>
              <w:rPr>
                <w:b/>
              </w:rPr>
              <w:t>Non-Essential Requirements the Supplier responded to this element of the Tender, therefore the supplier is able to provide Non- Essential elements detailed below.</w:t>
            </w:r>
          </w:p>
        </w:tc>
        <w:tc>
          <w:tcPr>
            <w:tcW w:w="1703" w:type="dxa"/>
            <w:shd w:val="clear" w:color="auto" w:fill="auto"/>
          </w:tcPr>
          <w:p w:rsidR="00327B9A" w:rsidRPr="000B28B0" w:rsidRDefault="00327B9A" w:rsidP="00EA39CE">
            <w:pPr>
              <w:pStyle w:val="TableText"/>
              <w:jc w:val="center"/>
              <w:rPr>
                <w:rFonts w:cs="Arial"/>
                <w:b/>
                <w:sz w:val="22"/>
                <w:szCs w:val="22"/>
              </w:rPr>
            </w:pPr>
          </w:p>
        </w:tc>
      </w:tr>
      <w:tr w:rsidR="003B1E03" w:rsidRPr="000B28B0" w:rsidTr="003B1E03">
        <w:tc>
          <w:tcPr>
            <w:tcW w:w="512" w:type="dxa"/>
          </w:tcPr>
          <w:p w:rsidR="003B1E03" w:rsidRPr="00197AEC" w:rsidRDefault="00225C7E" w:rsidP="00EA39CE">
            <w:pPr>
              <w:pStyle w:val="TableText"/>
              <w:rPr>
                <w:rFonts w:cs="Arial"/>
                <w:sz w:val="22"/>
                <w:szCs w:val="22"/>
                <w:highlight w:val="yellow"/>
              </w:rPr>
            </w:pPr>
            <w:r w:rsidRPr="00225C7E">
              <w:rPr>
                <w:rFonts w:cs="Arial"/>
                <w:sz w:val="22"/>
                <w:szCs w:val="22"/>
                <w:highlight w:val="yellow"/>
              </w:rPr>
              <w:t>[3</w:t>
            </w:r>
          </w:p>
        </w:tc>
        <w:tc>
          <w:tcPr>
            <w:tcW w:w="6290" w:type="dxa"/>
          </w:tcPr>
          <w:p w:rsidR="003B1E03" w:rsidRPr="00197AEC" w:rsidRDefault="00225C7E" w:rsidP="000B28B0">
            <w:pPr>
              <w:pStyle w:val="TableText"/>
              <w:ind w:left="221"/>
              <w:rPr>
                <w:rFonts w:cs="Arial"/>
                <w:sz w:val="22"/>
                <w:szCs w:val="22"/>
                <w:highlight w:val="yellow"/>
              </w:rPr>
            </w:pPr>
            <w:r w:rsidRPr="00225C7E">
              <w:rPr>
                <w:rFonts w:cs="Arial"/>
                <w:sz w:val="22"/>
                <w:szCs w:val="22"/>
                <w:highlight w:val="yellow"/>
              </w:rPr>
              <w:t>The Supplier shall implement mechanisms to gather feedback from users on the Services and report on such feedback. The report shall be published to all users of the Services.</w:t>
            </w:r>
            <w:r w:rsidR="003370B7">
              <w:rPr>
                <w:rFonts w:cs="Arial"/>
                <w:sz w:val="22"/>
                <w:szCs w:val="22"/>
                <w:highlight w:val="yellow"/>
              </w:rPr>
              <w:t>]</w:t>
            </w:r>
          </w:p>
        </w:tc>
        <w:tc>
          <w:tcPr>
            <w:tcW w:w="1703" w:type="dxa"/>
            <w:shd w:val="clear" w:color="auto" w:fill="auto"/>
          </w:tcPr>
          <w:p w:rsidR="003B1E03" w:rsidRPr="000B28B0" w:rsidRDefault="003B1E03" w:rsidP="00EA39CE">
            <w:pPr>
              <w:pStyle w:val="TableText"/>
              <w:jc w:val="center"/>
              <w:rPr>
                <w:rFonts w:cs="Arial"/>
                <w:sz w:val="22"/>
                <w:szCs w:val="22"/>
                <w:highlight w:val="cyan"/>
              </w:rPr>
            </w:pPr>
          </w:p>
        </w:tc>
      </w:tr>
      <w:tr w:rsidR="003B1E03" w:rsidRPr="000B28B0" w:rsidTr="003B1E03">
        <w:tc>
          <w:tcPr>
            <w:tcW w:w="512"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4</w:t>
            </w:r>
          </w:p>
        </w:tc>
        <w:tc>
          <w:tcPr>
            <w:tcW w:w="6290" w:type="dxa"/>
          </w:tcPr>
          <w:p w:rsidR="003B1E03" w:rsidRPr="00197AEC" w:rsidRDefault="00225C7E" w:rsidP="000B28B0">
            <w:pPr>
              <w:pStyle w:val="TableText"/>
              <w:ind w:left="221"/>
              <w:rPr>
                <w:rFonts w:cs="Arial"/>
                <w:sz w:val="22"/>
                <w:szCs w:val="22"/>
                <w:highlight w:val="yellow"/>
              </w:rPr>
            </w:pPr>
            <w:r w:rsidRPr="00225C7E">
              <w:rPr>
                <w:rFonts w:cs="Arial"/>
                <w:sz w:val="22"/>
                <w:szCs w:val="22"/>
                <w:highlight w:val="yellow"/>
              </w:rPr>
              <w:t>The Supplier shall respond to feedback and improve the Services as part of a programme of continuous improvement.</w:t>
            </w:r>
            <w:r w:rsidR="003370B7">
              <w:rPr>
                <w:rFonts w:cs="Arial"/>
                <w:sz w:val="22"/>
                <w:szCs w:val="22"/>
                <w:highlight w:val="yellow"/>
              </w:rPr>
              <w:t>]</w:t>
            </w:r>
          </w:p>
        </w:tc>
        <w:tc>
          <w:tcPr>
            <w:tcW w:w="1703" w:type="dxa"/>
            <w:shd w:val="clear" w:color="auto" w:fill="auto"/>
          </w:tcPr>
          <w:p w:rsidR="003B1E03" w:rsidRPr="000B28B0" w:rsidRDefault="003B1E03" w:rsidP="00EA39CE">
            <w:pPr>
              <w:pStyle w:val="TableText"/>
              <w:jc w:val="center"/>
              <w:rPr>
                <w:rFonts w:cs="Arial"/>
                <w:sz w:val="22"/>
                <w:szCs w:val="22"/>
                <w:highlight w:val="cyan"/>
              </w:rPr>
            </w:pPr>
          </w:p>
        </w:tc>
      </w:tr>
      <w:tr w:rsidR="003B1E03" w:rsidRPr="000B28B0" w:rsidTr="003B1E03">
        <w:tc>
          <w:tcPr>
            <w:tcW w:w="512"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5</w:t>
            </w:r>
          </w:p>
        </w:tc>
        <w:tc>
          <w:tcPr>
            <w:tcW w:w="6290" w:type="dxa"/>
          </w:tcPr>
          <w:p w:rsidR="003B1E03" w:rsidRPr="00197AEC" w:rsidRDefault="00225C7E" w:rsidP="000B28B0">
            <w:pPr>
              <w:pStyle w:val="TableText"/>
              <w:ind w:left="221"/>
              <w:rPr>
                <w:rFonts w:cs="Arial"/>
                <w:sz w:val="22"/>
                <w:szCs w:val="22"/>
                <w:highlight w:val="yellow"/>
              </w:rPr>
            </w:pPr>
            <w:r w:rsidRPr="00225C7E">
              <w:rPr>
                <w:rFonts w:cs="Arial"/>
                <w:sz w:val="22"/>
                <w:szCs w:val="22"/>
                <w:highlight w:val="yellow"/>
              </w:rPr>
              <w:t xml:space="preserve">The Supplier shall conform to ISO 9001. This must be demonstrated </w:t>
            </w:r>
            <w:r w:rsidR="00095E69">
              <w:rPr>
                <w:rFonts w:cs="Arial"/>
                <w:sz w:val="22"/>
                <w:szCs w:val="22"/>
                <w:highlight w:val="yellow"/>
              </w:rPr>
              <w:t xml:space="preserve">upon request </w:t>
            </w:r>
            <w:r w:rsidRPr="00225C7E">
              <w:rPr>
                <w:rFonts w:cs="Arial"/>
                <w:sz w:val="22"/>
                <w:szCs w:val="22"/>
                <w:highlight w:val="yellow"/>
              </w:rPr>
              <w:t xml:space="preserve">with a certificate from a body accredited by an appropriate National Authority which in the UK is the </w:t>
            </w:r>
            <w:hyperlink r:id="rId17" w:history="1">
              <w:r w:rsidRPr="00225C7E">
                <w:rPr>
                  <w:rStyle w:val="Hyperlink"/>
                  <w:rFonts w:eastAsia="SimSun" w:cs="Arial"/>
                  <w:sz w:val="22"/>
                  <w:szCs w:val="22"/>
                  <w:highlight w:val="yellow"/>
                </w:rPr>
                <w:t>United Kingdom Accreditation Service (UKAS).</w:t>
              </w:r>
            </w:hyperlink>
            <w:r w:rsidR="003370B7">
              <w:rPr>
                <w:highlight w:val="yellow"/>
              </w:rPr>
              <w:t>]</w:t>
            </w:r>
          </w:p>
        </w:tc>
        <w:tc>
          <w:tcPr>
            <w:tcW w:w="1703" w:type="dxa"/>
            <w:shd w:val="clear" w:color="auto" w:fill="auto"/>
          </w:tcPr>
          <w:p w:rsidR="003B1E03" w:rsidRPr="000B28B0" w:rsidRDefault="003B1E03" w:rsidP="00EA39CE">
            <w:pPr>
              <w:pStyle w:val="TableText"/>
              <w:rPr>
                <w:rFonts w:cs="Arial"/>
                <w:sz w:val="22"/>
                <w:szCs w:val="22"/>
                <w:highlight w:val="cyan"/>
              </w:rPr>
            </w:pPr>
          </w:p>
        </w:tc>
      </w:tr>
      <w:tr w:rsidR="003B1E03" w:rsidRPr="000B28B0" w:rsidTr="003B1E03">
        <w:tc>
          <w:tcPr>
            <w:tcW w:w="512" w:type="dxa"/>
          </w:tcPr>
          <w:p w:rsidR="003B1E03" w:rsidRPr="00197AEC" w:rsidRDefault="003370B7" w:rsidP="00EA39CE">
            <w:pPr>
              <w:pStyle w:val="TableText"/>
              <w:rPr>
                <w:rFonts w:cs="Arial"/>
                <w:sz w:val="22"/>
                <w:szCs w:val="22"/>
                <w:highlight w:val="yellow"/>
              </w:rPr>
            </w:pPr>
            <w:r>
              <w:rPr>
                <w:rFonts w:cs="Arial"/>
                <w:sz w:val="22"/>
                <w:szCs w:val="22"/>
                <w:highlight w:val="yellow"/>
              </w:rPr>
              <w:t>[</w:t>
            </w:r>
            <w:r w:rsidR="00225C7E" w:rsidRPr="00225C7E">
              <w:rPr>
                <w:rFonts w:cs="Arial"/>
                <w:sz w:val="22"/>
                <w:szCs w:val="22"/>
                <w:highlight w:val="yellow"/>
              </w:rPr>
              <w:t>5</w:t>
            </w:r>
          </w:p>
        </w:tc>
        <w:tc>
          <w:tcPr>
            <w:tcW w:w="6290" w:type="dxa"/>
          </w:tcPr>
          <w:p w:rsidR="003B1E03" w:rsidRPr="00197AEC" w:rsidRDefault="00225C7E" w:rsidP="000B28B0">
            <w:pPr>
              <w:pStyle w:val="TableText"/>
              <w:ind w:left="221"/>
              <w:rPr>
                <w:rFonts w:cs="Arial"/>
                <w:sz w:val="22"/>
                <w:szCs w:val="22"/>
                <w:highlight w:val="yellow"/>
              </w:rPr>
            </w:pPr>
            <w:r w:rsidRPr="00225C7E">
              <w:rPr>
                <w:rFonts w:cs="Arial"/>
                <w:sz w:val="22"/>
                <w:szCs w:val="22"/>
                <w:highlight w:val="yellow"/>
              </w:rPr>
              <w:t xml:space="preserve">The Supplier shall ensure that the data centres providing </w:t>
            </w:r>
            <w:r w:rsidRPr="00225C7E">
              <w:rPr>
                <w:rFonts w:cs="Arial"/>
                <w:sz w:val="22"/>
                <w:szCs w:val="22"/>
                <w:highlight w:val="yellow"/>
              </w:rPr>
              <w:lastRenderedPageBreak/>
              <w:t xml:space="preserve">the service abide by the </w:t>
            </w:r>
            <w:hyperlink r:id="rId18" w:history="1">
              <w:r w:rsidRPr="00225C7E">
                <w:rPr>
                  <w:rStyle w:val="Hyperlink"/>
                  <w:rFonts w:eastAsia="SimSun" w:cs="Arial"/>
                  <w:sz w:val="22"/>
                  <w:szCs w:val="22"/>
                  <w:highlight w:val="yellow"/>
                </w:rPr>
                <w:t>EU Data Centre Code of Conduct</w:t>
              </w:r>
            </w:hyperlink>
            <w:r w:rsidRPr="00225C7E">
              <w:rPr>
                <w:rFonts w:cs="Arial"/>
                <w:sz w:val="22"/>
                <w:szCs w:val="22"/>
                <w:highlight w:val="yellow"/>
              </w:rPr>
              <w:t>.</w:t>
            </w:r>
            <w:r w:rsidR="003370B7">
              <w:rPr>
                <w:rFonts w:cs="Arial"/>
                <w:sz w:val="22"/>
                <w:szCs w:val="22"/>
                <w:highlight w:val="yellow"/>
              </w:rPr>
              <w:t>]</w:t>
            </w:r>
          </w:p>
        </w:tc>
        <w:tc>
          <w:tcPr>
            <w:tcW w:w="1703" w:type="dxa"/>
            <w:shd w:val="clear" w:color="auto" w:fill="auto"/>
          </w:tcPr>
          <w:p w:rsidR="003B1E03" w:rsidRPr="000B28B0" w:rsidRDefault="003B1E03" w:rsidP="00EA39CE">
            <w:pPr>
              <w:pStyle w:val="TableText"/>
              <w:rPr>
                <w:rFonts w:cs="Arial"/>
                <w:sz w:val="22"/>
                <w:szCs w:val="22"/>
                <w:highlight w:val="cyan"/>
              </w:rPr>
            </w:pPr>
          </w:p>
        </w:tc>
      </w:tr>
      <w:tr w:rsidR="003B1E03" w:rsidRPr="000B28B0" w:rsidTr="003B1E03">
        <w:tc>
          <w:tcPr>
            <w:tcW w:w="512" w:type="dxa"/>
          </w:tcPr>
          <w:p w:rsidR="003B1E03" w:rsidRPr="00197AEC" w:rsidRDefault="003370B7" w:rsidP="00EA39CE">
            <w:pPr>
              <w:pStyle w:val="TableText"/>
              <w:rPr>
                <w:rFonts w:cs="Arial"/>
                <w:sz w:val="22"/>
                <w:szCs w:val="22"/>
                <w:highlight w:val="yellow"/>
              </w:rPr>
            </w:pPr>
            <w:r>
              <w:rPr>
                <w:rFonts w:cs="Arial"/>
                <w:sz w:val="22"/>
                <w:szCs w:val="22"/>
                <w:highlight w:val="yellow"/>
              </w:rPr>
              <w:lastRenderedPageBreak/>
              <w:t>[</w:t>
            </w:r>
            <w:r w:rsidR="00225C7E" w:rsidRPr="00225C7E">
              <w:rPr>
                <w:rFonts w:cs="Arial"/>
                <w:sz w:val="22"/>
                <w:szCs w:val="22"/>
                <w:highlight w:val="yellow"/>
              </w:rPr>
              <w:t>7</w:t>
            </w:r>
          </w:p>
        </w:tc>
        <w:tc>
          <w:tcPr>
            <w:tcW w:w="6290" w:type="dxa"/>
          </w:tcPr>
          <w:p w:rsidR="003B1E03" w:rsidRPr="00197AEC" w:rsidRDefault="00225C7E" w:rsidP="000B28B0">
            <w:pPr>
              <w:pStyle w:val="TableText"/>
              <w:ind w:left="221"/>
              <w:rPr>
                <w:rFonts w:cs="Arial"/>
                <w:sz w:val="22"/>
                <w:szCs w:val="22"/>
                <w:highlight w:val="yellow"/>
              </w:rPr>
            </w:pPr>
            <w:r w:rsidRPr="00225C7E">
              <w:rPr>
                <w:rFonts w:cs="Arial"/>
                <w:sz w:val="22"/>
                <w:szCs w:val="22"/>
                <w:highlight w:val="yellow"/>
              </w:rPr>
              <w:t>The Supplier shall demonstrate that they have Green IT policies in place and that they are adhered to.]</w:t>
            </w:r>
          </w:p>
        </w:tc>
        <w:tc>
          <w:tcPr>
            <w:tcW w:w="1703" w:type="dxa"/>
            <w:shd w:val="clear" w:color="auto" w:fill="auto"/>
          </w:tcPr>
          <w:p w:rsidR="003B1E03" w:rsidRPr="000B28B0" w:rsidRDefault="003B1E03" w:rsidP="00EA39CE">
            <w:pPr>
              <w:pStyle w:val="TableText"/>
              <w:rPr>
                <w:rFonts w:cs="Arial"/>
                <w:sz w:val="22"/>
                <w:szCs w:val="22"/>
                <w:highlight w:val="cyan"/>
              </w:rPr>
            </w:pPr>
          </w:p>
        </w:tc>
      </w:tr>
    </w:tbl>
    <w:p w:rsidR="00327B9A" w:rsidRPr="00AF4BF6" w:rsidRDefault="00327B9A" w:rsidP="00327B9A">
      <w:pPr>
        <w:pStyle w:val="GPSL3numberedclause"/>
        <w:numPr>
          <w:ilvl w:val="2"/>
          <w:numId w:val="323"/>
        </w:numPr>
      </w:pPr>
      <w:r w:rsidRPr="00AF4BF6">
        <w:t>Data Retention and Compliance: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83"/>
      </w:tblGrid>
      <w:tr w:rsidR="00327B9A" w:rsidRPr="00E71316" w:rsidTr="00EA39CE">
        <w:tc>
          <w:tcPr>
            <w:tcW w:w="567" w:type="dxa"/>
            <w:shd w:val="pct12" w:color="auto" w:fill="auto"/>
          </w:tcPr>
          <w:p w:rsidR="00327B9A" w:rsidRPr="00E71316" w:rsidRDefault="00327B9A" w:rsidP="00EA39CE">
            <w:pPr>
              <w:pStyle w:val="TableHeader"/>
              <w:rPr>
                <w:sz w:val="22"/>
                <w:szCs w:val="22"/>
                <w:lang w:val="en-GB"/>
              </w:rPr>
            </w:pPr>
            <w:r w:rsidRPr="00E71316">
              <w:rPr>
                <w:sz w:val="22"/>
                <w:szCs w:val="22"/>
                <w:lang w:val="en-GB"/>
              </w:rPr>
              <w:t>#</w:t>
            </w:r>
          </w:p>
        </w:tc>
        <w:tc>
          <w:tcPr>
            <w:tcW w:w="7655" w:type="dxa"/>
            <w:shd w:val="pct12" w:color="auto" w:fill="auto"/>
          </w:tcPr>
          <w:p w:rsidR="00327B9A" w:rsidRPr="00E71316" w:rsidRDefault="00327B9A" w:rsidP="00EA39CE">
            <w:pPr>
              <w:pStyle w:val="TableHeader"/>
              <w:rPr>
                <w:sz w:val="22"/>
                <w:szCs w:val="22"/>
                <w:lang w:val="en-GB"/>
              </w:rPr>
            </w:pPr>
            <w:r w:rsidRPr="00E71316">
              <w:rPr>
                <w:sz w:val="22"/>
                <w:szCs w:val="22"/>
                <w:lang w:val="en-GB"/>
              </w:rPr>
              <w:t>Requirement</w:t>
            </w:r>
          </w:p>
        </w:tc>
        <w:tc>
          <w:tcPr>
            <w:tcW w:w="283" w:type="dxa"/>
            <w:shd w:val="pct12" w:color="auto" w:fill="auto"/>
          </w:tcPr>
          <w:p w:rsidR="00327B9A" w:rsidRPr="00E71316" w:rsidRDefault="00327B9A" w:rsidP="00EA39CE">
            <w:pPr>
              <w:pStyle w:val="TableHeader"/>
              <w:jc w:val="center"/>
              <w:rPr>
                <w:sz w:val="22"/>
                <w:szCs w:val="22"/>
                <w:lang w:val="en-GB"/>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1</w:t>
            </w:r>
          </w:p>
        </w:tc>
        <w:tc>
          <w:tcPr>
            <w:tcW w:w="7655" w:type="dxa"/>
          </w:tcPr>
          <w:p w:rsidR="003B1E03" w:rsidRPr="00E71316" w:rsidRDefault="003B1E03" w:rsidP="000B28B0">
            <w:pPr>
              <w:pStyle w:val="TableText"/>
              <w:ind w:left="176"/>
              <w:rPr>
                <w:sz w:val="22"/>
                <w:szCs w:val="22"/>
              </w:rPr>
            </w:pPr>
            <w:r w:rsidRPr="00E71316">
              <w:rPr>
                <w:sz w:val="22"/>
                <w:szCs w:val="22"/>
              </w:rPr>
              <w:t>Self-service recovery of deleted items must be possible for a minimum of 30 days.</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2</w:t>
            </w:r>
          </w:p>
        </w:tc>
        <w:tc>
          <w:tcPr>
            <w:tcW w:w="7655" w:type="dxa"/>
          </w:tcPr>
          <w:p w:rsidR="003B1E03" w:rsidRPr="00E71316" w:rsidRDefault="003B1E03" w:rsidP="000B28B0">
            <w:pPr>
              <w:pStyle w:val="TableText"/>
              <w:ind w:left="176"/>
              <w:rPr>
                <w:sz w:val="22"/>
                <w:szCs w:val="22"/>
              </w:rPr>
            </w:pPr>
            <w:r w:rsidRPr="00E71316">
              <w:rPr>
                <w:sz w:val="22"/>
                <w:szCs w:val="22"/>
              </w:rPr>
              <w:t xml:space="preserve">Copies of all email </w:t>
            </w:r>
            <w:r w:rsidR="00EB3A0F">
              <w:rPr>
                <w:sz w:val="22"/>
                <w:szCs w:val="22"/>
              </w:rPr>
              <w:t>sent and received (minimum of 180</w:t>
            </w:r>
            <w:r w:rsidRPr="00E71316">
              <w:rPr>
                <w:sz w:val="22"/>
                <w:szCs w:val="22"/>
              </w:rPr>
              <w:t xml:space="preserve"> days)</w:t>
            </w:r>
            <w:r>
              <w:rPr>
                <w:sz w:val="22"/>
                <w:szCs w:val="22"/>
              </w:rPr>
              <w:t>.</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3</w:t>
            </w:r>
          </w:p>
        </w:tc>
        <w:tc>
          <w:tcPr>
            <w:tcW w:w="7655" w:type="dxa"/>
          </w:tcPr>
          <w:p w:rsidR="003B1E03" w:rsidRPr="00E71316" w:rsidRDefault="003B1E03" w:rsidP="000B28B0">
            <w:pPr>
              <w:pStyle w:val="TableText"/>
              <w:ind w:left="176"/>
              <w:rPr>
                <w:sz w:val="22"/>
                <w:szCs w:val="22"/>
              </w:rPr>
            </w:pPr>
            <w:r w:rsidRPr="00E71316">
              <w:rPr>
                <w:sz w:val="22"/>
                <w:szCs w:val="22"/>
              </w:rPr>
              <w:t>Copies of the message summary (in essence mail headers) of all emails sent and received (minimum of 2 years)</w:t>
            </w:r>
            <w:r>
              <w:rPr>
                <w:sz w:val="22"/>
                <w:szCs w:val="22"/>
              </w:rPr>
              <w:t>.</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4</w:t>
            </w:r>
          </w:p>
        </w:tc>
        <w:tc>
          <w:tcPr>
            <w:tcW w:w="7655" w:type="dxa"/>
          </w:tcPr>
          <w:p w:rsidR="003B1E03" w:rsidRPr="00733CC6" w:rsidRDefault="003B1E03" w:rsidP="000B28B0">
            <w:pPr>
              <w:pStyle w:val="TableText"/>
              <w:ind w:left="176"/>
              <w:rPr>
                <w:sz w:val="22"/>
                <w:szCs w:val="22"/>
              </w:rPr>
            </w:pPr>
            <w:r w:rsidRPr="00733CC6">
              <w:rPr>
                <w:sz w:val="22"/>
                <w:szCs w:val="22"/>
              </w:rPr>
              <w:t>System Audit logs (minimum of 6 months).</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EB3A0F" w:rsidP="00EA39CE">
            <w:pPr>
              <w:pStyle w:val="TableText"/>
              <w:rPr>
                <w:sz w:val="22"/>
                <w:szCs w:val="22"/>
              </w:rPr>
            </w:pPr>
            <w:r>
              <w:rPr>
                <w:sz w:val="22"/>
                <w:szCs w:val="22"/>
              </w:rPr>
              <w:t>5</w:t>
            </w:r>
          </w:p>
        </w:tc>
        <w:tc>
          <w:tcPr>
            <w:tcW w:w="7655" w:type="dxa"/>
          </w:tcPr>
          <w:p w:rsidR="003B1E03" w:rsidRPr="00733CC6" w:rsidRDefault="003B1E03" w:rsidP="000B28B0">
            <w:pPr>
              <w:pStyle w:val="TableText"/>
              <w:ind w:left="176"/>
              <w:rPr>
                <w:sz w:val="22"/>
                <w:szCs w:val="22"/>
              </w:rPr>
            </w:pPr>
            <w:r w:rsidRPr="00733CC6">
              <w:rPr>
                <w:sz w:val="22"/>
                <w:szCs w:val="22"/>
              </w:rPr>
              <w:t>Data to be captured in the Audit Trails will be sufficient to monitor whether 'Services' access controls are operating as intended.</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EB3A0F" w:rsidP="00EA39CE">
            <w:pPr>
              <w:pStyle w:val="TableText"/>
              <w:rPr>
                <w:sz w:val="22"/>
                <w:szCs w:val="22"/>
              </w:rPr>
            </w:pPr>
            <w:r>
              <w:rPr>
                <w:sz w:val="22"/>
                <w:szCs w:val="22"/>
              </w:rPr>
              <w:t>6</w:t>
            </w:r>
          </w:p>
        </w:tc>
        <w:tc>
          <w:tcPr>
            <w:tcW w:w="7655" w:type="dxa"/>
          </w:tcPr>
          <w:p w:rsidR="003B1E03" w:rsidRPr="00E71316" w:rsidRDefault="003B1E03" w:rsidP="000B28B0">
            <w:pPr>
              <w:pStyle w:val="TableText"/>
              <w:ind w:left="176"/>
              <w:rPr>
                <w:sz w:val="22"/>
                <w:szCs w:val="22"/>
              </w:rPr>
            </w:pPr>
            <w:r w:rsidRPr="00E71316">
              <w:rPr>
                <w:sz w:val="22"/>
                <w:szCs w:val="22"/>
              </w:rPr>
              <w:t>Automated audit analysis tools must be provided to assist auditors in the detection and prevention of system misuse.</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EB3A0F" w:rsidP="00EA39CE">
            <w:pPr>
              <w:pStyle w:val="TableText"/>
              <w:rPr>
                <w:sz w:val="22"/>
                <w:szCs w:val="22"/>
              </w:rPr>
            </w:pPr>
            <w:r>
              <w:rPr>
                <w:sz w:val="22"/>
                <w:szCs w:val="22"/>
              </w:rPr>
              <w:t>7</w:t>
            </w:r>
          </w:p>
        </w:tc>
        <w:tc>
          <w:tcPr>
            <w:tcW w:w="7655" w:type="dxa"/>
          </w:tcPr>
          <w:p w:rsidR="003B1E03" w:rsidRPr="00E71316" w:rsidRDefault="003B1E03" w:rsidP="000B28B0">
            <w:pPr>
              <w:pStyle w:val="TableText"/>
              <w:ind w:left="176"/>
              <w:rPr>
                <w:sz w:val="22"/>
                <w:szCs w:val="22"/>
              </w:rPr>
            </w:pPr>
            <w:r w:rsidRPr="00E71316">
              <w:rPr>
                <w:sz w:val="22"/>
                <w:szCs w:val="22"/>
              </w:rPr>
              <w:t>Data to be captured in the Audit Trails must be sufficient to identify who did what activity.  For the purpose of email, calendar, contacts and tasks individual transaction item logging is not required just the login/logout events due to the volume of per message activities.  However other parts of the service should retain sufficient detail to for example identify the specific administrator that used the administration tools to rename an account and capture the values changed.  Where delegation is used to perform an activity the audit log should identify the delegate and who the delegate is performing the activity on behalf of.</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EB3A0F" w:rsidP="00EA39CE">
            <w:pPr>
              <w:pStyle w:val="TableText"/>
              <w:rPr>
                <w:sz w:val="22"/>
                <w:szCs w:val="22"/>
              </w:rPr>
            </w:pPr>
            <w:r>
              <w:rPr>
                <w:sz w:val="22"/>
                <w:szCs w:val="22"/>
              </w:rPr>
              <w:t>8</w:t>
            </w:r>
          </w:p>
        </w:tc>
        <w:tc>
          <w:tcPr>
            <w:tcW w:w="7655" w:type="dxa"/>
          </w:tcPr>
          <w:p w:rsidR="003B1E03" w:rsidRPr="00E71316" w:rsidRDefault="003B1E03" w:rsidP="000B28B0">
            <w:pPr>
              <w:pStyle w:val="TableText"/>
              <w:ind w:left="176"/>
              <w:rPr>
                <w:sz w:val="22"/>
                <w:szCs w:val="22"/>
              </w:rPr>
            </w:pPr>
            <w:r w:rsidRPr="00E71316">
              <w:rPr>
                <w:sz w:val="22"/>
                <w:szCs w:val="22"/>
              </w:rPr>
              <w:t>Retained data must be captured and made available robustly enough to support evidential use such as an internal disciplinary hearing or through the criminal justice system.  It should also be recognised that there may be occasions that require very rapid (near real time) access to audit data.</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0B28B0">
        <w:tc>
          <w:tcPr>
            <w:tcW w:w="8505" w:type="dxa"/>
            <w:gridSpan w:val="3"/>
          </w:tcPr>
          <w:p w:rsidR="000B28B0" w:rsidRPr="000B28B0" w:rsidRDefault="000B28B0" w:rsidP="000B28B0">
            <w:pPr>
              <w:pStyle w:val="GPSL2Numbered"/>
              <w:numPr>
                <w:ilvl w:val="0"/>
                <w:numId w:val="0"/>
              </w:numPr>
              <w:ind w:left="119"/>
            </w:pPr>
            <w:r w:rsidRPr="000B28B0">
              <w:t>[</w:t>
            </w:r>
            <w:r w:rsidRPr="000B28B0">
              <w:rPr>
                <w:b/>
                <w:highlight w:val="green"/>
              </w:rPr>
              <w:t>Guidance Note: Amend to reflect Non Essential Requirements Suppliers agree to comply with within the Award Questionnaire</w:t>
            </w:r>
            <w:r w:rsidRPr="000B28B0">
              <w:t>]</w:t>
            </w:r>
          </w:p>
          <w:p w:rsidR="00D66B99" w:rsidRDefault="00D66B99" w:rsidP="00D66B99">
            <w:pPr>
              <w:pStyle w:val="MarginText"/>
              <w:spacing w:before="60" w:after="60"/>
              <w:rPr>
                <w:b/>
              </w:rPr>
            </w:pPr>
            <w:r>
              <w:rPr>
                <w:b/>
              </w:rPr>
              <w:t>Non-Essential Requirements the Supplier did not response to this element of Tender, therefore supplier not able to provide Non-Essential elements detailed below.</w:t>
            </w:r>
          </w:p>
          <w:p w:rsidR="003B1E03" w:rsidRPr="003B1E03" w:rsidRDefault="00D66B99" w:rsidP="00D66B99">
            <w:pPr>
              <w:pStyle w:val="TableText"/>
              <w:ind w:left="176"/>
              <w:rPr>
                <w:b/>
                <w:sz w:val="22"/>
                <w:szCs w:val="22"/>
              </w:rPr>
            </w:pPr>
            <w:r>
              <w:rPr>
                <w:b/>
              </w:rPr>
              <w:t>Non-Essential Requirements the Supplier responded to this element of the Tender, therefore the supplier is able to provide Non- Essential elements detailed below.</w:t>
            </w:r>
          </w:p>
        </w:tc>
      </w:tr>
      <w:tr w:rsidR="003B1E03" w:rsidRPr="00E71316" w:rsidTr="00EA39CE">
        <w:tc>
          <w:tcPr>
            <w:tcW w:w="567" w:type="dxa"/>
          </w:tcPr>
          <w:p w:rsidR="003B1E03" w:rsidRPr="00197AEC" w:rsidRDefault="00225C7E" w:rsidP="00EA39CE">
            <w:pPr>
              <w:pStyle w:val="TableText"/>
              <w:rPr>
                <w:sz w:val="22"/>
                <w:szCs w:val="22"/>
                <w:highlight w:val="yellow"/>
              </w:rPr>
            </w:pPr>
            <w:r w:rsidRPr="00225C7E">
              <w:rPr>
                <w:sz w:val="22"/>
                <w:szCs w:val="22"/>
                <w:highlight w:val="yellow"/>
              </w:rPr>
              <w:t>[10</w:t>
            </w:r>
          </w:p>
        </w:tc>
        <w:tc>
          <w:tcPr>
            <w:tcW w:w="7655" w:type="dxa"/>
          </w:tcPr>
          <w:p w:rsidR="003B1E03" w:rsidRPr="00197AEC" w:rsidRDefault="00225C7E" w:rsidP="000B28B0">
            <w:pPr>
              <w:pStyle w:val="TableText"/>
              <w:ind w:left="176"/>
              <w:rPr>
                <w:sz w:val="22"/>
                <w:szCs w:val="22"/>
                <w:highlight w:val="yellow"/>
              </w:rPr>
            </w:pPr>
            <w:r w:rsidRPr="00225C7E">
              <w:rPr>
                <w:sz w:val="22"/>
                <w:szCs w:val="22"/>
                <w:highlight w:val="yellow"/>
              </w:rPr>
              <w:t>The Service should support a self-service Mailbox recovery capability.</w:t>
            </w:r>
            <w:r w:rsidR="003370B7">
              <w:rPr>
                <w:sz w:val="22"/>
                <w:szCs w:val="22"/>
                <w:highlight w:val="yellow"/>
              </w:rPr>
              <w:t>]</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197AEC" w:rsidRDefault="003370B7" w:rsidP="00EA39CE">
            <w:pPr>
              <w:pStyle w:val="TableText"/>
              <w:rPr>
                <w:sz w:val="22"/>
                <w:szCs w:val="22"/>
                <w:highlight w:val="yellow"/>
              </w:rPr>
            </w:pPr>
            <w:r>
              <w:rPr>
                <w:sz w:val="22"/>
                <w:szCs w:val="22"/>
                <w:highlight w:val="yellow"/>
              </w:rPr>
              <w:t>[</w:t>
            </w:r>
            <w:r w:rsidR="00225C7E" w:rsidRPr="00225C7E">
              <w:rPr>
                <w:sz w:val="22"/>
                <w:szCs w:val="22"/>
                <w:highlight w:val="yellow"/>
              </w:rPr>
              <w:t>11</w:t>
            </w:r>
          </w:p>
        </w:tc>
        <w:tc>
          <w:tcPr>
            <w:tcW w:w="7655" w:type="dxa"/>
          </w:tcPr>
          <w:p w:rsidR="003B1E03" w:rsidRPr="00197AEC" w:rsidRDefault="00225C7E" w:rsidP="000B28B0">
            <w:pPr>
              <w:pStyle w:val="TableText"/>
              <w:ind w:left="176"/>
              <w:rPr>
                <w:sz w:val="22"/>
                <w:szCs w:val="22"/>
                <w:highlight w:val="yellow"/>
              </w:rPr>
            </w:pPr>
            <w:r w:rsidRPr="00225C7E">
              <w:rPr>
                <w:sz w:val="22"/>
                <w:szCs w:val="22"/>
                <w:highlight w:val="yellow"/>
              </w:rPr>
              <w:t>There should be a self-service ability to access audit data by authorised staff.  Access should be limited to the scope of the service component the authorised user has access to e.g. email or Cloud Drive and any searches or return of data logged.</w:t>
            </w:r>
            <w:r w:rsidR="003370B7">
              <w:rPr>
                <w:sz w:val="22"/>
                <w:szCs w:val="22"/>
                <w:highlight w:val="yellow"/>
              </w:rPr>
              <w:t>]</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197AEC" w:rsidRDefault="003370B7" w:rsidP="00EA39CE">
            <w:pPr>
              <w:pStyle w:val="TableText"/>
              <w:rPr>
                <w:sz w:val="22"/>
                <w:szCs w:val="22"/>
                <w:highlight w:val="yellow"/>
              </w:rPr>
            </w:pPr>
            <w:r>
              <w:rPr>
                <w:sz w:val="22"/>
                <w:szCs w:val="22"/>
                <w:highlight w:val="yellow"/>
              </w:rPr>
              <w:t>[</w:t>
            </w:r>
            <w:r w:rsidR="00225C7E" w:rsidRPr="00225C7E">
              <w:rPr>
                <w:sz w:val="22"/>
                <w:szCs w:val="22"/>
                <w:highlight w:val="yellow"/>
              </w:rPr>
              <w:t>12</w:t>
            </w:r>
          </w:p>
        </w:tc>
        <w:tc>
          <w:tcPr>
            <w:tcW w:w="7655" w:type="dxa"/>
          </w:tcPr>
          <w:p w:rsidR="003B1E03" w:rsidRPr="00197AEC" w:rsidRDefault="00225C7E" w:rsidP="000B28B0">
            <w:pPr>
              <w:pStyle w:val="TableText"/>
              <w:ind w:left="176"/>
              <w:rPr>
                <w:sz w:val="22"/>
                <w:szCs w:val="22"/>
                <w:highlight w:val="yellow"/>
              </w:rPr>
            </w:pPr>
            <w:r w:rsidRPr="00225C7E">
              <w:rPr>
                <w:sz w:val="22"/>
                <w:szCs w:val="22"/>
                <w:highlight w:val="yellow"/>
              </w:rPr>
              <w:t xml:space="preserve">The majority of audit requests relate to message tracing and a rich interface to support this should be supplied.  There should be controls to </w:t>
            </w:r>
            <w:r w:rsidRPr="00225C7E">
              <w:rPr>
                <w:sz w:val="22"/>
                <w:szCs w:val="22"/>
                <w:highlight w:val="yellow"/>
              </w:rPr>
              <w:lastRenderedPageBreak/>
              <w:t>help prevent abuse of this capability.</w:t>
            </w:r>
            <w:r w:rsidR="003370B7">
              <w:rPr>
                <w:sz w:val="22"/>
                <w:szCs w:val="22"/>
                <w:highlight w:val="yellow"/>
              </w:rPr>
              <w:t>]</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197AEC" w:rsidRDefault="003370B7" w:rsidP="00EA39CE">
            <w:pPr>
              <w:pStyle w:val="TableText"/>
              <w:rPr>
                <w:sz w:val="22"/>
                <w:szCs w:val="22"/>
                <w:highlight w:val="yellow"/>
              </w:rPr>
            </w:pPr>
            <w:r>
              <w:rPr>
                <w:sz w:val="22"/>
                <w:szCs w:val="22"/>
                <w:highlight w:val="yellow"/>
              </w:rPr>
              <w:lastRenderedPageBreak/>
              <w:t>[</w:t>
            </w:r>
            <w:r w:rsidR="00225C7E" w:rsidRPr="00225C7E">
              <w:rPr>
                <w:sz w:val="22"/>
                <w:szCs w:val="22"/>
                <w:highlight w:val="yellow"/>
              </w:rPr>
              <w:t>13</w:t>
            </w:r>
          </w:p>
        </w:tc>
        <w:tc>
          <w:tcPr>
            <w:tcW w:w="7655" w:type="dxa"/>
          </w:tcPr>
          <w:p w:rsidR="003B1E03" w:rsidRPr="00197AEC" w:rsidRDefault="00225C7E" w:rsidP="000B28B0">
            <w:pPr>
              <w:pStyle w:val="TableText"/>
              <w:ind w:left="176"/>
              <w:rPr>
                <w:sz w:val="22"/>
                <w:szCs w:val="22"/>
                <w:highlight w:val="yellow"/>
              </w:rPr>
            </w:pPr>
            <w:r w:rsidRPr="00225C7E">
              <w:rPr>
                <w:sz w:val="22"/>
                <w:szCs w:val="22"/>
                <w:highlight w:val="yellow"/>
              </w:rPr>
              <w:t>There should be an option to increase data retention on a per Organisation basis (locally funded).]</w:t>
            </w:r>
          </w:p>
        </w:tc>
        <w:tc>
          <w:tcPr>
            <w:tcW w:w="283" w:type="dxa"/>
            <w:shd w:val="clear" w:color="auto" w:fill="auto"/>
          </w:tcPr>
          <w:p w:rsidR="003B1E03" w:rsidRPr="00E71316" w:rsidRDefault="003B1E03" w:rsidP="00EA39CE">
            <w:pPr>
              <w:pStyle w:val="TableText"/>
              <w:jc w:val="center"/>
              <w:rPr>
                <w:sz w:val="22"/>
                <w:szCs w:val="22"/>
              </w:rPr>
            </w:pPr>
          </w:p>
        </w:tc>
      </w:tr>
    </w:tbl>
    <w:p w:rsidR="00327B9A" w:rsidRPr="00AF4BF6" w:rsidRDefault="00327B9A" w:rsidP="00327B9A">
      <w:pPr>
        <w:pStyle w:val="GPSL3numberedclause"/>
        <w:numPr>
          <w:ilvl w:val="2"/>
          <w:numId w:val="323"/>
        </w:numPr>
      </w:pPr>
      <w:r w:rsidRPr="00AF4BF6">
        <w:t>Reporting:</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283"/>
      </w:tblGrid>
      <w:tr w:rsidR="00327B9A" w:rsidRPr="00E71316" w:rsidTr="00EA39CE">
        <w:tc>
          <w:tcPr>
            <w:tcW w:w="567" w:type="dxa"/>
            <w:shd w:val="pct12" w:color="auto" w:fill="auto"/>
          </w:tcPr>
          <w:p w:rsidR="00327B9A" w:rsidRPr="00E71316" w:rsidRDefault="00327B9A" w:rsidP="00EA39CE">
            <w:pPr>
              <w:pStyle w:val="TableHeader"/>
              <w:rPr>
                <w:sz w:val="22"/>
                <w:szCs w:val="22"/>
                <w:lang w:val="en-GB"/>
              </w:rPr>
            </w:pPr>
            <w:r w:rsidRPr="00E71316">
              <w:rPr>
                <w:sz w:val="22"/>
                <w:szCs w:val="22"/>
                <w:lang w:val="en-GB"/>
              </w:rPr>
              <w:t>#</w:t>
            </w:r>
          </w:p>
        </w:tc>
        <w:tc>
          <w:tcPr>
            <w:tcW w:w="7655" w:type="dxa"/>
            <w:shd w:val="pct12" w:color="auto" w:fill="auto"/>
          </w:tcPr>
          <w:p w:rsidR="00327B9A" w:rsidRPr="00E71316" w:rsidRDefault="00327B9A" w:rsidP="00EA39CE">
            <w:pPr>
              <w:pStyle w:val="TableHeader"/>
              <w:rPr>
                <w:sz w:val="22"/>
                <w:szCs w:val="22"/>
                <w:lang w:val="en-GB"/>
              </w:rPr>
            </w:pPr>
            <w:r w:rsidRPr="00E71316">
              <w:rPr>
                <w:sz w:val="22"/>
                <w:szCs w:val="22"/>
                <w:lang w:val="en-GB"/>
              </w:rPr>
              <w:t>Requirement</w:t>
            </w:r>
          </w:p>
        </w:tc>
        <w:tc>
          <w:tcPr>
            <w:tcW w:w="283" w:type="dxa"/>
            <w:shd w:val="pct12" w:color="auto" w:fill="auto"/>
          </w:tcPr>
          <w:p w:rsidR="00327B9A" w:rsidRPr="00E71316" w:rsidRDefault="00327B9A" w:rsidP="00EA39CE">
            <w:pPr>
              <w:pStyle w:val="TableHeader"/>
              <w:jc w:val="center"/>
              <w:rPr>
                <w:sz w:val="22"/>
                <w:szCs w:val="22"/>
                <w:lang w:val="en-GB"/>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1</w:t>
            </w:r>
          </w:p>
        </w:tc>
        <w:tc>
          <w:tcPr>
            <w:tcW w:w="7655" w:type="dxa"/>
          </w:tcPr>
          <w:p w:rsidR="003B1E03" w:rsidRPr="00E71316" w:rsidRDefault="003B1E03" w:rsidP="000B28B0">
            <w:pPr>
              <w:pStyle w:val="TableText"/>
              <w:ind w:left="176"/>
              <w:rPr>
                <w:sz w:val="22"/>
                <w:szCs w:val="22"/>
              </w:rPr>
            </w:pPr>
            <w:r w:rsidRPr="00E71316">
              <w:rPr>
                <w:sz w:val="22"/>
                <w:szCs w:val="22"/>
              </w:rPr>
              <w:t xml:space="preserve">The </w:t>
            </w:r>
            <w:r>
              <w:rPr>
                <w:sz w:val="22"/>
                <w:szCs w:val="22"/>
              </w:rPr>
              <w:t>S</w:t>
            </w:r>
            <w:r w:rsidRPr="00E71316">
              <w:rPr>
                <w:sz w:val="22"/>
                <w:szCs w:val="22"/>
              </w:rPr>
              <w:t xml:space="preserve">ervice must provide reports to allow individual user organisations and the </w:t>
            </w:r>
            <w:r w:rsidR="001A0B07">
              <w:rPr>
                <w:sz w:val="22"/>
                <w:szCs w:val="22"/>
              </w:rPr>
              <w:t>Contracting Body</w:t>
            </w:r>
            <w:r w:rsidRPr="00E71316">
              <w:rPr>
                <w:sz w:val="22"/>
                <w:szCs w:val="22"/>
              </w:rPr>
              <w:t xml:space="preserve"> to administer the service.</w:t>
            </w:r>
          </w:p>
        </w:tc>
        <w:tc>
          <w:tcPr>
            <w:tcW w:w="283" w:type="dxa"/>
            <w:shd w:val="clear" w:color="auto" w:fill="auto"/>
          </w:tcPr>
          <w:p w:rsidR="003B1E03" w:rsidRPr="00E71316" w:rsidRDefault="003B1E03" w:rsidP="00EA39CE">
            <w:pPr>
              <w:pStyle w:val="TableText"/>
              <w:jc w:val="center"/>
              <w:rPr>
                <w:sz w:val="22"/>
                <w:szCs w:val="22"/>
              </w:rPr>
            </w:pPr>
          </w:p>
        </w:tc>
      </w:tr>
      <w:tr w:rsidR="003B1E03" w:rsidRPr="00E71316" w:rsidTr="00EA39CE">
        <w:tc>
          <w:tcPr>
            <w:tcW w:w="567" w:type="dxa"/>
          </w:tcPr>
          <w:p w:rsidR="003B1E03" w:rsidRPr="00E71316" w:rsidRDefault="003B1E03" w:rsidP="00EA39CE">
            <w:pPr>
              <w:pStyle w:val="TableText"/>
              <w:rPr>
                <w:sz w:val="22"/>
                <w:szCs w:val="22"/>
              </w:rPr>
            </w:pPr>
            <w:r w:rsidRPr="00E71316">
              <w:rPr>
                <w:sz w:val="22"/>
                <w:szCs w:val="22"/>
              </w:rPr>
              <w:t>2</w:t>
            </w:r>
          </w:p>
        </w:tc>
        <w:tc>
          <w:tcPr>
            <w:tcW w:w="7655" w:type="dxa"/>
          </w:tcPr>
          <w:p w:rsidR="003B1E03" w:rsidRPr="00E71316" w:rsidRDefault="003B1E03" w:rsidP="000B28B0">
            <w:pPr>
              <w:pStyle w:val="TableText"/>
              <w:ind w:left="176"/>
              <w:rPr>
                <w:sz w:val="22"/>
                <w:szCs w:val="22"/>
              </w:rPr>
            </w:pPr>
            <w:r w:rsidRPr="00E71316">
              <w:rPr>
                <w:sz w:val="22"/>
                <w:szCs w:val="22"/>
              </w:rPr>
              <w:t>The individual components must allow organisation administrators to run regular reports of the usage statistics of the service components. The reports must include (but not be limited to):</w:t>
            </w:r>
          </w:p>
          <w:p w:rsidR="003B1E03" w:rsidRPr="00E71316" w:rsidRDefault="003B1E03" w:rsidP="003B1E03">
            <w:pPr>
              <w:pStyle w:val="TableText"/>
              <w:numPr>
                <w:ilvl w:val="0"/>
                <w:numId w:val="529"/>
              </w:numPr>
              <w:rPr>
                <w:sz w:val="22"/>
                <w:szCs w:val="22"/>
              </w:rPr>
            </w:pPr>
            <w:r w:rsidRPr="00E71316">
              <w:rPr>
                <w:sz w:val="22"/>
                <w:szCs w:val="22"/>
              </w:rPr>
              <w:t>Volume of items sent by the organisation for the component (e.g. emails, files uploaded).  Some items may include additional relevant data such as the size of email</w:t>
            </w:r>
          </w:p>
          <w:p w:rsidR="003B1E03" w:rsidRPr="00E71316" w:rsidRDefault="003B1E03" w:rsidP="003B1E03">
            <w:pPr>
              <w:pStyle w:val="TableText"/>
              <w:numPr>
                <w:ilvl w:val="0"/>
                <w:numId w:val="529"/>
              </w:numPr>
              <w:rPr>
                <w:sz w:val="22"/>
                <w:szCs w:val="22"/>
              </w:rPr>
            </w:pPr>
            <w:r w:rsidRPr="00E71316">
              <w:rPr>
                <w:sz w:val="22"/>
                <w:szCs w:val="22"/>
              </w:rPr>
              <w:t>Volume of items received by the organisation for the component (e.g. emails,  files downloaded)</w:t>
            </w:r>
          </w:p>
          <w:p w:rsidR="003B1E03" w:rsidRPr="00E71316" w:rsidRDefault="003B1E03" w:rsidP="003B1E03">
            <w:pPr>
              <w:pStyle w:val="TableText"/>
              <w:numPr>
                <w:ilvl w:val="0"/>
                <w:numId w:val="529"/>
              </w:numPr>
              <w:rPr>
                <w:sz w:val="22"/>
                <w:szCs w:val="22"/>
              </w:rPr>
            </w:pPr>
            <w:r w:rsidRPr="00E71316">
              <w:rPr>
                <w:sz w:val="22"/>
                <w:szCs w:val="22"/>
              </w:rPr>
              <w:t>Number of accounts in use by the organisation (split by personal and generic accounts).</w:t>
            </w:r>
          </w:p>
          <w:p w:rsidR="003B1E03" w:rsidRPr="00E71316" w:rsidRDefault="003B1E03" w:rsidP="003B1E03">
            <w:pPr>
              <w:pStyle w:val="TableText"/>
              <w:numPr>
                <w:ilvl w:val="0"/>
                <w:numId w:val="529"/>
              </w:numPr>
              <w:rPr>
                <w:sz w:val="22"/>
                <w:szCs w:val="22"/>
              </w:rPr>
            </w:pPr>
            <w:r w:rsidRPr="00E71316">
              <w:rPr>
                <w:sz w:val="22"/>
                <w:szCs w:val="22"/>
              </w:rPr>
              <w:t>Number of expired accounts in the organisation.</w:t>
            </w:r>
          </w:p>
          <w:p w:rsidR="003B1E03" w:rsidRPr="00E71316" w:rsidRDefault="003B1E03" w:rsidP="003B1E03">
            <w:pPr>
              <w:pStyle w:val="TableText"/>
              <w:numPr>
                <w:ilvl w:val="0"/>
                <w:numId w:val="529"/>
              </w:numPr>
              <w:rPr>
                <w:sz w:val="22"/>
                <w:szCs w:val="22"/>
              </w:rPr>
            </w:pPr>
            <w:r w:rsidRPr="00E71316">
              <w:rPr>
                <w:sz w:val="22"/>
                <w:szCs w:val="22"/>
              </w:rPr>
              <w:t>Details relevant to components (e.g. per user quota status, mobile device report, items held in remote storage etc.)</w:t>
            </w:r>
          </w:p>
          <w:p w:rsidR="003B1E03" w:rsidRPr="00E71316" w:rsidRDefault="003B1E03" w:rsidP="003B1E03">
            <w:pPr>
              <w:pStyle w:val="TableText"/>
              <w:numPr>
                <w:ilvl w:val="0"/>
                <w:numId w:val="529"/>
              </w:numPr>
              <w:rPr>
                <w:sz w:val="22"/>
                <w:szCs w:val="22"/>
              </w:rPr>
            </w:pPr>
            <w:r w:rsidRPr="00E71316">
              <w:rPr>
                <w:sz w:val="22"/>
                <w:szCs w:val="22"/>
              </w:rPr>
              <w:t xml:space="preserve">Other items of the report to be finalised and agreed with the </w:t>
            </w:r>
            <w:r w:rsidR="001A0B07">
              <w:rPr>
                <w:sz w:val="22"/>
                <w:szCs w:val="22"/>
              </w:rPr>
              <w:t>Contracting Body</w:t>
            </w:r>
            <w:r w:rsidRPr="00E71316">
              <w:rPr>
                <w:sz w:val="22"/>
                <w:szCs w:val="22"/>
              </w:rPr>
              <w:t>.</w:t>
            </w:r>
          </w:p>
          <w:p w:rsidR="003B1E03" w:rsidRDefault="003B1E03" w:rsidP="003B1E03">
            <w:pPr>
              <w:pStyle w:val="TableText"/>
              <w:numPr>
                <w:ilvl w:val="0"/>
                <w:numId w:val="529"/>
              </w:numPr>
              <w:rPr>
                <w:sz w:val="22"/>
                <w:szCs w:val="22"/>
              </w:rPr>
            </w:pPr>
            <w:r w:rsidRPr="00E71316">
              <w:rPr>
                <w:sz w:val="22"/>
                <w:szCs w:val="22"/>
              </w:rPr>
              <w:t>The reports must be exportable in a variety of open formats.</w:t>
            </w:r>
          </w:p>
          <w:p w:rsidR="003B1E03" w:rsidRPr="00E71316" w:rsidRDefault="003B1E03" w:rsidP="00EA39CE">
            <w:pPr>
              <w:pStyle w:val="TableText"/>
              <w:rPr>
                <w:sz w:val="22"/>
                <w:szCs w:val="22"/>
              </w:rPr>
            </w:pPr>
          </w:p>
        </w:tc>
        <w:tc>
          <w:tcPr>
            <w:tcW w:w="283" w:type="dxa"/>
            <w:shd w:val="clear" w:color="auto" w:fill="auto"/>
          </w:tcPr>
          <w:p w:rsidR="003B1E03" w:rsidRPr="00E71316" w:rsidRDefault="003B1E03" w:rsidP="00EA39CE">
            <w:pPr>
              <w:pStyle w:val="TableText"/>
              <w:jc w:val="center"/>
              <w:rPr>
                <w:sz w:val="22"/>
                <w:szCs w:val="22"/>
              </w:rPr>
            </w:pPr>
          </w:p>
        </w:tc>
      </w:tr>
    </w:tbl>
    <w:p w:rsidR="00327B9A" w:rsidRPr="00B60231" w:rsidRDefault="00327B9A" w:rsidP="00327B9A">
      <w:pPr>
        <w:pStyle w:val="GPSL4numberedclause"/>
        <w:numPr>
          <w:ilvl w:val="0"/>
          <w:numId w:val="0"/>
        </w:numPr>
        <w:ind w:left="2694"/>
      </w:pPr>
    </w:p>
    <w:p w:rsidR="00327B9A" w:rsidRDefault="00327B9A" w:rsidP="00327B9A">
      <w:pPr>
        <w:pStyle w:val="GPSL2NumberedBoldHeading"/>
        <w:numPr>
          <w:ilvl w:val="1"/>
          <w:numId w:val="323"/>
        </w:numPr>
        <w:ind w:left="1418" w:hanging="709"/>
      </w:pPr>
      <w:r>
        <w:t>Supplementary Components</w:t>
      </w:r>
    </w:p>
    <w:p w:rsidR="00327B9A" w:rsidRPr="00B60231" w:rsidRDefault="00327B9A" w:rsidP="00327B9A">
      <w:pPr>
        <w:pStyle w:val="GPSL3numberedclause"/>
        <w:numPr>
          <w:ilvl w:val="2"/>
          <w:numId w:val="323"/>
        </w:numPr>
      </w:pPr>
      <w:r w:rsidRPr="00B60231">
        <w:t xml:space="preserve">The Supplier may be required to provide supplementary </w:t>
      </w:r>
      <w:r w:rsidR="00B22127">
        <w:t>components</w:t>
      </w:r>
      <w:r w:rsidR="00B22127" w:rsidRPr="00B60231">
        <w:t xml:space="preserve"> </w:t>
      </w:r>
      <w:r w:rsidRPr="00B60231">
        <w:t xml:space="preserve">in relation to the supply of the Core </w:t>
      </w:r>
      <w:r>
        <w:t>Components</w:t>
      </w:r>
      <w:r w:rsidRPr="00B60231">
        <w:t xml:space="preserve"> to Contracting Bodies including but not limited to:</w:t>
      </w:r>
    </w:p>
    <w:p w:rsidR="00327B9A" w:rsidRPr="00B60231" w:rsidRDefault="00327B9A" w:rsidP="00327B9A">
      <w:pPr>
        <w:pStyle w:val="GPSL4numberedclause"/>
        <w:numPr>
          <w:ilvl w:val="3"/>
          <w:numId w:val="323"/>
        </w:numPr>
      </w:pPr>
      <w:r w:rsidRPr="00B60231">
        <w:t>Insecure Email Gateways;</w:t>
      </w:r>
    </w:p>
    <w:p w:rsidR="00327B9A" w:rsidRPr="00B60231" w:rsidRDefault="00327B9A" w:rsidP="00327B9A">
      <w:pPr>
        <w:pStyle w:val="GPSL4numberedclause"/>
        <w:numPr>
          <w:ilvl w:val="3"/>
          <w:numId w:val="323"/>
        </w:numPr>
      </w:pPr>
      <w:r w:rsidRPr="00B60231">
        <w:t>Instant Messaging and Collaboration; and</w:t>
      </w:r>
    </w:p>
    <w:p w:rsidR="00327B9A" w:rsidRDefault="00327B9A" w:rsidP="00327B9A">
      <w:pPr>
        <w:pStyle w:val="GPSL4numberedclause"/>
        <w:numPr>
          <w:ilvl w:val="3"/>
          <w:numId w:val="323"/>
        </w:numPr>
      </w:pPr>
      <w:r w:rsidRPr="00B60231">
        <w:t>Remote Storage.</w:t>
      </w:r>
    </w:p>
    <w:p w:rsidR="0007792C" w:rsidRPr="00A21FD7" w:rsidRDefault="0007792C" w:rsidP="0007792C">
      <w:pPr>
        <w:pStyle w:val="GPSL2NumberedBoldHeading"/>
      </w:pPr>
      <w:r w:rsidRPr="00A21FD7">
        <w:t>Procurement specific Standards</w:t>
      </w:r>
    </w:p>
    <w:p w:rsidR="0007792C" w:rsidRPr="00A21FD7" w:rsidRDefault="0007792C" w:rsidP="0007792C">
      <w:pPr>
        <w:pStyle w:val="GPSL3numberedclause"/>
      </w:pPr>
      <w:r w:rsidRPr="00A21FD7">
        <w:t xml:space="preserve">The Supplier shall at all times during the Framework Period and the term of any Call Off Agreement comply with the </w:t>
      </w:r>
      <w:r w:rsidR="00694BAB">
        <w:t xml:space="preserve">following </w:t>
      </w:r>
      <w:r w:rsidRPr="00A21FD7">
        <w:t xml:space="preserve">Standards </w:t>
      </w:r>
      <w:r w:rsidR="00694BAB">
        <w:t xml:space="preserve">(or equivalent) </w:t>
      </w:r>
      <w:r w:rsidRPr="00A21FD7">
        <w:t xml:space="preserve">including but not limited to: </w:t>
      </w:r>
    </w:p>
    <w:p w:rsidR="0007792C" w:rsidRPr="00A21FD7" w:rsidRDefault="0007792C" w:rsidP="0007792C">
      <w:pPr>
        <w:pStyle w:val="GPSL4numberedclause"/>
      </w:pPr>
      <w:r w:rsidRPr="00A21FD7">
        <w:t>Information Technology Standards</w:t>
      </w:r>
    </w:p>
    <w:p w:rsidR="0007792C" w:rsidRDefault="007D43A0" w:rsidP="0007792C">
      <w:pPr>
        <w:pStyle w:val="GPSL5numberedclause"/>
      </w:pPr>
      <w:r>
        <w:t>Not Used</w:t>
      </w:r>
    </w:p>
    <w:p w:rsidR="007D43A0" w:rsidRDefault="007D43A0" w:rsidP="0007792C">
      <w:pPr>
        <w:pStyle w:val="GPSL5numberedclause"/>
      </w:pPr>
      <w:r>
        <w:t>Not Used</w:t>
      </w:r>
    </w:p>
    <w:p w:rsidR="007D43A0" w:rsidRDefault="007D43A0" w:rsidP="0007792C">
      <w:pPr>
        <w:pStyle w:val="GPSL5numberedclause"/>
      </w:pPr>
      <w:r>
        <w:t>Not Used</w:t>
      </w:r>
    </w:p>
    <w:p w:rsidR="007D43A0" w:rsidRDefault="007D43A0" w:rsidP="0007792C">
      <w:pPr>
        <w:pStyle w:val="GPSL5numberedclause"/>
      </w:pPr>
      <w:r>
        <w:lastRenderedPageBreak/>
        <w:t>Not Used</w:t>
      </w:r>
    </w:p>
    <w:p w:rsidR="0007792C" w:rsidRDefault="00390EFB" w:rsidP="0007792C">
      <w:pPr>
        <w:pStyle w:val="GPSL5numberedclause"/>
      </w:pPr>
      <w:hyperlink r:id="rId19" w:history="1">
        <w:r w:rsidR="0007792C" w:rsidRPr="00ED5703">
          <w:t>https://www.gov.uk/government/publications/open-standards-principles</w:t>
        </w:r>
      </w:hyperlink>
    </w:p>
    <w:p w:rsidR="0007792C" w:rsidRDefault="00D66B99" w:rsidP="0007792C">
      <w:pPr>
        <w:pStyle w:val="GPSL5numberedclause"/>
      </w:pPr>
      <w:r w:rsidRPr="00C964CC">
        <w:t>https://www.publicservicesnetwork.service.gov.uk/article/2061/PSN-Standards</w:t>
      </w:r>
      <w:r>
        <w:t xml:space="preserve"> </w:t>
      </w:r>
    </w:p>
    <w:p w:rsidR="0007792C" w:rsidRDefault="00390EFB" w:rsidP="0007792C">
      <w:pPr>
        <w:pStyle w:val="GPSL5numberedclause"/>
      </w:pPr>
      <w:hyperlink r:id="rId20" w:history="1">
        <w:r w:rsidR="0007792C" w:rsidRPr="00ED5703">
          <w:t>https://www.gov.uk/government/publications/greening-government-ict-strategy</w:t>
        </w:r>
      </w:hyperlink>
    </w:p>
    <w:p w:rsidR="0007792C" w:rsidRPr="00A21FD7" w:rsidRDefault="00390EFB" w:rsidP="0007792C">
      <w:pPr>
        <w:pStyle w:val="GPSL5numberedclause"/>
      </w:pPr>
      <w:hyperlink r:id="rId21" w:history="1">
        <w:r w:rsidR="0007792C" w:rsidRPr="00A21FD7">
          <w:t>https://www.gov.uk/government/publications/open-source-open-standards-and-re-use-government-action-plan</w:t>
        </w:r>
      </w:hyperlink>
    </w:p>
    <w:p w:rsidR="0007792C" w:rsidRPr="00A21FD7" w:rsidRDefault="0007792C" w:rsidP="0007792C">
      <w:pPr>
        <w:pStyle w:val="GPSL4numberedclause"/>
      </w:pPr>
      <w:r w:rsidRPr="00A21FD7">
        <w:t>External Connectivity Standards</w:t>
      </w:r>
    </w:p>
    <w:p w:rsidR="0007792C" w:rsidRPr="00A21FD7" w:rsidRDefault="0007792C" w:rsidP="0007792C">
      <w:pPr>
        <w:pStyle w:val="GPSL5numberedclause"/>
      </w:pPr>
      <w:proofErr w:type="spellStart"/>
      <w:r w:rsidRPr="00A21FD7">
        <w:t>GSi</w:t>
      </w:r>
      <w:proofErr w:type="spellEnd"/>
      <w:r w:rsidRPr="00A21FD7">
        <w:t xml:space="preserve"> v4.1 (although no new connections are being accepted by </w:t>
      </w:r>
      <w:proofErr w:type="spellStart"/>
      <w:r w:rsidRPr="00A21FD7">
        <w:t>GSi</w:t>
      </w:r>
      <w:proofErr w:type="spellEnd"/>
      <w:r w:rsidRPr="00A21FD7">
        <w:t xml:space="preserve"> after 12/12).</w:t>
      </w:r>
    </w:p>
    <w:p w:rsidR="0007792C" w:rsidRPr="00A21FD7" w:rsidRDefault="00CC3B95" w:rsidP="0007792C">
      <w:pPr>
        <w:pStyle w:val="GPSL5numberedclause"/>
      </w:pPr>
      <w:r>
        <w:t>Not used</w:t>
      </w:r>
    </w:p>
    <w:p w:rsidR="0007792C" w:rsidRPr="00A21FD7" w:rsidRDefault="0007792C" w:rsidP="0007792C">
      <w:pPr>
        <w:pStyle w:val="GPSL4numberedclause"/>
      </w:pPr>
      <w:r>
        <w:t>Security Policy Framework (SPF) or equivalent</w:t>
      </w:r>
    </w:p>
    <w:p w:rsidR="0007792C" w:rsidRPr="00FD47EA" w:rsidRDefault="00644CE6" w:rsidP="0007792C">
      <w:pPr>
        <w:pStyle w:val="GPSL4numberedclause"/>
      </w:pPr>
      <w:r>
        <w:t>Not Used</w:t>
      </w:r>
    </w:p>
    <w:p w:rsidR="0007792C" w:rsidRPr="00FD47EA" w:rsidRDefault="00644CE6" w:rsidP="0007792C">
      <w:pPr>
        <w:pStyle w:val="GPSL5numberedclause"/>
        <w:rPr>
          <w:color w:val="FF0000"/>
        </w:rPr>
      </w:pPr>
      <w:r>
        <w:t>Not Used</w:t>
      </w:r>
    </w:p>
    <w:p w:rsidR="0007792C" w:rsidRDefault="0007792C" w:rsidP="0007792C">
      <w:pPr>
        <w:pStyle w:val="GPSL4numberedclause"/>
      </w:pPr>
      <w:r>
        <w:t>Information Security Management Standards</w:t>
      </w:r>
    </w:p>
    <w:p w:rsidR="0007792C" w:rsidRDefault="0007792C" w:rsidP="0007792C">
      <w:pPr>
        <w:pStyle w:val="GPSL5numberedclause"/>
      </w:pPr>
      <w:r>
        <w:t>ISO 27001 Information Security Management standard or equivalent.</w:t>
      </w:r>
    </w:p>
    <w:p w:rsidR="0007792C" w:rsidRPr="00FD47EA" w:rsidRDefault="0007792C" w:rsidP="0007792C">
      <w:pPr>
        <w:pStyle w:val="GPSL5numberedclause"/>
      </w:pPr>
      <w:r w:rsidRPr="00FD47EA">
        <w:t>ISO/IEC 2700:20131 Information technology -- Security techniques -- Information security management systems – Requirements;</w:t>
      </w:r>
      <w:r w:rsidRPr="00FD47EA">
        <w:rPr>
          <w:rStyle w:val="Heading1Char"/>
        </w:rPr>
        <w:t xml:space="preserve"> </w:t>
      </w:r>
      <w:r w:rsidRPr="00FD47EA">
        <w:t>and</w:t>
      </w:r>
    </w:p>
    <w:p w:rsidR="0007792C" w:rsidRPr="00FD47EA" w:rsidRDefault="0007792C" w:rsidP="0007792C">
      <w:pPr>
        <w:pStyle w:val="GPSL5numberedclause"/>
      </w:pPr>
      <w:r w:rsidRPr="00FD47EA">
        <w:t>BS ISO/IEC 27002: 2013</w:t>
      </w:r>
      <w:r w:rsidRPr="00FD47EA">
        <w:rPr>
          <w:rStyle w:val="Hyperlink"/>
          <w:rFonts w:eastAsia="Calibri"/>
        </w:rPr>
        <w:t xml:space="preserve"> </w:t>
      </w:r>
      <w:r w:rsidRPr="00FD47EA">
        <w:t>Information technology. Security techniques. Code of practice for information security controls.</w:t>
      </w:r>
    </w:p>
    <w:p w:rsidR="0007792C" w:rsidRDefault="0007792C" w:rsidP="0007792C">
      <w:pPr>
        <w:pStyle w:val="GPSL4numberedclause"/>
      </w:pPr>
      <w:r>
        <w:t>Other Standards:</w:t>
      </w:r>
    </w:p>
    <w:p w:rsidR="0007792C" w:rsidRPr="00FD47EA" w:rsidRDefault="00390EFB" w:rsidP="0007792C">
      <w:pPr>
        <w:pStyle w:val="GPSL5numberedclause"/>
      </w:pPr>
      <w:hyperlink r:id="rId22" w:history="1">
        <w:r w:rsidR="0007792C" w:rsidRPr="00FD47EA">
          <w:rPr>
            <w:rStyle w:val="Hyperlink"/>
            <w:rFonts w:eastAsia="Calibri"/>
          </w:rPr>
          <w:t>ISB 0129 Patient Safety Risk Management System - Manufacture of Health Software</w:t>
        </w:r>
      </w:hyperlink>
      <w:r w:rsidR="0007792C">
        <w:t>.</w:t>
      </w:r>
    </w:p>
    <w:p w:rsidR="0007792C" w:rsidRPr="00FD47EA" w:rsidRDefault="0007792C" w:rsidP="0007792C">
      <w:pPr>
        <w:pStyle w:val="GPSL5numberedclause"/>
      </w:pPr>
      <w:r w:rsidRPr="00FD47EA">
        <w:t>ISO/IEC 22313 – Societal security -- Business continuity management systems.</w:t>
      </w:r>
    </w:p>
    <w:p w:rsidR="0007792C" w:rsidRDefault="0007792C" w:rsidP="0007792C">
      <w:pPr>
        <w:pStyle w:val="GPSL5numberedclause"/>
      </w:pPr>
      <w:r w:rsidRPr="00FD47EA">
        <w:t>ISO 9001</w:t>
      </w:r>
    </w:p>
    <w:p w:rsidR="00406112" w:rsidRDefault="0007792C" w:rsidP="00406112">
      <w:pPr>
        <w:pStyle w:val="GPSSchAnnexname"/>
      </w:pPr>
      <w:r>
        <w:rPr>
          <w:rFonts w:hint="eastAsia"/>
        </w:rPr>
        <w:br w:type="page"/>
      </w:r>
      <w:bookmarkStart w:id="714" w:name="_Toc379488078"/>
      <w:bookmarkStart w:id="715" w:name="_Toc379488079"/>
      <w:bookmarkStart w:id="716" w:name="_Toc380052180"/>
      <w:bookmarkStart w:id="717" w:name="_Toc380052181"/>
      <w:bookmarkStart w:id="718" w:name="_Toc380052691"/>
      <w:bookmarkStart w:id="719" w:name="_Toc380052692"/>
      <w:bookmarkStart w:id="720" w:name="_Toc380053715"/>
      <w:bookmarkStart w:id="721" w:name="_Toc391545376"/>
      <w:r w:rsidR="00406112">
        <w:lastRenderedPageBreak/>
        <w:t>PART B – SUPPLIER’S SERVICES</w:t>
      </w:r>
      <w:bookmarkEnd w:id="714"/>
      <w:bookmarkEnd w:id="715"/>
      <w:bookmarkEnd w:id="716"/>
      <w:bookmarkEnd w:id="717"/>
      <w:bookmarkEnd w:id="718"/>
      <w:bookmarkEnd w:id="719"/>
      <w:bookmarkEnd w:id="720"/>
      <w:bookmarkEnd w:id="721"/>
    </w:p>
    <w:p w:rsidR="00406112" w:rsidRDefault="00406112" w:rsidP="002C741A">
      <w:pPr>
        <w:pStyle w:val="GPSL1CLAUSEHEADING"/>
        <w:numPr>
          <w:ilvl w:val="0"/>
          <w:numId w:val="533"/>
        </w:numPr>
      </w:pPr>
      <w:bookmarkStart w:id="722" w:name="_Toc379488080"/>
      <w:bookmarkStart w:id="723" w:name="_Toc380052182"/>
      <w:bookmarkStart w:id="724" w:name="_Toc380052693"/>
      <w:bookmarkStart w:id="725" w:name="_Toc380053716"/>
      <w:bookmarkStart w:id="726" w:name="_Toc391545377"/>
      <w:r>
        <w:t>General</w:t>
      </w:r>
      <w:bookmarkEnd w:id="722"/>
      <w:bookmarkEnd w:id="723"/>
      <w:bookmarkEnd w:id="724"/>
      <w:bookmarkEnd w:id="725"/>
      <w:bookmarkEnd w:id="726"/>
    </w:p>
    <w:p w:rsidR="00406112" w:rsidRPr="00F752DD" w:rsidRDefault="00406112" w:rsidP="00406112">
      <w:pPr>
        <w:pStyle w:val="GPSL2NumberedBoldHeading"/>
        <w:rPr>
          <w:b w:val="0"/>
        </w:rPr>
      </w:pPr>
      <w:r w:rsidRPr="00F752DD">
        <w:rPr>
          <w:b w:val="0"/>
        </w:rPr>
        <w:t>The purpos</w:t>
      </w:r>
      <w:r>
        <w:rPr>
          <w:b w:val="0"/>
        </w:rPr>
        <w:t>e of this Part B</w:t>
      </w:r>
      <w:r w:rsidRPr="00F752DD">
        <w:rPr>
          <w:b w:val="0"/>
        </w:rPr>
        <w:t xml:space="preserve"> of Framework Schedule 2 </w:t>
      </w:r>
      <w:r>
        <w:rPr>
          <w:b w:val="0"/>
        </w:rPr>
        <w:t>(</w:t>
      </w:r>
      <w:r w:rsidRPr="00F752DD">
        <w:rPr>
          <w:b w:val="0"/>
        </w:rPr>
        <w:t xml:space="preserve">Services and Key Performance Indicators) is to set out the </w:t>
      </w:r>
      <w:r>
        <w:rPr>
          <w:b w:val="0"/>
        </w:rPr>
        <w:t xml:space="preserve">Supplier’s </w:t>
      </w:r>
      <w:r w:rsidR="00617E4A">
        <w:rPr>
          <w:b w:val="0"/>
        </w:rPr>
        <w:t xml:space="preserve">descriptions of the </w:t>
      </w:r>
      <w:r>
        <w:rPr>
          <w:b w:val="0"/>
        </w:rPr>
        <w:t xml:space="preserve">Services that meet </w:t>
      </w:r>
      <w:r w:rsidRPr="00F752DD">
        <w:rPr>
          <w:b w:val="0"/>
        </w:rPr>
        <w:t xml:space="preserve">the </w:t>
      </w:r>
      <w:r>
        <w:rPr>
          <w:b w:val="0"/>
        </w:rPr>
        <w:t xml:space="preserve">requirements specified in </w:t>
      </w:r>
      <w:r w:rsidR="000A1FDA">
        <w:rPr>
          <w:b w:val="0"/>
        </w:rPr>
        <w:t xml:space="preserve">Part </w:t>
      </w:r>
      <w:r>
        <w:rPr>
          <w:b w:val="0"/>
        </w:rPr>
        <w:t>A of this Framework Schedule.</w:t>
      </w:r>
    </w:p>
    <w:p w:rsidR="00406112" w:rsidRPr="00F752DD" w:rsidRDefault="00406112" w:rsidP="00406112">
      <w:pPr>
        <w:pStyle w:val="GPSL2NumberedBoldHeading"/>
        <w:rPr>
          <w:b w:val="0"/>
        </w:rPr>
      </w:pPr>
      <w:r>
        <w:rPr>
          <w:b w:val="0"/>
        </w:rPr>
        <w:t>In the event of any conflict between these Service Descriptions and the requirements in Part A, Part A will take precedence</w:t>
      </w:r>
      <w:r w:rsidRPr="00F752DD">
        <w:rPr>
          <w:b w:val="0"/>
        </w:rPr>
        <w:t>.</w:t>
      </w:r>
    </w:p>
    <w:p w:rsidR="00406112" w:rsidRPr="00617E4A" w:rsidRDefault="00406112" w:rsidP="00406112">
      <w:pPr>
        <w:pStyle w:val="GPSDefinitionL1Guidance"/>
      </w:pPr>
    </w:p>
    <w:p w:rsidR="00406112" w:rsidRPr="00DF33DC" w:rsidRDefault="00406112" w:rsidP="00406112">
      <w:pPr>
        <w:pStyle w:val="GPSDefinitionL1Guidance"/>
        <w:rPr>
          <w:highlight w:val="green"/>
        </w:rPr>
      </w:pPr>
      <w:r w:rsidRPr="00DF33DC">
        <w:rPr>
          <w:highlight w:val="green"/>
        </w:rPr>
        <w:t xml:space="preserve">[Guidance Note: Insert Supplier </w:t>
      </w:r>
      <w:r w:rsidR="00617E4A">
        <w:rPr>
          <w:highlight w:val="green"/>
        </w:rPr>
        <w:t xml:space="preserve">descriptions of </w:t>
      </w:r>
      <w:r w:rsidRPr="00DF33DC">
        <w:rPr>
          <w:highlight w:val="green"/>
        </w:rPr>
        <w:t>Service</w:t>
      </w:r>
      <w:r>
        <w:rPr>
          <w:highlight w:val="green"/>
        </w:rPr>
        <w:t>s</w:t>
      </w:r>
      <w:r w:rsidRPr="00DF33DC">
        <w:rPr>
          <w:highlight w:val="green"/>
        </w:rPr>
        <w:t xml:space="preserve"> submitted as </w:t>
      </w:r>
      <w:r>
        <w:rPr>
          <w:highlight w:val="green"/>
        </w:rPr>
        <w:t xml:space="preserve">responses to Section B of the Award Questionnaire in the </w:t>
      </w:r>
      <w:r w:rsidRPr="00DF33DC">
        <w:rPr>
          <w:highlight w:val="green"/>
        </w:rPr>
        <w:t>Tender here]</w:t>
      </w:r>
    </w:p>
    <w:p w:rsidR="00406112" w:rsidRDefault="00406112" w:rsidP="00406112">
      <w:pPr>
        <w:pStyle w:val="GPSmacrorestart"/>
      </w:pPr>
    </w:p>
    <w:p w:rsidR="00327B9A" w:rsidRDefault="00406112" w:rsidP="00ED36A2">
      <w:pPr>
        <w:pStyle w:val="GPSSchAnnexname"/>
      </w:pPr>
      <w:r>
        <w:rPr>
          <w:rFonts w:hint="eastAsia"/>
        </w:rPr>
        <w:br w:type="page"/>
      </w:r>
      <w:bookmarkStart w:id="727" w:name="_Toc379488081"/>
      <w:bookmarkStart w:id="728" w:name="_Toc380052183"/>
      <w:bookmarkStart w:id="729" w:name="_Toc380052694"/>
      <w:bookmarkStart w:id="730" w:name="_Toc391545378"/>
      <w:r w:rsidR="00ED36A2">
        <w:lastRenderedPageBreak/>
        <w:t xml:space="preserve">Part </w:t>
      </w:r>
      <w:r w:rsidR="00355CF7">
        <w:t>C</w:t>
      </w:r>
      <w:r w:rsidR="008A0AB4">
        <w:t xml:space="preserve"> – MANDATORY SERVICE PACKAGE </w:t>
      </w:r>
      <w:r w:rsidR="00DB6429">
        <w:t>REQUIREMENTS</w:t>
      </w:r>
      <w:bookmarkEnd w:id="727"/>
      <w:bookmarkEnd w:id="728"/>
      <w:bookmarkEnd w:id="729"/>
      <w:bookmarkEnd w:id="730"/>
    </w:p>
    <w:p w:rsidR="00ED36A2" w:rsidRDefault="00ED36A2" w:rsidP="002C741A">
      <w:pPr>
        <w:pStyle w:val="GPSL1CLAUSEHEADING"/>
        <w:numPr>
          <w:ilvl w:val="0"/>
          <w:numId w:val="536"/>
        </w:numPr>
      </w:pPr>
      <w:bookmarkStart w:id="731" w:name="_Toc379488082"/>
      <w:bookmarkStart w:id="732" w:name="_Toc380052184"/>
      <w:bookmarkStart w:id="733" w:name="_Toc380052695"/>
      <w:bookmarkStart w:id="734" w:name="_Toc380053718"/>
      <w:bookmarkStart w:id="735" w:name="_Toc391545379"/>
      <w:r>
        <w:t>General</w:t>
      </w:r>
      <w:bookmarkEnd w:id="731"/>
      <w:bookmarkEnd w:id="732"/>
      <w:bookmarkEnd w:id="733"/>
      <w:bookmarkEnd w:id="734"/>
      <w:bookmarkEnd w:id="735"/>
    </w:p>
    <w:p w:rsidR="0007792C" w:rsidRDefault="0007792C" w:rsidP="00ED36A2">
      <w:pPr>
        <w:pStyle w:val="GPSL2NumberedBoldHeading"/>
        <w:rPr>
          <w:b w:val="0"/>
        </w:rPr>
      </w:pPr>
      <w:r>
        <w:rPr>
          <w:b w:val="0"/>
        </w:rPr>
        <w:t xml:space="preserve">The following requirements must be met by the </w:t>
      </w:r>
      <w:r w:rsidR="002E1CBA">
        <w:rPr>
          <w:b w:val="0"/>
        </w:rPr>
        <w:t>Mandatory</w:t>
      </w:r>
      <w:r>
        <w:rPr>
          <w:b w:val="0"/>
        </w:rPr>
        <w:t xml:space="preserve"> Service Package</w:t>
      </w:r>
      <w:r w:rsidR="00903EEC">
        <w:rPr>
          <w:b w:val="0"/>
        </w:rPr>
        <w:t xml:space="preserve"> set out in Part D of this Framework Schedule</w:t>
      </w:r>
      <w:r>
        <w:rPr>
          <w:b w:val="0"/>
        </w:rPr>
        <w:t>:</w:t>
      </w:r>
    </w:p>
    <w:p w:rsidR="00617E4A" w:rsidRPr="00E71316" w:rsidRDefault="00617E4A" w:rsidP="00327B9A">
      <w:pPr>
        <w:pStyle w:val="GPSL4numberedclause"/>
        <w:numPr>
          <w:ilvl w:val="0"/>
          <w:numId w:val="0"/>
        </w:numPr>
        <w:ind w:left="2989"/>
        <w:rPr>
          <w:highlight w:val="cyan"/>
        </w:rPr>
      </w:pPr>
    </w:p>
    <w:p w:rsidR="00327B9A" w:rsidRDefault="00D5706B" w:rsidP="00327B9A">
      <w:pPr>
        <w:pStyle w:val="GPSL3numberedclause"/>
        <w:numPr>
          <w:ilvl w:val="2"/>
          <w:numId w:val="323"/>
        </w:numPr>
        <w:rPr>
          <w:b/>
        </w:rPr>
      </w:pPr>
      <w:r>
        <w:rPr>
          <w:b/>
        </w:rPr>
        <w:t>[</w:t>
      </w:r>
      <w:r w:rsidR="00327B9A" w:rsidRPr="00D5706B">
        <w:rPr>
          <w:b/>
          <w:highlight w:val="yellow"/>
        </w:rPr>
        <w:t xml:space="preserve">Lot 3 </w:t>
      </w:r>
      <w:r w:rsidR="00A77C7A" w:rsidRPr="00D5706B">
        <w:rPr>
          <w:b/>
          <w:highlight w:val="yellow"/>
        </w:rPr>
        <w:t>Mandatory Service Package Requirements</w:t>
      </w:r>
      <w:r>
        <w:rPr>
          <w:b/>
        </w:rPr>
        <w:t>]</w:t>
      </w:r>
    </w:p>
    <w:p w:rsidR="00327B9A" w:rsidRPr="00617E4A" w:rsidRDefault="00327B9A" w:rsidP="00327B9A">
      <w:pPr>
        <w:pStyle w:val="GPSL4numberedclause"/>
        <w:numPr>
          <w:ilvl w:val="3"/>
          <w:numId w:val="323"/>
        </w:numPr>
        <w:rPr>
          <w:highlight w:val="yellow"/>
        </w:rPr>
      </w:pPr>
      <w:r w:rsidRPr="00617E4A">
        <w:rPr>
          <w:highlight w:val="yellow"/>
        </w:rPr>
        <w:t>Secure Email:</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137"/>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835"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5137"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2D6C18" w:rsidRPr="00617E4A" w:rsidTr="00EA39CE">
        <w:tc>
          <w:tcPr>
            <w:tcW w:w="675" w:type="dxa"/>
          </w:tcPr>
          <w:p w:rsidR="002D6C18" w:rsidRPr="00617E4A" w:rsidRDefault="002D6C18" w:rsidP="00EA39CE">
            <w:pPr>
              <w:spacing w:after="0"/>
              <w:rPr>
                <w:highlight w:val="yellow"/>
              </w:rPr>
            </w:pPr>
            <w:r>
              <w:rPr>
                <w:highlight w:val="yellow"/>
              </w:rPr>
              <w:t>1</w:t>
            </w:r>
          </w:p>
        </w:tc>
        <w:tc>
          <w:tcPr>
            <w:tcW w:w="2835" w:type="dxa"/>
          </w:tcPr>
          <w:p w:rsidR="002D6C18" w:rsidRPr="00617E4A" w:rsidRDefault="002D6C18" w:rsidP="00731201">
            <w:pPr>
              <w:spacing w:after="0"/>
              <w:rPr>
                <w:highlight w:val="yellow"/>
              </w:rPr>
            </w:pPr>
            <w:r w:rsidRPr="002D6C18">
              <w:rPr>
                <w:highlight w:val="yellow"/>
              </w:rPr>
              <w:t>Minimum Purchasable Volume (CONDITION ON CUSTOMER).</w:t>
            </w:r>
          </w:p>
        </w:tc>
        <w:tc>
          <w:tcPr>
            <w:tcW w:w="5137" w:type="dxa"/>
          </w:tcPr>
          <w:p w:rsidR="002D6C18" w:rsidRPr="00617E4A" w:rsidRDefault="002D6C18" w:rsidP="003C391E">
            <w:pPr>
              <w:spacing w:after="0"/>
              <w:rPr>
                <w:highlight w:val="yellow"/>
              </w:rPr>
            </w:pPr>
            <w:r w:rsidRPr="002D6C18">
              <w:rPr>
                <w:highlight w:val="yellow"/>
              </w:rPr>
              <w:t>A customer must purchase a minimum volume of 10</w:t>
            </w:r>
            <w:r>
              <w:rPr>
                <w:highlight w:val="yellow"/>
              </w:rPr>
              <w:t>00</w:t>
            </w:r>
            <w:r w:rsidRPr="002D6C18">
              <w:rPr>
                <w:highlight w:val="yellow"/>
              </w:rPr>
              <w:t>00 Mailboxes.</w:t>
            </w:r>
          </w:p>
        </w:tc>
      </w:tr>
      <w:tr w:rsidR="00327B9A" w:rsidRPr="00617E4A" w:rsidTr="00EA39CE">
        <w:tc>
          <w:tcPr>
            <w:tcW w:w="675" w:type="dxa"/>
          </w:tcPr>
          <w:p w:rsidR="00327B9A" w:rsidRPr="00617E4A" w:rsidRDefault="00731201" w:rsidP="00EA39CE">
            <w:pPr>
              <w:spacing w:after="0"/>
              <w:rPr>
                <w:highlight w:val="yellow"/>
              </w:rPr>
            </w:pPr>
            <w:r>
              <w:rPr>
                <w:highlight w:val="yellow"/>
              </w:rPr>
              <w:t>2</w:t>
            </w:r>
          </w:p>
        </w:tc>
        <w:tc>
          <w:tcPr>
            <w:tcW w:w="2835" w:type="dxa"/>
          </w:tcPr>
          <w:p w:rsidR="00327B9A" w:rsidRPr="00617E4A" w:rsidRDefault="00327B9A" w:rsidP="00EA39CE">
            <w:pPr>
              <w:spacing w:after="0"/>
              <w:rPr>
                <w:highlight w:val="yellow"/>
              </w:rPr>
            </w:pPr>
            <w:r w:rsidRPr="00617E4A">
              <w:rPr>
                <w:highlight w:val="yellow"/>
              </w:rPr>
              <w:t>Endpoints</w:t>
            </w:r>
          </w:p>
        </w:tc>
        <w:tc>
          <w:tcPr>
            <w:tcW w:w="5137" w:type="dxa"/>
          </w:tcPr>
          <w:p w:rsidR="00327B9A" w:rsidRPr="00617E4A" w:rsidRDefault="00327B9A" w:rsidP="00EA39CE">
            <w:pPr>
              <w:spacing w:after="0"/>
              <w:rPr>
                <w:highlight w:val="yellow"/>
              </w:rPr>
            </w:pPr>
            <w:r w:rsidRPr="00617E4A">
              <w:rPr>
                <w:highlight w:val="yellow"/>
              </w:rPr>
              <w:t>A mixture of mainly well managed and to a lesser extent unmanaged endpoints, of which the majority are desktops.</w:t>
            </w:r>
          </w:p>
        </w:tc>
      </w:tr>
      <w:tr w:rsidR="00327B9A" w:rsidRPr="00617E4A" w:rsidTr="00EA39CE">
        <w:tc>
          <w:tcPr>
            <w:tcW w:w="675" w:type="dxa"/>
          </w:tcPr>
          <w:p w:rsidR="00327B9A" w:rsidRPr="00617E4A" w:rsidRDefault="00731201" w:rsidP="00EA39CE">
            <w:pPr>
              <w:spacing w:after="0"/>
              <w:rPr>
                <w:highlight w:val="yellow"/>
              </w:rPr>
            </w:pPr>
            <w:r>
              <w:rPr>
                <w:highlight w:val="yellow"/>
              </w:rPr>
              <w:t>3</w:t>
            </w:r>
          </w:p>
        </w:tc>
        <w:tc>
          <w:tcPr>
            <w:tcW w:w="2835" w:type="dxa"/>
          </w:tcPr>
          <w:p w:rsidR="00327B9A" w:rsidRPr="00617E4A" w:rsidRDefault="00B81364" w:rsidP="00EA39CE">
            <w:pPr>
              <w:spacing w:after="0"/>
              <w:rPr>
                <w:highlight w:val="yellow"/>
              </w:rPr>
            </w:pPr>
            <w:r>
              <w:rPr>
                <w:highlight w:val="yellow"/>
              </w:rPr>
              <w:t>Mailbox</w:t>
            </w:r>
            <w:r w:rsidR="00327B9A" w:rsidRPr="00617E4A">
              <w:rPr>
                <w:highlight w:val="yellow"/>
              </w:rPr>
              <w:t xml:space="preserve"> size</w:t>
            </w:r>
          </w:p>
        </w:tc>
        <w:tc>
          <w:tcPr>
            <w:tcW w:w="5137" w:type="dxa"/>
          </w:tcPr>
          <w:p w:rsidR="00327B9A" w:rsidRPr="00617E4A" w:rsidRDefault="00327B9A" w:rsidP="001B358B">
            <w:pPr>
              <w:spacing w:after="0"/>
              <w:rPr>
                <w:highlight w:val="yellow"/>
              </w:rPr>
            </w:pPr>
            <w:r w:rsidRPr="00617E4A">
              <w:rPr>
                <w:highlight w:val="yellow"/>
              </w:rPr>
              <w:t xml:space="preserve">A minimum of </w:t>
            </w:r>
            <w:r w:rsidR="001B358B">
              <w:rPr>
                <w:highlight w:val="yellow"/>
              </w:rPr>
              <w:t>5</w:t>
            </w:r>
            <w:r w:rsidRPr="00617E4A">
              <w:rPr>
                <w:highlight w:val="yellow"/>
              </w:rPr>
              <w:t xml:space="preserve">00 MB averaged across the service with thin provisioning permitted. </w:t>
            </w:r>
          </w:p>
        </w:tc>
      </w:tr>
      <w:tr w:rsidR="00327B9A" w:rsidRPr="00617E4A" w:rsidTr="00EA39CE">
        <w:tc>
          <w:tcPr>
            <w:tcW w:w="675" w:type="dxa"/>
          </w:tcPr>
          <w:p w:rsidR="00327B9A" w:rsidRPr="00617E4A" w:rsidRDefault="00731201" w:rsidP="00EA39CE">
            <w:pPr>
              <w:spacing w:after="0"/>
              <w:rPr>
                <w:highlight w:val="yellow"/>
              </w:rPr>
            </w:pPr>
            <w:r>
              <w:rPr>
                <w:highlight w:val="yellow"/>
              </w:rPr>
              <w:t>4</w:t>
            </w:r>
          </w:p>
        </w:tc>
        <w:tc>
          <w:tcPr>
            <w:tcW w:w="2835" w:type="dxa"/>
          </w:tcPr>
          <w:p w:rsidR="00327B9A" w:rsidRPr="00617E4A" w:rsidRDefault="00327B9A" w:rsidP="00EA39CE">
            <w:pPr>
              <w:spacing w:after="0"/>
              <w:rPr>
                <w:highlight w:val="yellow"/>
              </w:rPr>
            </w:pPr>
            <w:r w:rsidRPr="00617E4A">
              <w:rPr>
                <w:highlight w:val="yellow"/>
              </w:rPr>
              <w:t>Data sharing</w:t>
            </w:r>
          </w:p>
        </w:tc>
        <w:tc>
          <w:tcPr>
            <w:tcW w:w="5137" w:type="dxa"/>
          </w:tcPr>
          <w:p w:rsidR="00327B9A" w:rsidRPr="00617E4A" w:rsidRDefault="00327B9A" w:rsidP="00EA39CE">
            <w:pPr>
              <w:spacing w:after="0"/>
              <w:rPr>
                <w:highlight w:val="yellow"/>
              </w:rPr>
            </w:pPr>
            <w:r w:rsidRPr="00617E4A">
              <w:rPr>
                <w:highlight w:val="yellow"/>
              </w:rPr>
              <w:t>Multi tenanted use within the service supporting use by multiple individual organisations with cross organisation sharing through role based access. This applies to email, calendar, contacts, tasks, distribution lists.</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 xml:space="preserve">This sharing is between Managed </w:t>
            </w:r>
            <w:proofErr w:type="spellStart"/>
            <w:r w:rsidRPr="00617E4A">
              <w:rPr>
                <w:highlight w:val="yellow"/>
              </w:rPr>
              <w:t>eMail</w:t>
            </w:r>
            <w:proofErr w:type="spellEnd"/>
            <w:r w:rsidRPr="00617E4A">
              <w:rPr>
                <w:highlight w:val="yellow"/>
              </w:rPr>
              <w:t xml:space="preserve"> customer entities on the multi-tenanted platform with the same GPMS level.</w:t>
            </w:r>
          </w:p>
          <w:p w:rsidR="00327B9A" w:rsidRPr="00617E4A" w:rsidRDefault="00327B9A" w:rsidP="00EA39CE">
            <w:pPr>
              <w:spacing w:after="0"/>
              <w:rPr>
                <w:highlight w:val="yellow"/>
              </w:rPr>
            </w:pPr>
          </w:p>
        </w:tc>
      </w:tr>
      <w:tr w:rsidR="00327B9A" w:rsidRPr="00617E4A" w:rsidTr="00EA39CE">
        <w:tc>
          <w:tcPr>
            <w:tcW w:w="675" w:type="dxa"/>
          </w:tcPr>
          <w:p w:rsidR="00327B9A" w:rsidRPr="00617E4A" w:rsidRDefault="00731201" w:rsidP="00EA39CE">
            <w:pPr>
              <w:spacing w:after="0"/>
              <w:rPr>
                <w:highlight w:val="yellow"/>
              </w:rPr>
            </w:pPr>
            <w:r>
              <w:rPr>
                <w:highlight w:val="yellow"/>
              </w:rPr>
              <w:t>5</w:t>
            </w:r>
          </w:p>
        </w:tc>
        <w:tc>
          <w:tcPr>
            <w:tcW w:w="2835" w:type="dxa"/>
          </w:tcPr>
          <w:p w:rsidR="00327B9A" w:rsidRPr="00617E4A" w:rsidRDefault="00327B9A" w:rsidP="00EA39CE">
            <w:pPr>
              <w:spacing w:after="0"/>
              <w:rPr>
                <w:highlight w:val="yellow"/>
              </w:rPr>
            </w:pPr>
            <w:r w:rsidRPr="00617E4A">
              <w:rPr>
                <w:highlight w:val="yellow"/>
              </w:rPr>
              <w:t>Number of distribution lists</w:t>
            </w:r>
          </w:p>
        </w:tc>
        <w:tc>
          <w:tcPr>
            <w:tcW w:w="5137" w:type="dxa"/>
          </w:tcPr>
          <w:p w:rsidR="00327B9A" w:rsidRPr="00617E4A" w:rsidRDefault="00327B9A" w:rsidP="00EA39CE">
            <w:pPr>
              <w:spacing w:after="0"/>
              <w:rPr>
                <w:highlight w:val="yellow"/>
              </w:rPr>
            </w:pPr>
            <w:r w:rsidRPr="00617E4A">
              <w:rPr>
                <w:highlight w:val="yellow"/>
              </w:rPr>
              <w:t>A minimum of 10,000 distribution lists each containing an average of 500 recipients. Each list will have 5 administrators and 50 authorised senders.</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The maximum size of distribution list will be the size of the service (an all user email).</w:t>
            </w:r>
          </w:p>
        </w:tc>
      </w:tr>
      <w:tr w:rsidR="00327B9A" w:rsidRPr="00617E4A" w:rsidTr="00EA39CE">
        <w:tc>
          <w:tcPr>
            <w:tcW w:w="675" w:type="dxa"/>
          </w:tcPr>
          <w:p w:rsidR="00327B9A" w:rsidRPr="00617E4A" w:rsidRDefault="00731201" w:rsidP="00EA39CE">
            <w:pPr>
              <w:spacing w:after="0"/>
              <w:rPr>
                <w:highlight w:val="yellow"/>
              </w:rPr>
            </w:pPr>
            <w:r>
              <w:rPr>
                <w:highlight w:val="yellow"/>
              </w:rPr>
              <w:t>6</w:t>
            </w:r>
          </w:p>
        </w:tc>
        <w:tc>
          <w:tcPr>
            <w:tcW w:w="2835" w:type="dxa"/>
          </w:tcPr>
          <w:p w:rsidR="00327B9A" w:rsidRPr="00617E4A" w:rsidRDefault="00327B9A" w:rsidP="00EA39CE">
            <w:pPr>
              <w:spacing w:after="0"/>
              <w:rPr>
                <w:highlight w:val="yellow"/>
              </w:rPr>
            </w:pPr>
            <w:r w:rsidRPr="00617E4A">
              <w:rPr>
                <w:highlight w:val="yellow"/>
              </w:rPr>
              <w:t>Quotas</w:t>
            </w:r>
          </w:p>
        </w:tc>
        <w:tc>
          <w:tcPr>
            <w:tcW w:w="5137" w:type="dxa"/>
          </w:tcPr>
          <w:p w:rsidR="00327B9A" w:rsidRPr="00617E4A" w:rsidRDefault="00327B9A" w:rsidP="00EA39CE">
            <w:pPr>
              <w:spacing w:after="0"/>
              <w:rPr>
                <w:highlight w:val="yellow"/>
              </w:rPr>
            </w:pPr>
            <w:r w:rsidRPr="00617E4A">
              <w:rPr>
                <w:highlight w:val="yellow"/>
              </w:rPr>
              <w:t xml:space="preserve">The service should provide a minimum of 3 quotas for personal and generic </w:t>
            </w:r>
            <w:r w:rsidR="00B81364">
              <w:rPr>
                <w:highlight w:val="yellow"/>
              </w:rPr>
              <w:t>Mailbox</w:t>
            </w:r>
            <w:r w:rsidRPr="00617E4A">
              <w:rPr>
                <w:highlight w:val="yellow"/>
              </w:rPr>
              <w:t>es</w:t>
            </w:r>
          </w:p>
        </w:tc>
      </w:tr>
      <w:tr w:rsidR="00327B9A" w:rsidRPr="00617E4A" w:rsidTr="00EA39CE">
        <w:tc>
          <w:tcPr>
            <w:tcW w:w="675" w:type="dxa"/>
          </w:tcPr>
          <w:p w:rsidR="00327B9A" w:rsidRPr="00617E4A" w:rsidRDefault="00731201" w:rsidP="00EA39CE">
            <w:pPr>
              <w:spacing w:after="0"/>
              <w:rPr>
                <w:highlight w:val="yellow"/>
              </w:rPr>
            </w:pPr>
            <w:r>
              <w:rPr>
                <w:highlight w:val="yellow"/>
              </w:rPr>
              <w:t>7</w:t>
            </w:r>
          </w:p>
        </w:tc>
        <w:tc>
          <w:tcPr>
            <w:tcW w:w="2835" w:type="dxa"/>
          </w:tcPr>
          <w:p w:rsidR="00327B9A" w:rsidRPr="00617E4A" w:rsidRDefault="00327B9A" w:rsidP="00EA39CE">
            <w:pPr>
              <w:spacing w:after="0"/>
              <w:rPr>
                <w:highlight w:val="yellow"/>
              </w:rPr>
            </w:pPr>
            <w:r w:rsidRPr="00617E4A">
              <w:rPr>
                <w:highlight w:val="yellow"/>
              </w:rPr>
              <w:t>Email address for life</w:t>
            </w:r>
          </w:p>
        </w:tc>
        <w:tc>
          <w:tcPr>
            <w:tcW w:w="5137" w:type="dxa"/>
          </w:tcPr>
          <w:p w:rsidR="005E5E95" w:rsidRPr="00617E4A" w:rsidRDefault="005E5E95" w:rsidP="005E5E95">
            <w:pPr>
              <w:pStyle w:val="TableText"/>
              <w:rPr>
                <w:sz w:val="22"/>
                <w:szCs w:val="22"/>
                <w:highlight w:val="yellow"/>
              </w:rPr>
            </w:pPr>
            <w:r w:rsidRPr="00617E4A">
              <w:rPr>
                <w:sz w:val="22"/>
                <w:szCs w:val="22"/>
                <w:highlight w:val="yellow"/>
              </w:rPr>
              <w:t xml:space="preserve">The service shall provide all users with an email address for life and the ability to have an alias containing the organisational abbreviation that all deliver to the same </w:t>
            </w:r>
            <w:r w:rsidR="00B81364">
              <w:rPr>
                <w:sz w:val="22"/>
                <w:szCs w:val="22"/>
                <w:highlight w:val="yellow"/>
              </w:rPr>
              <w:t>Mailbox</w:t>
            </w:r>
            <w:r w:rsidRPr="00617E4A">
              <w:rPr>
                <w:sz w:val="22"/>
                <w:szCs w:val="22"/>
                <w:highlight w:val="yellow"/>
              </w:rPr>
              <w:t xml:space="preserve">. For example: john.smith@nhs.net as the primary email address, and john.smith@examplehospital.nhs.net as the alias. If John Smith moved organisations at some point, john.smith@nhs.net would continue to work, </w:t>
            </w:r>
            <w:hyperlink r:id="rId23" w:history="1">
              <w:r w:rsidRPr="00617E4A">
                <w:rPr>
                  <w:rStyle w:val="Hyperlink"/>
                  <w:rFonts w:eastAsia="SimSun"/>
                  <w:sz w:val="22"/>
                  <w:szCs w:val="22"/>
                  <w:highlight w:val="yellow"/>
                </w:rPr>
                <w:t>john.smith@examplehospital.nhs.net</w:t>
              </w:r>
            </w:hyperlink>
            <w:r w:rsidRPr="00617E4A">
              <w:rPr>
                <w:sz w:val="22"/>
                <w:szCs w:val="22"/>
                <w:highlight w:val="yellow"/>
              </w:rPr>
              <w:t xml:space="preserve"> would be de-activated and a new alias for the new organisation would be created by automated workflow based on the properties of the account in the directory. </w:t>
            </w:r>
          </w:p>
          <w:p w:rsidR="00327B9A" w:rsidRPr="00617E4A" w:rsidRDefault="005E5E95" w:rsidP="005E5E95">
            <w:pPr>
              <w:spacing w:after="0"/>
              <w:rPr>
                <w:highlight w:val="yellow"/>
              </w:rPr>
            </w:pPr>
            <w:r w:rsidRPr="00617E4A">
              <w:rPr>
                <w:highlight w:val="yellow"/>
              </w:rPr>
              <w:t xml:space="preserve">The organisation shall have the ability to set the </w:t>
            </w:r>
            <w:r w:rsidRPr="00617E4A">
              <w:rPr>
                <w:highlight w:val="yellow"/>
              </w:rPr>
              <w:lastRenderedPageBreak/>
              <w:t>default reply address at a per account level for both personal and generic accounts.</w:t>
            </w:r>
            <w:r w:rsidR="00327B9A" w:rsidRPr="00617E4A">
              <w:rPr>
                <w:highlight w:val="yellow"/>
              </w:rPr>
              <w:t>.</w:t>
            </w:r>
          </w:p>
        </w:tc>
      </w:tr>
    </w:tbl>
    <w:p w:rsidR="00327B9A" w:rsidRPr="00617E4A" w:rsidRDefault="00327B9A" w:rsidP="00327B9A">
      <w:pPr>
        <w:pStyle w:val="GPSL4numberedclause"/>
        <w:numPr>
          <w:ilvl w:val="3"/>
          <w:numId w:val="323"/>
        </w:numPr>
        <w:rPr>
          <w:highlight w:val="yellow"/>
        </w:rPr>
      </w:pPr>
      <w:r w:rsidRPr="00617E4A">
        <w:rPr>
          <w:highlight w:val="yellow"/>
        </w:rPr>
        <w:lastRenderedPageBreak/>
        <w:t>Secure Email Gateway</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137"/>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835"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5137"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835" w:type="dxa"/>
          </w:tcPr>
          <w:p w:rsidR="00327B9A" w:rsidRPr="00617E4A" w:rsidRDefault="00327B9A" w:rsidP="00EA39CE">
            <w:pPr>
              <w:spacing w:after="0"/>
              <w:rPr>
                <w:highlight w:val="yellow"/>
              </w:rPr>
            </w:pPr>
            <w:r w:rsidRPr="00617E4A">
              <w:rPr>
                <w:highlight w:val="yellow"/>
              </w:rPr>
              <w:t>Size</w:t>
            </w:r>
          </w:p>
        </w:tc>
        <w:tc>
          <w:tcPr>
            <w:tcW w:w="5137" w:type="dxa"/>
          </w:tcPr>
          <w:p w:rsidR="00327B9A" w:rsidRPr="00617E4A" w:rsidRDefault="00327B9A" w:rsidP="00EA39CE">
            <w:pPr>
              <w:spacing w:after="0"/>
              <w:rPr>
                <w:highlight w:val="yellow"/>
              </w:rPr>
            </w:pPr>
            <w:r w:rsidRPr="00617E4A">
              <w:rPr>
                <w:highlight w:val="yellow"/>
              </w:rPr>
              <w:t>The gateway will be sized to:</w:t>
            </w:r>
          </w:p>
          <w:p w:rsidR="00327B9A" w:rsidRPr="00617E4A" w:rsidRDefault="00327B9A" w:rsidP="00EA39CE">
            <w:pPr>
              <w:spacing w:after="0"/>
              <w:rPr>
                <w:highlight w:val="yellow"/>
              </w:rPr>
            </w:pPr>
          </w:p>
          <w:p w:rsidR="00327B9A" w:rsidRPr="00617E4A" w:rsidRDefault="00327B9A" w:rsidP="00327B9A">
            <w:pPr>
              <w:pStyle w:val="ListParagraph"/>
              <w:numPr>
                <w:ilvl w:val="0"/>
                <w:numId w:val="454"/>
              </w:numPr>
              <w:overflowPunct/>
              <w:autoSpaceDE/>
              <w:autoSpaceDN/>
              <w:adjustRightInd/>
              <w:spacing w:after="0" w:line="276" w:lineRule="auto"/>
              <w:jc w:val="left"/>
              <w:textAlignment w:val="auto"/>
              <w:rPr>
                <w:highlight w:val="yellow"/>
              </w:rPr>
            </w:pPr>
            <w:r w:rsidRPr="00617E4A">
              <w:rPr>
                <w:highlight w:val="yellow"/>
              </w:rPr>
              <w:t>The number of users on the service.</w:t>
            </w:r>
          </w:p>
          <w:p w:rsidR="00327B9A" w:rsidRPr="00617E4A" w:rsidRDefault="00327B9A" w:rsidP="00327B9A">
            <w:pPr>
              <w:pStyle w:val="ListParagraph"/>
              <w:numPr>
                <w:ilvl w:val="0"/>
                <w:numId w:val="454"/>
              </w:numPr>
              <w:overflowPunct/>
              <w:autoSpaceDE/>
              <w:autoSpaceDN/>
              <w:adjustRightInd/>
              <w:spacing w:after="0" w:line="276" w:lineRule="auto"/>
              <w:jc w:val="left"/>
              <w:textAlignment w:val="auto"/>
              <w:rPr>
                <w:highlight w:val="yellow"/>
              </w:rPr>
            </w:pPr>
            <w:r w:rsidRPr="00617E4A">
              <w:rPr>
                <w:highlight w:val="yellow"/>
              </w:rPr>
              <w:t>5% of the accounts are used by IT applications to send high volumes of email.</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2</w:t>
            </w:r>
          </w:p>
        </w:tc>
        <w:tc>
          <w:tcPr>
            <w:tcW w:w="2835" w:type="dxa"/>
          </w:tcPr>
          <w:p w:rsidR="00327B9A" w:rsidRPr="00617E4A" w:rsidRDefault="00327B9A" w:rsidP="00EA39CE">
            <w:pPr>
              <w:spacing w:after="0"/>
              <w:rPr>
                <w:highlight w:val="yellow"/>
              </w:rPr>
            </w:pPr>
            <w:r w:rsidRPr="00617E4A">
              <w:rPr>
                <w:highlight w:val="yellow"/>
              </w:rPr>
              <w:t>Email encryption</w:t>
            </w:r>
          </w:p>
        </w:tc>
        <w:tc>
          <w:tcPr>
            <w:tcW w:w="5137" w:type="dxa"/>
          </w:tcPr>
          <w:p w:rsidR="00327B9A" w:rsidRPr="00617E4A" w:rsidRDefault="00327B9A" w:rsidP="00EA39CE">
            <w:pPr>
              <w:spacing w:after="0"/>
              <w:rPr>
                <w:highlight w:val="yellow"/>
              </w:rPr>
            </w:pPr>
            <w:r w:rsidRPr="00617E4A">
              <w:rPr>
                <w:highlight w:val="yellow"/>
              </w:rPr>
              <w:t>10% of emails sent to the Internet by the Service are encrypted using the encryption tool (with appropriate encryption on the return leg). Users will determine which specific emails are encrypted.</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3</w:t>
            </w:r>
          </w:p>
        </w:tc>
        <w:tc>
          <w:tcPr>
            <w:tcW w:w="2835" w:type="dxa"/>
          </w:tcPr>
          <w:p w:rsidR="00327B9A" w:rsidRPr="00617E4A" w:rsidRDefault="00327B9A" w:rsidP="00EA39CE">
            <w:pPr>
              <w:spacing w:after="0"/>
              <w:rPr>
                <w:highlight w:val="yellow"/>
              </w:rPr>
            </w:pPr>
            <w:r w:rsidRPr="00617E4A">
              <w:rPr>
                <w:highlight w:val="yellow"/>
              </w:rPr>
              <w:t>Anti-virus anti-spam (AVAS)</w:t>
            </w:r>
          </w:p>
        </w:tc>
        <w:tc>
          <w:tcPr>
            <w:tcW w:w="5137" w:type="dxa"/>
          </w:tcPr>
          <w:p w:rsidR="00327B9A" w:rsidRPr="00617E4A" w:rsidRDefault="00327B9A" w:rsidP="00EA39CE">
            <w:pPr>
              <w:spacing w:after="0"/>
              <w:rPr>
                <w:highlight w:val="yellow"/>
              </w:rPr>
            </w:pPr>
            <w:r w:rsidRPr="00617E4A">
              <w:rPr>
                <w:highlight w:val="yellow"/>
              </w:rPr>
              <w:t xml:space="preserve">The AVAS service will manage malware and spam at the rates normally seen in the private sector. There are no specific threats to this </w:t>
            </w:r>
            <w:r w:rsidR="001A0B07">
              <w:rPr>
                <w:highlight w:val="yellow"/>
              </w:rPr>
              <w:t>Contracting Body</w:t>
            </w:r>
            <w:r w:rsidRPr="00617E4A">
              <w:rPr>
                <w:highlight w:val="yellow"/>
              </w:rPr>
              <w:t>.</w:t>
            </w:r>
          </w:p>
        </w:tc>
      </w:tr>
    </w:tbl>
    <w:p w:rsidR="00327B9A" w:rsidRPr="00617E4A" w:rsidRDefault="00327B9A" w:rsidP="00327B9A">
      <w:pPr>
        <w:pStyle w:val="GPSL4numberedclause"/>
        <w:numPr>
          <w:ilvl w:val="3"/>
          <w:numId w:val="323"/>
        </w:numPr>
        <w:rPr>
          <w:highlight w:val="yellow"/>
        </w:rPr>
      </w:pPr>
      <w:r w:rsidRPr="00617E4A">
        <w:rPr>
          <w:highlight w:val="yellow"/>
        </w:rPr>
        <w:t>Mobile Device Management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137"/>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835"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5137"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835" w:type="dxa"/>
          </w:tcPr>
          <w:p w:rsidR="00327B9A" w:rsidRPr="00617E4A" w:rsidRDefault="00327B9A" w:rsidP="00EA39CE">
            <w:pPr>
              <w:spacing w:after="0"/>
              <w:rPr>
                <w:highlight w:val="yellow"/>
              </w:rPr>
            </w:pPr>
            <w:r w:rsidRPr="00617E4A">
              <w:rPr>
                <w:highlight w:val="yellow"/>
              </w:rPr>
              <w:t>Mobile Devices</w:t>
            </w:r>
          </w:p>
        </w:tc>
        <w:tc>
          <w:tcPr>
            <w:tcW w:w="5137" w:type="dxa"/>
          </w:tcPr>
          <w:p w:rsidR="00327B9A" w:rsidRPr="00617E4A" w:rsidRDefault="00327B9A" w:rsidP="003C391E">
            <w:pPr>
              <w:spacing w:after="0"/>
              <w:rPr>
                <w:highlight w:val="yellow"/>
              </w:rPr>
            </w:pPr>
            <w:r w:rsidRPr="00617E4A">
              <w:rPr>
                <w:highlight w:val="yellow"/>
              </w:rPr>
              <w:t>The Services will support a minimum of 100,000 devices in year 1 with a growth rate of 25,000 devices per annum over the Term.</w:t>
            </w:r>
          </w:p>
        </w:tc>
      </w:tr>
    </w:tbl>
    <w:p w:rsidR="00327B9A" w:rsidRPr="00617E4A" w:rsidRDefault="00327B9A" w:rsidP="00327B9A">
      <w:pPr>
        <w:pStyle w:val="GPSL4numberedclause"/>
        <w:numPr>
          <w:ilvl w:val="3"/>
          <w:numId w:val="323"/>
        </w:numPr>
        <w:rPr>
          <w:highlight w:val="yellow"/>
        </w:rPr>
      </w:pPr>
      <w:r w:rsidRPr="00617E4A">
        <w:rPr>
          <w:highlight w:val="yellow"/>
        </w:rPr>
        <w:t>White Pages and Directory Services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5137"/>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835"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5137"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835" w:type="dxa"/>
          </w:tcPr>
          <w:p w:rsidR="00327B9A" w:rsidRPr="00617E4A" w:rsidRDefault="00327B9A" w:rsidP="00EA39CE">
            <w:pPr>
              <w:spacing w:after="0"/>
              <w:rPr>
                <w:highlight w:val="yellow"/>
              </w:rPr>
            </w:pPr>
            <w:r w:rsidRPr="00617E4A">
              <w:rPr>
                <w:highlight w:val="yellow"/>
              </w:rPr>
              <w:t>Scalability &amp; performance</w:t>
            </w:r>
          </w:p>
        </w:tc>
        <w:tc>
          <w:tcPr>
            <w:tcW w:w="5137" w:type="dxa"/>
          </w:tcPr>
          <w:p w:rsidR="00327B9A" w:rsidRPr="00617E4A" w:rsidRDefault="00327B9A" w:rsidP="00EA39CE">
            <w:pPr>
              <w:spacing w:after="0"/>
              <w:rPr>
                <w:highlight w:val="yellow"/>
              </w:rPr>
            </w:pPr>
            <w:r w:rsidRPr="00617E4A">
              <w:rPr>
                <w:highlight w:val="yellow"/>
              </w:rPr>
              <w:t>The directory will support access by 150% of the capacity of the email service. It will be accessed by applications, VOIP phones and other devices.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2</w:t>
            </w:r>
          </w:p>
        </w:tc>
        <w:tc>
          <w:tcPr>
            <w:tcW w:w="2835" w:type="dxa"/>
          </w:tcPr>
          <w:p w:rsidR="00327B9A" w:rsidRPr="00617E4A" w:rsidRDefault="00327B9A" w:rsidP="00EA39CE">
            <w:pPr>
              <w:spacing w:after="0"/>
              <w:rPr>
                <w:highlight w:val="yellow"/>
              </w:rPr>
            </w:pPr>
            <w:r w:rsidRPr="00617E4A">
              <w:rPr>
                <w:highlight w:val="yellow"/>
              </w:rPr>
              <w:t>Directory fields</w:t>
            </w:r>
          </w:p>
        </w:tc>
        <w:tc>
          <w:tcPr>
            <w:tcW w:w="5137" w:type="dxa"/>
          </w:tcPr>
          <w:p w:rsidR="00327B9A" w:rsidRPr="00617E4A" w:rsidRDefault="00327B9A" w:rsidP="00EA39CE">
            <w:pPr>
              <w:spacing w:after="0"/>
              <w:rPr>
                <w:highlight w:val="yellow"/>
              </w:rPr>
            </w:pPr>
            <w:r w:rsidRPr="00617E4A">
              <w:rPr>
                <w:highlight w:val="yellow"/>
              </w:rPr>
              <w:t>The Service should support an extensible schema with a minimum of 50 fields.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3</w:t>
            </w:r>
          </w:p>
        </w:tc>
        <w:tc>
          <w:tcPr>
            <w:tcW w:w="2835" w:type="dxa"/>
          </w:tcPr>
          <w:p w:rsidR="00327B9A" w:rsidRPr="00617E4A" w:rsidRDefault="00327B9A" w:rsidP="00EA39CE">
            <w:pPr>
              <w:spacing w:after="0"/>
              <w:rPr>
                <w:highlight w:val="yellow"/>
              </w:rPr>
            </w:pPr>
            <w:r w:rsidRPr="00617E4A">
              <w:rPr>
                <w:highlight w:val="yellow"/>
              </w:rPr>
              <w:t>Directory size</w:t>
            </w:r>
          </w:p>
        </w:tc>
        <w:tc>
          <w:tcPr>
            <w:tcW w:w="5137" w:type="dxa"/>
          </w:tcPr>
          <w:p w:rsidR="00327B9A" w:rsidRPr="00617E4A" w:rsidRDefault="00327B9A" w:rsidP="00EA39CE">
            <w:pPr>
              <w:spacing w:after="0"/>
              <w:rPr>
                <w:highlight w:val="yellow"/>
              </w:rPr>
            </w:pPr>
            <w:r w:rsidRPr="00617E4A">
              <w:rPr>
                <w:highlight w:val="yellow"/>
              </w:rPr>
              <w:t>The directory will include entries for 2.5 million entities that include people, organisations, locations and resources.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4</w:t>
            </w:r>
          </w:p>
        </w:tc>
        <w:tc>
          <w:tcPr>
            <w:tcW w:w="2835" w:type="dxa"/>
          </w:tcPr>
          <w:p w:rsidR="00327B9A" w:rsidRPr="00617E4A" w:rsidRDefault="00327B9A" w:rsidP="00EA39CE">
            <w:pPr>
              <w:spacing w:after="0"/>
              <w:rPr>
                <w:highlight w:val="yellow"/>
              </w:rPr>
            </w:pPr>
            <w:r w:rsidRPr="00617E4A">
              <w:rPr>
                <w:highlight w:val="yellow"/>
              </w:rPr>
              <w:t>Connectors</w:t>
            </w:r>
          </w:p>
        </w:tc>
        <w:tc>
          <w:tcPr>
            <w:tcW w:w="5137" w:type="dxa"/>
          </w:tcPr>
          <w:p w:rsidR="00327B9A" w:rsidRPr="00617E4A" w:rsidRDefault="00327B9A" w:rsidP="00EA39CE">
            <w:pPr>
              <w:spacing w:after="0"/>
              <w:rPr>
                <w:highlight w:val="yellow"/>
              </w:rPr>
            </w:pPr>
            <w:r w:rsidRPr="00617E4A">
              <w:rPr>
                <w:highlight w:val="yellow"/>
              </w:rPr>
              <w:t>The directory will support the upload of information from a minimum of 25,000 local level directories.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5</w:t>
            </w:r>
          </w:p>
        </w:tc>
        <w:tc>
          <w:tcPr>
            <w:tcW w:w="2835" w:type="dxa"/>
          </w:tcPr>
          <w:p w:rsidR="00327B9A" w:rsidRPr="00617E4A" w:rsidRDefault="00327B9A" w:rsidP="00EA39CE">
            <w:pPr>
              <w:spacing w:after="0"/>
              <w:rPr>
                <w:highlight w:val="yellow"/>
              </w:rPr>
            </w:pPr>
            <w:r w:rsidRPr="00617E4A">
              <w:rPr>
                <w:highlight w:val="yellow"/>
              </w:rPr>
              <w:t>Integration</w:t>
            </w:r>
          </w:p>
        </w:tc>
        <w:tc>
          <w:tcPr>
            <w:tcW w:w="5137" w:type="dxa"/>
          </w:tcPr>
          <w:p w:rsidR="00327B9A" w:rsidRPr="00617E4A" w:rsidRDefault="00327B9A" w:rsidP="00EA39CE">
            <w:pPr>
              <w:spacing w:after="0"/>
              <w:rPr>
                <w:highlight w:val="yellow"/>
              </w:rPr>
            </w:pPr>
            <w:r w:rsidRPr="00617E4A">
              <w:rPr>
                <w:highlight w:val="yellow"/>
              </w:rPr>
              <w:t>At a minimum the directory will permit a full download of its contents via LDAP overnight from 5 IT systems.</w:t>
            </w:r>
          </w:p>
        </w:tc>
      </w:tr>
    </w:tbl>
    <w:p w:rsidR="00327B9A" w:rsidRPr="00617E4A" w:rsidRDefault="00327B9A" w:rsidP="00327B9A">
      <w:pPr>
        <w:pStyle w:val="GPSL4numberedclause"/>
        <w:numPr>
          <w:ilvl w:val="3"/>
          <w:numId w:val="323"/>
        </w:numPr>
        <w:rPr>
          <w:highlight w:val="yellow"/>
        </w:rPr>
      </w:pPr>
      <w:r w:rsidRPr="00617E4A">
        <w:rPr>
          <w:highlight w:val="yellow"/>
        </w:rPr>
        <w:t>Access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Client types</w:t>
            </w:r>
          </w:p>
        </w:tc>
        <w:tc>
          <w:tcPr>
            <w:tcW w:w="4995" w:type="dxa"/>
          </w:tcPr>
          <w:p w:rsidR="00327B9A" w:rsidRPr="00617E4A" w:rsidRDefault="00327B9A" w:rsidP="00EA39CE">
            <w:pPr>
              <w:spacing w:after="0"/>
              <w:rPr>
                <w:highlight w:val="yellow"/>
              </w:rPr>
            </w:pPr>
            <w:r w:rsidRPr="00617E4A">
              <w:rPr>
                <w:b/>
                <w:highlight w:val="yellow"/>
              </w:rPr>
              <w:t>Desktop Clients</w:t>
            </w:r>
          </w:p>
          <w:p w:rsidR="00327B9A" w:rsidRPr="00617E4A" w:rsidRDefault="00327B9A" w:rsidP="00EA39CE">
            <w:pPr>
              <w:spacing w:after="0"/>
              <w:rPr>
                <w:highlight w:val="yellow"/>
              </w:rPr>
            </w:pPr>
          </w:p>
          <w:p w:rsidR="00327B9A" w:rsidRPr="00617E4A" w:rsidRDefault="00327B9A" w:rsidP="00327B9A">
            <w:pPr>
              <w:pStyle w:val="ListParagraph"/>
              <w:numPr>
                <w:ilvl w:val="0"/>
                <w:numId w:val="451"/>
              </w:numPr>
              <w:overflowPunct/>
              <w:autoSpaceDE/>
              <w:autoSpaceDN/>
              <w:adjustRightInd/>
              <w:spacing w:after="0" w:line="276" w:lineRule="auto"/>
              <w:jc w:val="left"/>
              <w:textAlignment w:val="auto"/>
              <w:rPr>
                <w:highlight w:val="yellow"/>
              </w:rPr>
            </w:pPr>
            <w:r w:rsidRPr="00617E4A">
              <w:rPr>
                <w:highlight w:val="yellow"/>
              </w:rPr>
              <w:t>Outlook 2007, 2010, 2013 – 100,000 concurrent users</w:t>
            </w:r>
          </w:p>
          <w:p w:rsidR="00327B9A" w:rsidRPr="00617E4A" w:rsidRDefault="00327B9A" w:rsidP="00EA39CE">
            <w:pPr>
              <w:spacing w:after="0"/>
              <w:rPr>
                <w:highlight w:val="yellow"/>
              </w:rPr>
            </w:pPr>
          </w:p>
          <w:p w:rsidR="00327B9A" w:rsidRPr="00617E4A" w:rsidRDefault="00327B9A" w:rsidP="00EA39CE">
            <w:pPr>
              <w:spacing w:after="0"/>
              <w:rPr>
                <w:b/>
                <w:highlight w:val="yellow"/>
              </w:rPr>
            </w:pPr>
            <w:r w:rsidRPr="00617E4A">
              <w:rPr>
                <w:b/>
                <w:highlight w:val="yellow"/>
              </w:rPr>
              <w:t>Web Clients</w:t>
            </w:r>
          </w:p>
          <w:p w:rsidR="00327B9A" w:rsidRPr="00617E4A" w:rsidRDefault="00327B9A" w:rsidP="00EA39CE">
            <w:pPr>
              <w:spacing w:after="0"/>
              <w:rPr>
                <w:b/>
                <w:highlight w:val="yellow"/>
              </w:rPr>
            </w:pPr>
          </w:p>
          <w:p w:rsidR="00327B9A" w:rsidRPr="00617E4A" w:rsidRDefault="00327B9A" w:rsidP="00327B9A">
            <w:pPr>
              <w:pStyle w:val="ListParagraph"/>
              <w:numPr>
                <w:ilvl w:val="0"/>
                <w:numId w:val="451"/>
              </w:numPr>
              <w:overflowPunct/>
              <w:autoSpaceDE/>
              <w:autoSpaceDN/>
              <w:adjustRightInd/>
              <w:spacing w:after="0" w:line="276" w:lineRule="auto"/>
              <w:jc w:val="left"/>
              <w:textAlignment w:val="auto"/>
              <w:rPr>
                <w:b/>
                <w:highlight w:val="yellow"/>
              </w:rPr>
            </w:pPr>
            <w:r w:rsidRPr="00617E4A">
              <w:rPr>
                <w:highlight w:val="yellow"/>
              </w:rPr>
              <w:t>Internet Explorer 8</w:t>
            </w:r>
            <w:r w:rsidR="00F24792" w:rsidRPr="00617E4A">
              <w:rPr>
                <w:highlight w:val="yellow"/>
              </w:rPr>
              <w:t xml:space="preserve"> to </w:t>
            </w:r>
            <w:r w:rsidRPr="00617E4A">
              <w:rPr>
                <w:highlight w:val="yellow"/>
              </w:rPr>
              <w:t>12 – 80% of web traffic.</w:t>
            </w:r>
          </w:p>
          <w:p w:rsidR="00327B9A" w:rsidRPr="00617E4A" w:rsidRDefault="00327B9A" w:rsidP="00327B9A">
            <w:pPr>
              <w:pStyle w:val="ListParagraph"/>
              <w:numPr>
                <w:ilvl w:val="0"/>
                <w:numId w:val="451"/>
              </w:numPr>
              <w:overflowPunct/>
              <w:autoSpaceDE/>
              <w:autoSpaceDN/>
              <w:adjustRightInd/>
              <w:spacing w:after="0" w:line="276" w:lineRule="auto"/>
              <w:jc w:val="left"/>
              <w:textAlignment w:val="auto"/>
              <w:rPr>
                <w:b/>
                <w:highlight w:val="yellow"/>
              </w:rPr>
            </w:pPr>
            <w:r w:rsidRPr="00617E4A">
              <w:rPr>
                <w:highlight w:val="yellow"/>
              </w:rPr>
              <w:t>Chrome – 10% of web traffic.</w:t>
            </w:r>
          </w:p>
          <w:p w:rsidR="00327B9A" w:rsidRPr="00617E4A" w:rsidRDefault="00327B9A" w:rsidP="00327B9A">
            <w:pPr>
              <w:pStyle w:val="ListParagraph"/>
              <w:numPr>
                <w:ilvl w:val="0"/>
                <w:numId w:val="451"/>
              </w:numPr>
              <w:overflowPunct/>
              <w:autoSpaceDE/>
              <w:autoSpaceDN/>
              <w:adjustRightInd/>
              <w:spacing w:after="0" w:line="276" w:lineRule="auto"/>
              <w:jc w:val="left"/>
              <w:textAlignment w:val="auto"/>
              <w:rPr>
                <w:b/>
                <w:highlight w:val="yellow"/>
              </w:rPr>
            </w:pPr>
            <w:r w:rsidRPr="00617E4A">
              <w:rPr>
                <w:highlight w:val="yellow"/>
              </w:rPr>
              <w:t>Safari – 5% of web traffic.</w:t>
            </w:r>
          </w:p>
          <w:p w:rsidR="00327B9A" w:rsidRPr="00617E4A" w:rsidRDefault="00327B9A" w:rsidP="00327B9A">
            <w:pPr>
              <w:pStyle w:val="ListParagraph"/>
              <w:numPr>
                <w:ilvl w:val="0"/>
                <w:numId w:val="451"/>
              </w:numPr>
              <w:overflowPunct/>
              <w:autoSpaceDE/>
              <w:autoSpaceDN/>
              <w:adjustRightInd/>
              <w:spacing w:after="0" w:line="276" w:lineRule="auto"/>
              <w:jc w:val="left"/>
              <w:textAlignment w:val="auto"/>
              <w:rPr>
                <w:b/>
                <w:highlight w:val="yellow"/>
              </w:rPr>
            </w:pPr>
            <w:r w:rsidRPr="00617E4A">
              <w:rPr>
                <w:highlight w:val="yellow"/>
              </w:rPr>
              <w:t>Firefox – 2% of web traffic.</w:t>
            </w:r>
          </w:p>
          <w:p w:rsidR="001A1A37" w:rsidRPr="00617E4A" w:rsidRDefault="001A1A37" w:rsidP="00327B9A">
            <w:pPr>
              <w:pStyle w:val="ListParagraph"/>
              <w:numPr>
                <w:ilvl w:val="0"/>
                <w:numId w:val="451"/>
              </w:numPr>
              <w:overflowPunct/>
              <w:autoSpaceDE/>
              <w:autoSpaceDN/>
              <w:adjustRightInd/>
              <w:spacing w:after="0" w:line="276" w:lineRule="auto"/>
              <w:jc w:val="left"/>
              <w:textAlignment w:val="auto"/>
              <w:rPr>
                <w:b/>
                <w:highlight w:val="yellow"/>
              </w:rPr>
            </w:pPr>
            <w:r w:rsidRPr="00617E4A">
              <w:rPr>
                <w:highlight w:val="yellow"/>
              </w:rPr>
              <w:t>Other – 3%</w:t>
            </w:r>
          </w:p>
          <w:p w:rsidR="00327B9A" w:rsidRPr="00617E4A" w:rsidRDefault="00327B9A" w:rsidP="00EA39CE">
            <w:pPr>
              <w:spacing w:after="0"/>
              <w:rPr>
                <w:b/>
                <w:highlight w:val="yellow"/>
              </w:rPr>
            </w:pPr>
          </w:p>
          <w:p w:rsidR="00327B9A" w:rsidRPr="00617E4A" w:rsidRDefault="00327B9A" w:rsidP="00EA39CE">
            <w:pPr>
              <w:spacing w:after="0"/>
              <w:rPr>
                <w:highlight w:val="yellow"/>
              </w:rPr>
            </w:pPr>
            <w:r w:rsidRPr="00617E4A">
              <w:rPr>
                <w:highlight w:val="yellow"/>
              </w:rPr>
              <w:t xml:space="preserve">Overall web usage is </w:t>
            </w:r>
            <w:r w:rsidR="005E3D41">
              <w:rPr>
                <w:highlight w:val="yellow"/>
              </w:rPr>
              <w:t>1</w:t>
            </w:r>
            <w:r w:rsidRPr="00617E4A">
              <w:rPr>
                <w:highlight w:val="yellow"/>
              </w:rPr>
              <w:t>00,000 concurrent users.</w:t>
            </w:r>
          </w:p>
          <w:p w:rsidR="00327B9A" w:rsidRPr="00617E4A" w:rsidRDefault="00327B9A" w:rsidP="00EA39CE">
            <w:pPr>
              <w:spacing w:after="0"/>
              <w:rPr>
                <w:highlight w:val="yellow"/>
              </w:rPr>
            </w:pPr>
          </w:p>
          <w:p w:rsidR="00327B9A" w:rsidRPr="00617E4A" w:rsidRDefault="00327B9A" w:rsidP="00EA39CE">
            <w:pPr>
              <w:spacing w:after="0"/>
              <w:rPr>
                <w:b/>
                <w:highlight w:val="yellow"/>
              </w:rPr>
            </w:pPr>
            <w:r w:rsidRPr="00617E4A">
              <w:rPr>
                <w:b/>
                <w:highlight w:val="yellow"/>
              </w:rPr>
              <w:t>Other</w:t>
            </w:r>
          </w:p>
          <w:p w:rsidR="00327B9A" w:rsidRPr="00617E4A" w:rsidRDefault="00327B9A" w:rsidP="00EA39CE">
            <w:pPr>
              <w:spacing w:after="0"/>
              <w:rPr>
                <w:highlight w:val="yellow"/>
              </w:rPr>
            </w:pPr>
          </w:p>
          <w:p w:rsidR="00327B9A" w:rsidRPr="00617E4A" w:rsidRDefault="00327B9A" w:rsidP="00327B9A">
            <w:pPr>
              <w:pStyle w:val="ListParagraph"/>
              <w:numPr>
                <w:ilvl w:val="0"/>
                <w:numId w:val="452"/>
              </w:numPr>
              <w:overflowPunct/>
              <w:autoSpaceDE/>
              <w:autoSpaceDN/>
              <w:adjustRightInd/>
              <w:spacing w:after="0" w:line="276" w:lineRule="auto"/>
              <w:jc w:val="left"/>
              <w:textAlignment w:val="auto"/>
              <w:rPr>
                <w:highlight w:val="yellow"/>
              </w:rPr>
            </w:pPr>
            <w:r w:rsidRPr="00617E4A">
              <w:rPr>
                <w:highlight w:val="yellow"/>
              </w:rPr>
              <w:t>Mobile devices - 40,000 concurrent users.</w:t>
            </w:r>
          </w:p>
          <w:p w:rsidR="00327B9A" w:rsidRPr="00617E4A" w:rsidRDefault="00327B9A" w:rsidP="00327B9A">
            <w:pPr>
              <w:pStyle w:val="ListParagraph"/>
              <w:numPr>
                <w:ilvl w:val="0"/>
                <w:numId w:val="452"/>
              </w:numPr>
              <w:overflowPunct/>
              <w:autoSpaceDE/>
              <w:autoSpaceDN/>
              <w:adjustRightInd/>
              <w:spacing w:after="0" w:line="276" w:lineRule="auto"/>
              <w:jc w:val="left"/>
              <w:textAlignment w:val="auto"/>
              <w:rPr>
                <w:highlight w:val="yellow"/>
              </w:rPr>
            </w:pPr>
            <w:r w:rsidRPr="00617E4A">
              <w:rPr>
                <w:highlight w:val="yellow"/>
              </w:rPr>
              <w:t>Applications – 10,000 concurrent users.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lastRenderedPageBreak/>
              <w:t>2</w:t>
            </w:r>
          </w:p>
        </w:tc>
        <w:tc>
          <w:tcPr>
            <w:tcW w:w="2977" w:type="dxa"/>
          </w:tcPr>
          <w:p w:rsidR="00327B9A" w:rsidRPr="00617E4A" w:rsidRDefault="00327B9A" w:rsidP="00EA39CE">
            <w:pPr>
              <w:spacing w:after="0"/>
              <w:rPr>
                <w:highlight w:val="yellow"/>
              </w:rPr>
            </w:pPr>
            <w:r w:rsidRPr="00617E4A">
              <w:rPr>
                <w:highlight w:val="yellow"/>
              </w:rPr>
              <w:t>Network</w:t>
            </w:r>
          </w:p>
        </w:tc>
        <w:tc>
          <w:tcPr>
            <w:tcW w:w="4995" w:type="dxa"/>
          </w:tcPr>
          <w:p w:rsidR="00327B9A" w:rsidRPr="00617E4A" w:rsidRDefault="00327B9A" w:rsidP="00EA39CE">
            <w:pPr>
              <w:spacing w:after="0"/>
              <w:rPr>
                <w:highlight w:val="yellow"/>
              </w:rPr>
            </w:pPr>
            <w:r w:rsidRPr="00617E4A">
              <w:rPr>
                <w:highlight w:val="yellow"/>
              </w:rPr>
              <w:t xml:space="preserve">The supplier will use N3, GSI and/or PSN network connections which will be provided by the </w:t>
            </w:r>
            <w:r w:rsidR="001A0B07">
              <w:rPr>
                <w:highlight w:val="yellow"/>
              </w:rPr>
              <w:t>Contracting Body</w:t>
            </w:r>
            <w:r w:rsidRPr="00617E4A">
              <w:rPr>
                <w:highlight w:val="yellow"/>
              </w:rPr>
              <w:t>. This should not be priced in the response.</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The supplier will provide an Internet gateway sized for 50% of the overall traffic. An internet network connection will not be provided.</w:t>
            </w:r>
          </w:p>
        </w:tc>
      </w:tr>
    </w:tbl>
    <w:p w:rsidR="00327B9A" w:rsidRPr="00617E4A" w:rsidRDefault="00327B9A" w:rsidP="00327B9A">
      <w:pPr>
        <w:pStyle w:val="GPSL4numberedclause"/>
        <w:numPr>
          <w:ilvl w:val="3"/>
          <w:numId w:val="323"/>
        </w:numPr>
        <w:rPr>
          <w:highlight w:val="yellow"/>
        </w:rPr>
      </w:pPr>
      <w:r w:rsidRPr="00617E4A">
        <w:rPr>
          <w:highlight w:val="yellow"/>
        </w:rPr>
        <w:t>Administration</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Administrators</w:t>
            </w:r>
          </w:p>
        </w:tc>
        <w:tc>
          <w:tcPr>
            <w:tcW w:w="4995" w:type="dxa"/>
          </w:tcPr>
          <w:p w:rsidR="00327B9A" w:rsidRPr="00617E4A" w:rsidRDefault="00327B9A" w:rsidP="00EA39CE">
            <w:pPr>
              <w:spacing w:after="0"/>
              <w:rPr>
                <w:highlight w:val="yellow"/>
              </w:rPr>
            </w:pPr>
            <w:r w:rsidRPr="00617E4A">
              <w:rPr>
                <w:highlight w:val="yellow"/>
              </w:rPr>
              <w:t xml:space="preserve">The Service shall support a minimum of 50,000 administrators with 20,000 of these supporting multiple organisations. Administrator accounts will be nominated by the </w:t>
            </w:r>
            <w:r w:rsidR="001A0B07">
              <w:rPr>
                <w:highlight w:val="yellow"/>
              </w:rPr>
              <w:t>Contracting Body</w:t>
            </w:r>
            <w:r w:rsidRPr="00617E4A">
              <w:rPr>
                <w:highlight w:val="yellow"/>
              </w:rPr>
              <w:t>.</w:t>
            </w:r>
          </w:p>
        </w:tc>
      </w:tr>
      <w:tr w:rsidR="00327B9A" w:rsidRPr="00617E4A" w:rsidTr="00EA39CE">
        <w:tc>
          <w:tcPr>
            <w:tcW w:w="675" w:type="dxa"/>
          </w:tcPr>
          <w:p w:rsidR="00327B9A" w:rsidRPr="00617E4A" w:rsidRDefault="004F2558" w:rsidP="00EA39CE">
            <w:pPr>
              <w:spacing w:after="0"/>
              <w:rPr>
                <w:highlight w:val="yellow"/>
              </w:rPr>
            </w:pPr>
            <w:r>
              <w:rPr>
                <w:highlight w:val="yellow"/>
              </w:rPr>
              <w:t>2</w:t>
            </w:r>
          </w:p>
        </w:tc>
        <w:tc>
          <w:tcPr>
            <w:tcW w:w="2977" w:type="dxa"/>
          </w:tcPr>
          <w:p w:rsidR="00327B9A" w:rsidRPr="00617E4A" w:rsidRDefault="00327B9A" w:rsidP="00EA39CE">
            <w:pPr>
              <w:spacing w:after="0"/>
              <w:rPr>
                <w:highlight w:val="yellow"/>
              </w:rPr>
            </w:pPr>
            <w:r w:rsidRPr="00617E4A">
              <w:rPr>
                <w:highlight w:val="yellow"/>
              </w:rPr>
              <w:t>Email Address Reuse</w:t>
            </w:r>
          </w:p>
        </w:tc>
        <w:tc>
          <w:tcPr>
            <w:tcW w:w="4995" w:type="dxa"/>
          </w:tcPr>
          <w:p w:rsidR="00327B9A" w:rsidRPr="00617E4A" w:rsidRDefault="00327B9A" w:rsidP="00EA39CE">
            <w:pPr>
              <w:spacing w:after="0"/>
              <w:rPr>
                <w:highlight w:val="yellow"/>
              </w:rPr>
            </w:pPr>
            <w:r w:rsidRPr="00617E4A">
              <w:rPr>
                <w:highlight w:val="yellow"/>
              </w:rPr>
              <w:t xml:space="preserve">Email addresses can be </w:t>
            </w:r>
            <w:r w:rsidR="003F4EB5">
              <w:rPr>
                <w:highlight w:val="yellow"/>
              </w:rPr>
              <w:t>re-</w:t>
            </w:r>
            <w:r w:rsidRPr="00617E4A">
              <w:rPr>
                <w:highlight w:val="yellow"/>
              </w:rPr>
              <w:t>used after 2 years from deletion.</w:t>
            </w:r>
          </w:p>
        </w:tc>
      </w:tr>
    </w:tbl>
    <w:p w:rsidR="00327B9A" w:rsidRPr="00617E4A" w:rsidRDefault="00327B9A" w:rsidP="00327B9A">
      <w:pPr>
        <w:pStyle w:val="GPSL4numberedclause"/>
        <w:numPr>
          <w:ilvl w:val="3"/>
          <w:numId w:val="323"/>
        </w:numPr>
        <w:rPr>
          <w:highlight w:val="yellow"/>
        </w:rPr>
      </w:pPr>
      <w:proofErr w:type="spellStart"/>
      <w:r w:rsidRPr="00617E4A">
        <w:rPr>
          <w:highlight w:val="yellow"/>
        </w:rPr>
        <w:t>Onboarding</w:t>
      </w:r>
      <w:proofErr w:type="spellEnd"/>
      <w:r w:rsidRPr="00617E4A">
        <w:rPr>
          <w:highlight w:val="yellow"/>
        </w:rPr>
        <w:t xml:space="preserve"> and </w:t>
      </w:r>
      <w:proofErr w:type="spellStart"/>
      <w:r w:rsidRPr="00617E4A">
        <w:rPr>
          <w:highlight w:val="yellow"/>
        </w:rPr>
        <w:t>Offboarding</w:t>
      </w:r>
      <w:proofErr w:type="spellEnd"/>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 xml:space="preserve">Email Accounts </w:t>
            </w:r>
            <w:proofErr w:type="spellStart"/>
            <w:r w:rsidRPr="00617E4A">
              <w:rPr>
                <w:highlight w:val="yellow"/>
              </w:rPr>
              <w:t>Onboarding</w:t>
            </w:r>
            <w:proofErr w:type="spellEnd"/>
          </w:p>
        </w:tc>
        <w:tc>
          <w:tcPr>
            <w:tcW w:w="4995" w:type="dxa"/>
          </w:tcPr>
          <w:p w:rsidR="00327B9A" w:rsidRPr="00617E4A" w:rsidRDefault="00327B9A" w:rsidP="00EA39CE">
            <w:pPr>
              <w:spacing w:after="0"/>
              <w:rPr>
                <w:highlight w:val="yellow"/>
              </w:rPr>
            </w:pPr>
            <w:r w:rsidRPr="00617E4A">
              <w:rPr>
                <w:highlight w:val="yellow"/>
              </w:rPr>
              <w:t>The supplier will provide whole life costs for moving from a like (i.e. the same underlying IT application and version as the supplier is proposing) service</w:t>
            </w:r>
            <w:r w:rsidR="007377D8" w:rsidRPr="00617E4A">
              <w:rPr>
                <w:highlight w:val="yellow"/>
              </w:rPr>
              <w:t>.</w:t>
            </w:r>
          </w:p>
          <w:p w:rsidR="00327B9A" w:rsidRPr="00617E4A" w:rsidRDefault="00327B9A" w:rsidP="00EA39CE">
            <w:pPr>
              <w:spacing w:after="0"/>
              <w:rPr>
                <w:highlight w:val="yellow"/>
              </w:rPr>
            </w:pP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The supplier should assume that they cannot install co-located hardware in the incumbent but can install software on the incumbent servers. Network connectivity between the supplier and the incumbent will be provided free of charge and not included in the costs.</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The supplier should assume that the incumbent, network and associated infrastructure have sufficient capacity to meet their migration needs.</w:t>
            </w:r>
          </w:p>
          <w:p w:rsidR="00327B9A" w:rsidRPr="00617E4A" w:rsidRDefault="00327B9A" w:rsidP="00EA39CE">
            <w:pPr>
              <w:spacing w:after="0"/>
              <w:rPr>
                <w:highlight w:val="yellow"/>
              </w:rPr>
            </w:pP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lastRenderedPageBreak/>
              <w:t>2</w:t>
            </w:r>
          </w:p>
        </w:tc>
        <w:tc>
          <w:tcPr>
            <w:tcW w:w="2977" w:type="dxa"/>
          </w:tcPr>
          <w:p w:rsidR="00327B9A" w:rsidRPr="00617E4A" w:rsidRDefault="00327B9A" w:rsidP="00EA39CE">
            <w:pPr>
              <w:spacing w:after="0"/>
              <w:rPr>
                <w:highlight w:val="yellow"/>
              </w:rPr>
            </w:pPr>
            <w:r w:rsidRPr="00617E4A">
              <w:rPr>
                <w:highlight w:val="yellow"/>
              </w:rPr>
              <w:t xml:space="preserve">Email Accounts </w:t>
            </w:r>
            <w:proofErr w:type="spellStart"/>
            <w:r w:rsidRPr="00617E4A">
              <w:rPr>
                <w:highlight w:val="yellow"/>
              </w:rPr>
              <w:t>Offboarding</w:t>
            </w:r>
            <w:proofErr w:type="spellEnd"/>
          </w:p>
        </w:tc>
        <w:tc>
          <w:tcPr>
            <w:tcW w:w="4995" w:type="dxa"/>
          </w:tcPr>
          <w:p w:rsidR="00327B9A" w:rsidRPr="00617E4A" w:rsidRDefault="00327B9A" w:rsidP="00EA39CE">
            <w:pPr>
              <w:spacing w:after="0"/>
              <w:rPr>
                <w:highlight w:val="yellow"/>
              </w:rPr>
            </w:pPr>
            <w:r w:rsidRPr="00617E4A">
              <w:rPr>
                <w:highlight w:val="yellow"/>
              </w:rPr>
              <w:t xml:space="preserve">The supplier will provide whole life costs for moving from the Service to a like (i.e. the same underlying IT application and version as the supplier is proposing) service for the user accounts. </w:t>
            </w:r>
          </w:p>
          <w:p w:rsidR="00327B9A" w:rsidRPr="00617E4A" w:rsidRDefault="00327B9A" w:rsidP="00EA39CE">
            <w:pPr>
              <w:spacing w:after="0"/>
              <w:rPr>
                <w:highlight w:val="yellow"/>
              </w:rPr>
            </w:pP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 xml:space="preserve">The supplier should assume that they cannot install co-located hardware in the new supplier but can install software on the supplier’s servers. Network connectivity between the suppliers will be provided free of charge and not included in the </w:t>
            </w:r>
            <w:proofErr w:type="spellStart"/>
            <w:r w:rsidRPr="00617E4A">
              <w:rPr>
                <w:highlight w:val="yellow"/>
              </w:rPr>
              <w:t>costings</w:t>
            </w:r>
            <w:proofErr w:type="spellEnd"/>
            <w:r w:rsidRPr="00617E4A">
              <w:rPr>
                <w:highlight w:val="yellow"/>
              </w:rPr>
              <w:t>.</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The supplier should assume that the new supplier, network and associated infrastructure has sufficient capacity to meet their migration needs.</w:t>
            </w:r>
          </w:p>
          <w:p w:rsidR="00327B9A" w:rsidRPr="00617E4A" w:rsidRDefault="00327B9A" w:rsidP="00EA39CE">
            <w:pPr>
              <w:spacing w:after="0"/>
              <w:rPr>
                <w:highlight w:val="yellow"/>
              </w:rPr>
            </w:pPr>
          </w:p>
        </w:tc>
      </w:tr>
    </w:tbl>
    <w:p w:rsidR="00327B9A" w:rsidRPr="00617E4A" w:rsidRDefault="00327B9A" w:rsidP="00327B9A">
      <w:pPr>
        <w:pStyle w:val="GPSL4numberedclause"/>
        <w:numPr>
          <w:ilvl w:val="3"/>
          <w:numId w:val="323"/>
        </w:numPr>
        <w:rPr>
          <w:highlight w:val="yellow"/>
        </w:rPr>
      </w:pPr>
      <w:r w:rsidRPr="00617E4A">
        <w:rPr>
          <w:highlight w:val="yellow"/>
        </w:rPr>
        <w:t xml:space="preserve">Information Security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GPMS level</w:t>
            </w:r>
          </w:p>
        </w:tc>
        <w:tc>
          <w:tcPr>
            <w:tcW w:w="4995" w:type="dxa"/>
          </w:tcPr>
          <w:p w:rsidR="00327B9A" w:rsidRPr="00617E4A" w:rsidRDefault="00327B9A" w:rsidP="00EA39CE">
            <w:pPr>
              <w:spacing w:after="0"/>
              <w:rPr>
                <w:highlight w:val="yellow"/>
              </w:rPr>
            </w:pPr>
            <w:r w:rsidRPr="00617E4A">
              <w:rPr>
                <w:highlight w:val="yellow"/>
              </w:rPr>
              <w:t>There is an equal balance of information contained within the system at OFFICIAL and OFFICIAL – SENSITIVE.</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2</w:t>
            </w:r>
          </w:p>
        </w:tc>
        <w:tc>
          <w:tcPr>
            <w:tcW w:w="2977" w:type="dxa"/>
          </w:tcPr>
          <w:p w:rsidR="00327B9A" w:rsidRPr="00617E4A" w:rsidRDefault="00327B9A" w:rsidP="00EA39CE">
            <w:pPr>
              <w:spacing w:after="0"/>
              <w:rPr>
                <w:highlight w:val="yellow"/>
              </w:rPr>
            </w:pPr>
            <w:r w:rsidRPr="00617E4A">
              <w:rPr>
                <w:highlight w:val="yellow"/>
              </w:rPr>
              <w:t>Pan-Government Accreditation</w:t>
            </w:r>
          </w:p>
        </w:tc>
        <w:tc>
          <w:tcPr>
            <w:tcW w:w="4995" w:type="dxa"/>
          </w:tcPr>
          <w:p w:rsidR="00327B9A" w:rsidRPr="00617E4A" w:rsidRDefault="00327B9A" w:rsidP="00EA39CE">
            <w:pPr>
              <w:spacing w:after="0"/>
              <w:rPr>
                <w:highlight w:val="yellow"/>
              </w:rPr>
            </w:pPr>
            <w:r w:rsidRPr="00617E4A">
              <w:rPr>
                <w:highlight w:val="yellow"/>
              </w:rPr>
              <w:t xml:space="preserve">The Service will be accredited to IL2 noting that the intention is to move to the new protective marking scheme aligning with the baseline control set </w:t>
            </w:r>
            <w:r w:rsidR="003D321E">
              <w:rPr>
                <w:highlight w:val="yellow"/>
              </w:rPr>
              <w:t>(Annex 1 of this Framework Schedule 2)</w:t>
            </w:r>
            <w:r w:rsidRPr="00617E4A">
              <w:rPr>
                <w:highlight w:val="yellow"/>
              </w:rPr>
              <w:t xml:space="preserve"> and OFFICIAL – SENSITIVE.</w:t>
            </w:r>
          </w:p>
        </w:tc>
      </w:tr>
    </w:tbl>
    <w:p w:rsidR="00327B9A" w:rsidRPr="00617E4A" w:rsidRDefault="00327B9A" w:rsidP="00327B9A">
      <w:pPr>
        <w:pStyle w:val="GPSL4numberedclause"/>
        <w:numPr>
          <w:ilvl w:val="3"/>
          <w:numId w:val="323"/>
        </w:numPr>
        <w:rPr>
          <w:highlight w:val="yellow"/>
        </w:rPr>
      </w:pPr>
      <w:r w:rsidRPr="00617E4A">
        <w:rPr>
          <w:highlight w:val="yellow"/>
        </w:rPr>
        <w:t>Service Management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Availability</w:t>
            </w:r>
          </w:p>
        </w:tc>
        <w:tc>
          <w:tcPr>
            <w:tcW w:w="4995" w:type="dxa"/>
          </w:tcPr>
          <w:p w:rsidR="00CD158F" w:rsidRDefault="00327B9A">
            <w:pPr>
              <w:spacing w:after="0"/>
              <w:rPr>
                <w:highlight w:val="yellow"/>
              </w:rPr>
            </w:pPr>
            <w:r w:rsidRPr="00617E4A">
              <w:rPr>
                <w:highlight w:val="yellow"/>
              </w:rPr>
              <w:t>99.9</w:t>
            </w:r>
            <w:r w:rsidR="00AB50D8">
              <w:rPr>
                <w:highlight w:val="yellow"/>
              </w:rPr>
              <w:t>0</w:t>
            </w:r>
            <w:r w:rsidRPr="00617E4A">
              <w:rPr>
                <w:highlight w:val="yellow"/>
              </w:rPr>
              <w: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2</w:t>
            </w:r>
          </w:p>
        </w:tc>
        <w:tc>
          <w:tcPr>
            <w:tcW w:w="2977" w:type="dxa"/>
          </w:tcPr>
          <w:p w:rsidR="00327B9A" w:rsidRPr="00617E4A" w:rsidRDefault="00327B9A" w:rsidP="00EA39CE">
            <w:pPr>
              <w:spacing w:after="0"/>
              <w:rPr>
                <w:highlight w:val="yellow"/>
              </w:rPr>
            </w:pPr>
            <w:r w:rsidRPr="00617E4A">
              <w:rPr>
                <w:highlight w:val="yellow"/>
              </w:rPr>
              <w:t>Call Answer time</w:t>
            </w:r>
          </w:p>
        </w:tc>
        <w:tc>
          <w:tcPr>
            <w:tcW w:w="4995" w:type="dxa"/>
          </w:tcPr>
          <w:p w:rsidR="00327B9A" w:rsidRPr="00617E4A" w:rsidRDefault="00327B9A" w:rsidP="00EA39CE">
            <w:pPr>
              <w:spacing w:after="0"/>
              <w:rPr>
                <w:highlight w:val="yellow"/>
              </w:rPr>
            </w:pPr>
            <w:r w:rsidRPr="00617E4A">
              <w:rPr>
                <w:highlight w:val="yellow"/>
              </w:rPr>
              <w:t>90% answered within 20 seconds. 95% answered within 40 seconds.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3</w:t>
            </w:r>
          </w:p>
        </w:tc>
        <w:tc>
          <w:tcPr>
            <w:tcW w:w="2977" w:type="dxa"/>
          </w:tcPr>
          <w:p w:rsidR="00327B9A" w:rsidRPr="00617E4A" w:rsidRDefault="00C23E55" w:rsidP="00EA39CE">
            <w:pPr>
              <w:spacing w:after="0"/>
              <w:rPr>
                <w:highlight w:val="yellow"/>
              </w:rPr>
            </w:pPr>
            <w:r>
              <w:rPr>
                <w:highlight w:val="yellow"/>
              </w:rPr>
              <w:t>Service D</w:t>
            </w:r>
            <w:r w:rsidR="00327B9A" w:rsidRPr="00617E4A">
              <w:rPr>
                <w:highlight w:val="yellow"/>
              </w:rPr>
              <w:t>esk Email Response Time</w:t>
            </w:r>
          </w:p>
        </w:tc>
        <w:tc>
          <w:tcPr>
            <w:tcW w:w="4995" w:type="dxa"/>
          </w:tcPr>
          <w:p w:rsidR="00327B9A" w:rsidRPr="00617E4A" w:rsidRDefault="00327B9A" w:rsidP="00EA39CE">
            <w:pPr>
              <w:spacing w:after="0"/>
              <w:rPr>
                <w:highlight w:val="yellow"/>
              </w:rPr>
            </w:pPr>
            <w:r w:rsidRPr="00617E4A">
              <w:rPr>
                <w:highlight w:val="yellow"/>
              </w:rPr>
              <w:t>90% responded within 60 minutes. 99% responded within 2 hours.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4</w:t>
            </w:r>
          </w:p>
        </w:tc>
        <w:tc>
          <w:tcPr>
            <w:tcW w:w="2977" w:type="dxa"/>
          </w:tcPr>
          <w:p w:rsidR="00327B9A" w:rsidRPr="00617E4A" w:rsidRDefault="00327B9A" w:rsidP="00EA39CE">
            <w:pPr>
              <w:spacing w:after="0"/>
              <w:rPr>
                <w:highlight w:val="yellow"/>
              </w:rPr>
            </w:pPr>
            <w:r w:rsidRPr="00617E4A">
              <w:rPr>
                <w:highlight w:val="yellow"/>
              </w:rPr>
              <w:t>Abandoned calls</w:t>
            </w:r>
          </w:p>
        </w:tc>
        <w:tc>
          <w:tcPr>
            <w:tcW w:w="4995" w:type="dxa"/>
          </w:tcPr>
          <w:p w:rsidR="00327B9A" w:rsidRPr="00617E4A" w:rsidRDefault="00327B9A" w:rsidP="00EA39CE">
            <w:pPr>
              <w:spacing w:after="0"/>
              <w:rPr>
                <w:highlight w:val="yellow"/>
              </w:rPr>
            </w:pPr>
            <w:r w:rsidRPr="00617E4A">
              <w:rPr>
                <w:highlight w:val="yellow"/>
              </w:rPr>
              <w:t>&lt; 5%</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5</w:t>
            </w:r>
          </w:p>
        </w:tc>
        <w:tc>
          <w:tcPr>
            <w:tcW w:w="2977" w:type="dxa"/>
          </w:tcPr>
          <w:p w:rsidR="00327B9A" w:rsidRPr="00617E4A" w:rsidRDefault="00327B9A" w:rsidP="00EA39CE">
            <w:pPr>
              <w:spacing w:after="0"/>
              <w:rPr>
                <w:highlight w:val="yellow"/>
              </w:rPr>
            </w:pPr>
            <w:r w:rsidRPr="00617E4A">
              <w:rPr>
                <w:highlight w:val="yellow"/>
              </w:rPr>
              <w:t>First Time Fix</w:t>
            </w:r>
          </w:p>
        </w:tc>
        <w:tc>
          <w:tcPr>
            <w:tcW w:w="4995" w:type="dxa"/>
          </w:tcPr>
          <w:p w:rsidR="00327B9A" w:rsidRPr="00617E4A" w:rsidRDefault="00327B9A" w:rsidP="00EA39CE">
            <w:pPr>
              <w:spacing w:after="0"/>
              <w:rPr>
                <w:highlight w:val="yellow"/>
              </w:rPr>
            </w:pPr>
            <w:r w:rsidRPr="00617E4A">
              <w:rPr>
                <w:highlight w:val="yellow"/>
              </w:rPr>
              <w:t xml:space="preserve">% of incidents resolved by the </w:t>
            </w:r>
            <w:r w:rsidR="00C23E55">
              <w:rPr>
                <w:highlight w:val="yellow"/>
              </w:rPr>
              <w:t>Service D</w:t>
            </w:r>
            <w:r w:rsidRPr="00617E4A">
              <w:rPr>
                <w:highlight w:val="yellow"/>
              </w:rPr>
              <w:t>esk without the need for onward internal referral &gt;65%</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6</w:t>
            </w:r>
          </w:p>
        </w:tc>
        <w:tc>
          <w:tcPr>
            <w:tcW w:w="2977" w:type="dxa"/>
          </w:tcPr>
          <w:p w:rsidR="00327B9A" w:rsidRPr="00617E4A" w:rsidRDefault="00327B9A" w:rsidP="00EA39CE">
            <w:pPr>
              <w:spacing w:after="0"/>
              <w:rPr>
                <w:highlight w:val="yellow"/>
              </w:rPr>
            </w:pPr>
            <w:r w:rsidRPr="00617E4A">
              <w:rPr>
                <w:highlight w:val="yellow"/>
              </w:rPr>
              <w:t>Incident fix times</w:t>
            </w:r>
          </w:p>
        </w:tc>
        <w:tc>
          <w:tcPr>
            <w:tcW w:w="4995" w:type="dxa"/>
          </w:tcPr>
          <w:p w:rsidR="00327B9A" w:rsidRPr="00617E4A" w:rsidRDefault="00327B9A" w:rsidP="00EA39CE">
            <w:pPr>
              <w:spacing w:after="0"/>
              <w:rPr>
                <w:highlight w:val="yellow"/>
              </w:rPr>
            </w:pPr>
            <w:r w:rsidRPr="00617E4A">
              <w:rPr>
                <w:highlight w:val="yellow"/>
              </w:rPr>
              <w:t>Severity 1 fixes within 2 hours. Severity 2 within 4 hours.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7</w:t>
            </w:r>
          </w:p>
        </w:tc>
        <w:tc>
          <w:tcPr>
            <w:tcW w:w="2977" w:type="dxa"/>
          </w:tcPr>
          <w:p w:rsidR="00327B9A" w:rsidRPr="00617E4A" w:rsidRDefault="00327B9A" w:rsidP="00EA39CE">
            <w:pPr>
              <w:spacing w:after="0"/>
              <w:rPr>
                <w:highlight w:val="yellow"/>
              </w:rPr>
            </w:pPr>
            <w:r w:rsidRPr="00617E4A">
              <w:rPr>
                <w:highlight w:val="yellow"/>
              </w:rPr>
              <w:t>Application Response Times</w:t>
            </w:r>
          </w:p>
        </w:tc>
        <w:tc>
          <w:tcPr>
            <w:tcW w:w="4995" w:type="dxa"/>
          </w:tcPr>
          <w:p w:rsidR="00327B9A" w:rsidRPr="00617E4A" w:rsidRDefault="00327B9A" w:rsidP="00EA39CE">
            <w:pPr>
              <w:spacing w:after="0"/>
              <w:rPr>
                <w:highlight w:val="yellow"/>
              </w:rPr>
            </w:pPr>
            <w:r w:rsidRPr="00617E4A">
              <w:rPr>
                <w:highlight w:val="yellow"/>
              </w:rPr>
              <w:t>90% within 5s</w:t>
            </w:r>
          </w:p>
          <w:p w:rsidR="00327B9A" w:rsidRPr="00617E4A" w:rsidRDefault="00327B9A" w:rsidP="00EA39CE">
            <w:pPr>
              <w:spacing w:after="0"/>
              <w:rPr>
                <w:highlight w:val="yellow"/>
              </w:rPr>
            </w:pPr>
            <w:r w:rsidRPr="00617E4A">
              <w:rPr>
                <w:highlight w:val="yellow"/>
              </w:rPr>
              <w:t>95% within 15s</w:t>
            </w:r>
          </w:p>
          <w:p w:rsidR="00327B9A" w:rsidRPr="00617E4A" w:rsidRDefault="00327B9A" w:rsidP="00EA39CE">
            <w:pPr>
              <w:spacing w:after="0"/>
              <w:rPr>
                <w:highlight w:val="yellow"/>
              </w:rPr>
            </w:pPr>
            <w:r w:rsidRPr="00617E4A">
              <w:rPr>
                <w:highlight w:val="yellow"/>
              </w:rPr>
              <w:t>99% within 20s</w:t>
            </w:r>
          </w:p>
          <w:p w:rsidR="00327B9A" w:rsidRPr="00617E4A" w:rsidRDefault="00327B9A" w:rsidP="00EA39CE">
            <w:pPr>
              <w:spacing w:after="0"/>
              <w:rPr>
                <w:highlight w:val="yellow"/>
              </w:rPr>
            </w:pPr>
            <w:r w:rsidRPr="00617E4A">
              <w:rPr>
                <w:highlight w:val="yellow"/>
              </w:rPr>
              <w:t>100% within 45s</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8</w:t>
            </w:r>
          </w:p>
        </w:tc>
        <w:tc>
          <w:tcPr>
            <w:tcW w:w="2977" w:type="dxa"/>
          </w:tcPr>
          <w:p w:rsidR="00327B9A" w:rsidRPr="00617E4A" w:rsidRDefault="00327B9A" w:rsidP="00EA39CE">
            <w:pPr>
              <w:spacing w:after="0"/>
              <w:rPr>
                <w:highlight w:val="yellow"/>
              </w:rPr>
            </w:pPr>
            <w:r w:rsidRPr="00617E4A">
              <w:rPr>
                <w:highlight w:val="yellow"/>
              </w:rPr>
              <w:t xml:space="preserve">Service Desk </w:t>
            </w:r>
            <w:r w:rsidR="007C5976">
              <w:rPr>
                <w:highlight w:val="yellow"/>
              </w:rPr>
              <w:t xml:space="preserve">/ Service </w:t>
            </w:r>
            <w:r w:rsidRPr="00617E4A">
              <w:rPr>
                <w:highlight w:val="yellow"/>
              </w:rPr>
              <w:t>Hours</w:t>
            </w:r>
          </w:p>
        </w:tc>
        <w:tc>
          <w:tcPr>
            <w:tcW w:w="4995" w:type="dxa"/>
          </w:tcPr>
          <w:p w:rsidR="007C5976" w:rsidRDefault="007C5976" w:rsidP="007C5976">
            <w:pPr>
              <w:spacing w:before="60" w:after="60"/>
              <w:rPr>
                <w:highlight w:val="yellow"/>
              </w:rPr>
            </w:pPr>
            <w:r>
              <w:rPr>
                <w:highlight w:val="yellow"/>
              </w:rPr>
              <w:t>Customer administrators must have access to the Service Desk during the following Service Hours options:</w:t>
            </w:r>
          </w:p>
          <w:p w:rsidR="007C5976" w:rsidRDefault="007C5976" w:rsidP="007C5976">
            <w:pPr>
              <w:spacing w:before="60" w:after="60"/>
              <w:rPr>
                <w:highlight w:val="yellow"/>
              </w:rPr>
            </w:pPr>
          </w:p>
          <w:p w:rsidR="007C5976" w:rsidRPr="003A0549" w:rsidRDefault="007C5976" w:rsidP="007C5976">
            <w:pPr>
              <w:spacing w:before="60" w:after="60"/>
              <w:rPr>
                <w:highlight w:val="yellow"/>
              </w:rPr>
            </w:pPr>
            <w:r w:rsidRPr="00CF2409">
              <w:rPr>
                <w:highlight w:val="yellow"/>
              </w:rPr>
              <w:t>BASIC: 9am to 5pm, Monday to Friday, excluding Bank Holidays;</w:t>
            </w:r>
          </w:p>
          <w:p w:rsidR="007C5976" w:rsidRPr="003A0549" w:rsidRDefault="007C5976" w:rsidP="007C5976">
            <w:pPr>
              <w:spacing w:before="60" w:after="60"/>
              <w:rPr>
                <w:highlight w:val="yellow"/>
              </w:rPr>
            </w:pPr>
            <w:r w:rsidRPr="00CF2409">
              <w:rPr>
                <w:highlight w:val="yellow"/>
              </w:rPr>
              <w:t>STANDARD: 7am to 7pm, Monday to Saturday, including Bank Holidays; and</w:t>
            </w:r>
          </w:p>
          <w:p w:rsidR="007C5976" w:rsidRDefault="007C5976" w:rsidP="007C5976">
            <w:pPr>
              <w:spacing w:after="0"/>
              <w:rPr>
                <w:highlight w:val="yellow"/>
              </w:rPr>
            </w:pPr>
            <w:r w:rsidRPr="00CF2409">
              <w:rPr>
                <w:highlight w:val="yellow"/>
              </w:rPr>
              <w:t xml:space="preserve">ENHANCED: 24 </w:t>
            </w:r>
            <w:r>
              <w:rPr>
                <w:highlight w:val="yellow"/>
              </w:rPr>
              <w:t>hours per day / 7 days per week</w:t>
            </w:r>
          </w:p>
          <w:p w:rsidR="007C5976" w:rsidRDefault="007C5976" w:rsidP="007C5976">
            <w:pPr>
              <w:spacing w:after="0"/>
              <w:rPr>
                <w:highlight w:val="yellow"/>
              </w:rPr>
            </w:pPr>
          </w:p>
          <w:p w:rsidR="00327B9A" w:rsidRPr="00617E4A" w:rsidRDefault="007C5976" w:rsidP="007C5976">
            <w:pPr>
              <w:spacing w:after="0"/>
              <w:rPr>
                <w:highlight w:val="yellow"/>
              </w:rPr>
            </w:pPr>
            <w:r>
              <w:rPr>
                <w:highlight w:val="yellow"/>
              </w:rPr>
              <w:t>For the avoidance of doubt, customer users will not have access to the Service Desk.  A maximum of 10% of the customer’s total number of users can be classified as administrators.</w:t>
            </w:r>
          </w:p>
        </w:tc>
      </w:tr>
    </w:tbl>
    <w:p w:rsidR="00327B9A" w:rsidRPr="00617E4A" w:rsidRDefault="00327B9A" w:rsidP="00327B9A">
      <w:pPr>
        <w:pStyle w:val="GPSL4numberedclause"/>
        <w:numPr>
          <w:ilvl w:val="3"/>
          <w:numId w:val="323"/>
        </w:numPr>
        <w:rPr>
          <w:highlight w:val="yellow"/>
        </w:rPr>
      </w:pPr>
      <w:r w:rsidRPr="00617E4A">
        <w:rPr>
          <w:highlight w:val="yellow"/>
        </w:rPr>
        <w:lastRenderedPageBreak/>
        <w:t>Customer Service</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Training</w:t>
            </w:r>
          </w:p>
        </w:tc>
        <w:tc>
          <w:tcPr>
            <w:tcW w:w="4995" w:type="dxa"/>
          </w:tcPr>
          <w:p w:rsidR="00327B9A" w:rsidRPr="00617E4A" w:rsidRDefault="00327B9A" w:rsidP="00327B9A">
            <w:pPr>
              <w:pStyle w:val="ListParagraph"/>
              <w:numPr>
                <w:ilvl w:val="0"/>
                <w:numId w:val="453"/>
              </w:numPr>
              <w:overflowPunct/>
              <w:autoSpaceDE/>
              <w:autoSpaceDN/>
              <w:adjustRightInd/>
              <w:spacing w:after="0" w:line="276" w:lineRule="auto"/>
              <w:jc w:val="left"/>
              <w:textAlignment w:val="auto"/>
              <w:rPr>
                <w:highlight w:val="yellow"/>
              </w:rPr>
            </w:pPr>
            <w:r w:rsidRPr="00617E4A">
              <w:rPr>
                <w:highlight w:val="yellow"/>
              </w:rPr>
              <w:t>Online training and configuration guides for all users.</w:t>
            </w:r>
          </w:p>
          <w:p w:rsidR="00327B9A" w:rsidRPr="00617E4A" w:rsidRDefault="00327B9A" w:rsidP="00327B9A">
            <w:pPr>
              <w:pStyle w:val="ListParagraph"/>
              <w:numPr>
                <w:ilvl w:val="0"/>
                <w:numId w:val="453"/>
              </w:numPr>
              <w:overflowPunct/>
              <w:autoSpaceDE/>
              <w:autoSpaceDN/>
              <w:adjustRightInd/>
              <w:spacing w:after="0" w:line="276" w:lineRule="auto"/>
              <w:jc w:val="left"/>
              <w:textAlignment w:val="auto"/>
              <w:rPr>
                <w:highlight w:val="yellow"/>
              </w:rPr>
            </w:pPr>
            <w:r w:rsidRPr="00617E4A">
              <w:rPr>
                <w:highlight w:val="yellow"/>
              </w:rPr>
              <w:t>E-learning for 10% of user base (45,000 users).</w:t>
            </w:r>
          </w:p>
          <w:p w:rsidR="00327B9A" w:rsidRPr="00617E4A" w:rsidRDefault="00327B9A" w:rsidP="00EA39CE">
            <w:pPr>
              <w:spacing w:after="0"/>
              <w:rPr>
                <w:highlight w:val="yellow"/>
              </w:rPr>
            </w:pPr>
          </w:p>
          <w:p w:rsidR="00327B9A" w:rsidRPr="00617E4A" w:rsidRDefault="00327B9A" w:rsidP="00EA39CE">
            <w:pPr>
              <w:spacing w:after="0"/>
              <w:rPr>
                <w:highlight w:val="yellow"/>
              </w:rPr>
            </w:pPr>
            <w:r w:rsidRPr="00617E4A">
              <w:rPr>
                <w:highlight w:val="yellow"/>
              </w:rPr>
              <w:t>A training environment is not required.</w:t>
            </w:r>
          </w:p>
        </w:tc>
      </w:tr>
      <w:tr w:rsidR="00327B9A" w:rsidRPr="00617E4A" w:rsidTr="00EA39CE">
        <w:tc>
          <w:tcPr>
            <w:tcW w:w="675" w:type="dxa"/>
          </w:tcPr>
          <w:p w:rsidR="00327B9A" w:rsidRPr="00617E4A" w:rsidRDefault="00327B9A" w:rsidP="00EA39CE">
            <w:pPr>
              <w:spacing w:after="0"/>
              <w:rPr>
                <w:highlight w:val="yellow"/>
              </w:rPr>
            </w:pPr>
            <w:r w:rsidRPr="00617E4A">
              <w:rPr>
                <w:highlight w:val="yellow"/>
              </w:rPr>
              <w:t>2</w:t>
            </w:r>
          </w:p>
        </w:tc>
        <w:tc>
          <w:tcPr>
            <w:tcW w:w="2977" w:type="dxa"/>
          </w:tcPr>
          <w:p w:rsidR="00327B9A" w:rsidRPr="00617E4A" w:rsidRDefault="00327B9A" w:rsidP="00EA39CE">
            <w:pPr>
              <w:spacing w:after="0"/>
              <w:rPr>
                <w:highlight w:val="yellow"/>
              </w:rPr>
            </w:pPr>
            <w:r w:rsidRPr="00617E4A">
              <w:rPr>
                <w:highlight w:val="yellow"/>
              </w:rPr>
              <w:t>Purchase to Pay</w:t>
            </w:r>
          </w:p>
        </w:tc>
        <w:tc>
          <w:tcPr>
            <w:tcW w:w="4995" w:type="dxa"/>
          </w:tcPr>
          <w:p w:rsidR="00327B9A" w:rsidRPr="00617E4A" w:rsidRDefault="00327B9A" w:rsidP="00EA39CE">
            <w:pPr>
              <w:spacing w:after="0"/>
              <w:rPr>
                <w:highlight w:val="yellow"/>
              </w:rPr>
            </w:pPr>
            <w:r w:rsidRPr="00617E4A">
              <w:rPr>
                <w:highlight w:val="yellow"/>
              </w:rPr>
              <w:t xml:space="preserve">The Service at a minimum will support purchase to pay for additional services (e.g. larger </w:t>
            </w:r>
            <w:r w:rsidR="00B81364">
              <w:rPr>
                <w:highlight w:val="yellow"/>
              </w:rPr>
              <w:t>Mailbox</w:t>
            </w:r>
            <w:r w:rsidRPr="00617E4A">
              <w:rPr>
                <w:highlight w:val="yellow"/>
              </w:rPr>
              <w:t>es) for 10,000 organisations with per organisation billing.</w:t>
            </w:r>
          </w:p>
        </w:tc>
      </w:tr>
    </w:tbl>
    <w:p w:rsidR="00327B9A" w:rsidRPr="00617E4A" w:rsidRDefault="00327B9A" w:rsidP="00327B9A">
      <w:pPr>
        <w:pStyle w:val="GPSL4numberedclause"/>
        <w:numPr>
          <w:ilvl w:val="3"/>
          <w:numId w:val="323"/>
        </w:numPr>
        <w:rPr>
          <w:highlight w:val="yellow"/>
        </w:rPr>
      </w:pPr>
      <w:r w:rsidRPr="00617E4A">
        <w:rPr>
          <w:highlight w:val="yellow"/>
        </w:rPr>
        <w:t>Reporting</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995"/>
      </w:tblGrid>
      <w:tr w:rsidR="00327B9A" w:rsidRPr="00617E4A" w:rsidTr="00EA39CE">
        <w:tc>
          <w:tcPr>
            <w:tcW w:w="675" w:type="dxa"/>
            <w:shd w:val="pct12" w:color="auto" w:fill="auto"/>
          </w:tcPr>
          <w:p w:rsidR="00327B9A" w:rsidRPr="00617E4A" w:rsidRDefault="00327B9A" w:rsidP="00EA39CE">
            <w:pPr>
              <w:spacing w:after="0"/>
              <w:rPr>
                <w:b/>
                <w:highlight w:val="yellow"/>
              </w:rPr>
            </w:pPr>
            <w:proofErr w:type="spellStart"/>
            <w:r w:rsidRPr="00617E4A">
              <w:rPr>
                <w:b/>
                <w:highlight w:val="yellow"/>
              </w:rPr>
              <w:t>Req</w:t>
            </w:r>
            <w:proofErr w:type="spellEnd"/>
          </w:p>
        </w:tc>
        <w:tc>
          <w:tcPr>
            <w:tcW w:w="2977" w:type="dxa"/>
            <w:shd w:val="pct12" w:color="auto" w:fill="auto"/>
          </w:tcPr>
          <w:p w:rsidR="00327B9A" w:rsidRPr="00617E4A" w:rsidRDefault="00327B9A" w:rsidP="00EA39CE">
            <w:pPr>
              <w:spacing w:after="0"/>
              <w:rPr>
                <w:b/>
                <w:highlight w:val="yellow"/>
              </w:rPr>
            </w:pPr>
            <w:r w:rsidRPr="00617E4A">
              <w:rPr>
                <w:b/>
                <w:highlight w:val="yellow"/>
              </w:rPr>
              <w:t>Attribute</w:t>
            </w:r>
          </w:p>
        </w:tc>
        <w:tc>
          <w:tcPr>
            <w:tcW w:w="4995" w:type="dxa"/>
            <w:shd w:val="pct12" w:color="auto" w:fill="auto"/>
          </w:tcPr>
          <w:p w:rsidR="00327B9A" w:rsidRPr="00617E4A" w:rsidRDefault="00327B9A" w:rsidP="00EA39CE">
            <w:pPr>
              <w:spacing w:after="0"/>
              <w:rPr>
                <w:b/>
                <w:highlight w:val="yellow"/>
              </w:rPr>
            </w:pPr>
            <w:r w:rsidRPr="00617E4A">
              <w:rPr>
                <w:b/>
                <w:highlight w:val="yellow"/>
              </w:rPr>
              <w:t>Mandatory Service Package Requirement</w:t>
            </w:r>
          </w:p>
        </w:tc>
      </w:tr>
      <w:tr w:rsidR="00327B9A" w:rsidRPr="00E71316" w:rsidTr="00EA39CE">
        <w:tc>
          <w:tcPr>
            <w:tcW w:w="675" w:type="dxa"/>
          </w:tcPr>
          <w:p w:rsidR="00327B9A" w:rsidRPr="00617E4A" w:rsidRDefault="00327B9A" w:rsidP="00EA39CE">
            <w:pPr>
              <w:spacing w:after="0"/>
              <w:rPr>
                <w:highlight w:val="yellow"/>
              </w:rPr>
            </w:pPr>
            <w:r w:rsidRPr="00617E4A">
              <w:rPr>
                <w:highlight w:val="yellow"/>
              </w:rPr>
              <w:t>1</w:t>
            </w:r>
          </w:p>
        </w:tc>
        <w:tc>
          <w:tcPr>
            <w:tcW w:w="2977" w:type="dxa"/>
          </w:tcPr>
          <w:p w:rsidR="00327B9A" w:rsidRPr="00617E4A" w:rsidRDefault="00327B9A" w:rsidP="00EA39CE">
            <w:pPr>
              <w:spacing w:after="0"/>
              <w:rPr>
                <w:highlight w:val="yellow"/>
              </w:rPr>
            </w:pPr>
            <w:r w:rsidRPr="00617E4A">
              <w:rPr>
                <w:highlight w:val="yellow"/>
              </w:rPr>
              <w:t>Open Formats</w:t>
            </w:r>
          </w:p>
        </w:tc>
        <w:tc>
          <w:tcPr>
            <w:tcW w:w="4995" w:type="dxa"/>
          </w:tcPr>
          <w:p w:rsidR="00327B9A" w:rsidRPr="00E71316" w:rsidRDefault="00327B9A" w:rsidP="00EA39CE">
            <w:pPr>
              <w:spacing w:after="0"/>
            </w:pPr>
            <w:r w:rsidRPr="00617E4A">
              <w:rPr>
                <w:highlight w:val="yellow"/>
              </w:rPr>
              <w:t>The reports will be exportable to CSV, XLSX, ODF and PDF.</w:t>
            </w:r>
          </w:p>
        </w:tc>
      </w:tr>
    </w:tbl>
    <w:p w:rsidR="003600EB" w:rsidRDefault="003600EB" w:rsidP="00DF33DC">
      <w:pPr>
        <w:pStyle w:val="GPSL5numberedclause"/>
        <w:numPr>
          <w:ilvl w:val="0"/>
          <w:numId w:val="0"/>
        </w:numPr>
        <w:ind w:left="3774"/>
      </w:pPr>
    </w:p>
    <w:p w:rsidR="00355CF7" w:rsidRDefault="00D5706B" w:rsidP="00355CF7">
      <w:pPr>
        <w:pStyle w:val="GPSSchAnnexname"/>
      </w:pPr>
      <w:r>
        <w:rPr>
          <w:rFonts w:hint="eastAsia"/>
        </w:rPr>
        <w:br w:type="page"/>
      </w:r>
      <w:r w:rsidR="00406112" w:rsidRPr="00FD47EA" w:rsidDel="00DF33DC">
        <w:lastRenderedPageBreak/>
        <w:t xml:space="preserve"> </w:t>
      </w:r>
      <w:bookmarkStart w:id="736" w:name="_Toc379488083"/>
      <w:bookmarkStart w:id="737" w:name="_Toc380052185"/>
      <w:bookmarkStart w:id="738" w:name="_Toc380052696"/>
      <w:bookmarkStart w:id="739" w:name="_Toc391545380"/>
      <w:r w:rsidR="00355CF7">
        <w:t>PART D – SUPPLIER’S MANDATORY SERVICE PACKAGE</w:t>
      </w:r>
      <w:bookmarkEnd w:id="736"/>
      <w:bookmarkEnd w:id="737"/>
      <w:bookmarkEnd w:id="738"/>
      <w:bookmarkEnd w:id="739"/>
    </w:p>
    <w:p w:rsidR="00355CF7" w:rsidRDefault="00355CF7" w:rsidP="002C741A">
      <w:pPr>
        <w:pStyle w:val="GPSL1CLAUSEHEADING"/>
        <w:numPr>
          <w:ilvl w:val="0"/>
          <w:numId w:val="538"/>
        </w:numPr>
      </w:pPr>
      <w:bookmarkStart w:id="740" w:name="_Toc379488084"/>
      <w:bookmarkStart w:id="741" w:name="_Toc380052186"/>
      <w:bookmarkStart w:id="742" w:name="_Toc380052697"/>
      <w:bookmarkStart w:id="743" w:name="_Toc380053720"/>
      <w:bookmarkStart w:id="744" w:name="_Toc391545381"/>
      <w:r>
        <w:t>General</w:t>
      </w:r>
      <w:bookmarkEnd w:id="740"/>
      <w:bookmarkEnd w:id="741"/>
      <w:bookmarkEnd w:id="742"/>
      <w:bookmarkEnd w:id="743"/>
      <w:bookmarkEnd w:id="744"/>
    </w:p>
    <w:p w:rsidR="00355CF7" w:rsidRPr="00F752DD" w:rsidRDefault="00355CF7" w:rsidP="00355CF7">
      <w:pPr>
        <w:pStyle w:val="GPSL2NumberedBoldHeading"/>
        <w:rPr>
          <w:b w:val="0"/>
        </w:rPr>
      </w:pPr>
      <w:r w:rsidRPr="00F752DD">
        <w:rPr>
          <w:b w:val="0"/>
        </w:rPr>
        <w:t>The purpos</w:t>
      </w:r>
      <w:r>
        <w:rPr>
          <w:b w:val="0"/>
        </w:rPr>
        <w:t>e of this Part D</w:t>
      </w:r>
      <w:r w:rsidRPr="00F752DD">
        <w:rPr>
          <w:b w:val="0"/>
        </w:rPr>
        <w:t xml:space="preserve"> of Framework Schedule 2 </w:t>
      </w:r>
      <w:r>
        <w:rPr>
          <w:b w:val="0"/>
        </w:rPr>
        <w:t>(</w:t>
      </w:r>
      <w:r w:rsidRPr="00F752DD">
        <w:rPr>
          <w:b w:val="0"/>
        </w:rPr>
        <w:t xml:space="preserve">Services and Key Performance Indicators) is to set out the </w:t>
      </w:r>
      <w:r>
        <w:rPr>
          <w:b w:val="0"/>
        </w:rPr>
        <w:t xml:space="preserve">Supplier’s Mandatory Service Package </w:t>
      </w:r>
      <w:r w:rsidRPr="00F752DD">
        <w:rPr>
          <w:b w:val="0"/>
        </w:rPr>
        <w:t xml:space="preserve">that </w:t>
      </w:r>
      <w:r>
        <w:rPr>
          <w:b w:val="0"/>
        </w:rPr>
        <w:t xml:space="preserve">was submitted with the Tender that meets </w:t>
      </w:r>
      <w:r w:rsidRPr="00F752DD">
        <w:rPr>
          <w:b w:val="0"/>
        </w:rPr>
        <w:t xml:space="preserve">the </w:t>
      </w:r>
      <w:r>
        <w:rPr>
          <w:b w:val="0"/>
        </w:rPr>
        <w:t>requirements specified in Part C of this Framework Schedule.</w:t>
      </w:r>
    </w:p>
    <w:p w:rsidR="00355CF7" w:rsidRDefault="00355CF7" w:rsidP="00355CF7">
      <w:pPr>
        <w:pStyle w:val="GPSL2NumberedBoldHeading"/>
        <w:rPr>
          <w:b w:val="0"/>
        </w:rPr>
      </w:pPr>
      <w:r>
        <w:rPr>
          <w:b w:val="0"/>
        </w:rPr>
        <w:t>In the event of any conflict between the Mandatory Service Package and the requirements in Part C, Part C will take precedence</w:t>
      </w:r>
      <w:r w:rsidRPr="00F752DD">
        <w:rPr>
          <w:b w:val="0"/>
        </w:rPr>
        <w:t>.</w:t>
      </w:r>
    </w:p>
    <w:p w:rsidR="00903EEC" w:rsidRPr="00ED36A2" w:rsidRDefault="00903EEC" w:rsidP="00903EEC">
      <w:pPr>
        <w:pStyle w:val="GPSL2NumberedBoldHeading"/>
        <w:rPr>
          <w:b w:val="0"/>
        </w:rPr>
      </w:pPr>
      <w:r>
        <w:rPr>
          <w:b w:val="0"/>
        </w:rPr>
        <w:t>The Mandatory Service Package is a special type of Service Package and as such must comply with Part A of this Framework Schedule.</w:t>
      </w:r>
    </w:p>
    <w:p w:rsidR="00903EEC" w:rsidRDefault="00903EEC" w:rsidP="00903EEC">
      <w:pPr>
        <w:pStyle w:val="GPSL2NumberedBoldHeading"/>
        <w:rPr>
          <w:b w:val="0"/>
        </w:rPr>
      </w:pPr>
      <w:r w:rsidRPr="00ED36A2">
        <w:rPr>
          <w:b w:val="0"/>
        </w:rPr>
        <w:t xml:space="preserve">The </w:t>
      </w:r>
      <w:r w:rsidR="003F461E">
        <w:rPr>
          <w:b w:val="0"/>
        </w:rPr>
        <w:t xml:space="preserve">Supplier shall make the </w:t>
      </w:r>
      <w:r w:rsidRPr="00ED36A2">
        <w:rPr>
          <w:b w:val="0"/>
        </w:rPr>
        <w:t xml:space="preserve">Mandatory Service Package available to Contracting Bodies </w:t>
      </w:r>
      <w:r w:rsidR="003F461E">
        <w:rPr>
          <w:b w:val="0"/>
        </w:rPr>
        <w:t xml:space="preserve">during the Initial </w:t>
      </w:r>
      <w:r w:rsidRPr="00ED36A2">
        <w:rPr>
          <w:b w:val="0"/>
        </w:rPr>
        <w:t xml:space="preserve">Framework </w:t>
      </w:r>
      <w:r w:rsidR="003F461E">
        <w:rPr>
          <w:b w:val="0"/>
        </w:rPr>
        <w:t>Period;</w:t>
      </w:r>
      <w:r w:rsidR="003F461E" w:rsidRPr="00ED36A2">
        <w:rPr>
          <w:b w:val="0"/>
        </w:rPr>
        <w:t xml:space="preserve"> </w:t>
      </w:r>
      <w:r w:rsidRPr="00ED36A2">
        <w:rPr>
          <w:b w:val="0"/>
        </w:rPr>
        <w:t xml:space="preserve">and may </w:t>
      </w:r>
      <w:r w:rsidR="003F461E">
        <w:rPr>
          <w:b w:val="0"/>
        </w:rPr>
        <w:t>only</w:t>
      </w:r>
      <w:r w:rsidR="003F461E" w:rsidRPr="00ED36A2">
        <w:rPr>
          <w:b w:val="0"/>
        </w:rPr>
        <w:t xml:space="preserve"> </w:t>
      </w:r>
      <w:r w:rsidRPr="00ED36A2">
        <w:rPr>
          <w:b w:val="0"/>
        </w:rPr>
        <w:t>amend or remov</w:t>
      </w:r>
      <w:r w:rsidR="003F461E">
        <w:rPr>
          <w:b w:val="0"/>
        </w:rPr>
        <w:t>e the Mandatory Service Package during any Extension Framework Period</w:t>
      </w:r>
      <w:r w:rsidRPr="00ED36A2">
        <w:rPr>
          <w:b w:val="0"/>
        </w:rPr>
        <w:t>, except as expressly allowed elsewhere in this Framework Agreement.</w:t>
      </w:r>
    </w:p>
    <w:p w:rsidR="00617E4A" w:rsidRDefault="00617E4A" w:rsidP="002C741A">
      <w:pPr>
        <w:pStyle w:val="GPSL1CLAUSEHEADING"/>
        <w:numPr>
          <w:ilvl w:val="0"/>
          <w:numId w:val="538"/>
        </w:numPr>
      </w:pPr>
      <w:bookmarkStart w:id="745" w:name="_Toc379488085"/>
      <w:bookmarkStart w:id="746" w:name="_Toc380052187"/>
      <w:bookmarkStart w:id="747" w:name="_Toc380052698"/>
      <w:bookmarkStart w:id="748" w:name="_Toc380053721"/>
      <w:bookmarkStart w:id="749" w:name="_Toc391545382"/>
      <w:r>
        <w:t>Mandatory Service Package</w:t>
      </w:r>
      <w:bookmarkEnd w:id="745"/>
      <w:bookmarkEnd w:id="746"/>
      <w:bookmarkEnd w:id="747"/>
      <w:bookmarkEnd w:id="748"/>
      <w:bookmarkEnd w:id="749"/>
    </w:p>
    <w:p w:rsidR="00617E4A" w:rsidRPr="002351D3" w:rsidRDefault="002351D3" w:rsidP="00617E4A">
      <w:pPr>
        <w:pStyle w:val="GPSL2NumberedBoldHeading"/>
        <w:rPr>
          <w:b w:val="0"/>
        </w:rPr>
      </w:pPr>
      <w:r w:rsidRPr="002351D3">
        <w:rPr>
          <w:b w:val="0"/>
        </w:rPr>
        <w:t>The</w:t>
      </w:r>
      <w:r>
        <w:rPr>
          <w:b w:val="0"/>
        </w:rPr>
        <w:t xml:space="preserve"> Mandatory Service Package is set out in Annex 1 of Framework Schedule 3 (Framework Prices).</w:t>
      </w:r>
    </w:p>
    <w:p w:rsidR="00355CF7" w:rsidRDefault="00355CF7" w:rsidP="00355CF7">
      <w:pPr>
        <w:pStyle w:val="GPSmacrorestart"/>
      </w:pPr>
    </w:p>
    <w:p w:rsidR="005A0B1B" w:rsidRDefault="00355CF7" w:rsidP="00406112">
      <w:pPr>
        <w:pStyle w:val="GPSSchAnnexname"/>
      </w:pPr>
      <w:r>
        <w:rPr>
          <w:rFonts w:hint="eastAsia"/>
        </w:rPr>
        <w:br w:type="page"/>
      </w:r>
      <w:bookmarkStart w:id="750" w:name="_Toc379488086"/>
      <w:bookmarkStart w:id="751" w:name="_Toc380052188"/>
      <w:bookmarkStart w:id="752" w:name="_Toc380052699"/>
      <w:bookmarkStart w:id="753" w:name="_Toc391545383"/>
      <w:r w:rsidR="00AF547E" w:rsidRPr="006875AD">
        <w:lastRenderedPageBreak/>
        <w:t>P</w:t>
      </w:r>
      <w:r w:rsidR="00D5706B">
        <w:t xml:space="preserve">ART </w:t>
      </w:r>
      <w:r w:rsidR="00825AE9">
        <w:t>E</w:t>
      </w:r>
      <w:r w:rsidR="003C6204">
        <w:t xml:space="preserve"> – KEY PERFORMANCE INDICATORS</w:t>
      </w:r>
      <w:bookmarkEnd w:id="750"/>
      <w:bookmarkEnd w:id="751"/>
      <w:bookmarkEnd w:id="752"/>
      <w:bookmarkEnd w:id="753"/>
      <w:r w:rsidR="003C6204">
        <w:t xml:space="preserve"> </w:t>
      </w:r>
    </w:p>
    <w:p w:rsidR="00F20C99" w:rsidRDefault="00B16D45" w:rsidP="002C741A">
      <w:pPr>
        <w:pStyle w:val="GPSL1CLAUSEHEADING"/>
        <w:numPr>
          <w:ilvl w:val="0"/>
          <w:numId w:val="541"/>
        </w:numPr>
      </w:pPr>
      <w:bookmarkStart w:id="754" w:name="_Toc379488087"/>
      <w:bookmarkStart w:id="755" w:name="_Toc380052189"/>
      <w:bookmarkStart w:id="756" w:name="_Toc380052700"/>
      <w:bookmarkStart w:id="757" w:name="_Toc380053723"/>
      <w:bookmarkStart w:id="758" w:name="_Toc391545384"/>
      <w:r>
        <w:t>General</w:t>
      </w:r>
      <w:bookmarkEnd w:id="754"/>
      <w:bookmarkEnd w:id="755"/>
      <w:bookmarkEnd w:id="756"/>
      <w:bookmarkEnd w:id="757"/>
      <w:bookmarkEnd w:id="758"/>
    </w:p>
    <w:p w:rsidR="00F20C99" w:rsidRDefault="00B16D45" w:rsidP="002E61F2">
      <w:pPr>
        <w:pStyle w:val="GPSL2Numbered"/>
      </w:pPr>
      <w:r w:rsidRPr="00E13E3D">
        <w:t xml:space="preserve">The purpose of </w:t>
      </w:r>
      <w:r>
        <w:t xml:space="preserve">this </w:t>
      </w:r>
      <w:r w:rsidRPr="00E13E3D">
        <w:t xml:space="preserve">Part </w:t>
      </w:r>
      <w:r w:rsidR="00825AE9">
        <w:t>E</w:t>
      </w:r>
      <w:r w:rsidRPr="00E13E3D">
        <w:t xml:space="preserve">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 xml:space="preserve">Framework </w:t>
      </w:r>
      <w:r w:rsidR="00091F4A">
        <w:t>Period</w:t>
      </w:r>
      <w:r w:rsidR="00091F4A" w:rsidRPr="00FD21E1">
        <w:t>;</w:t>
      </w:r>
      <w:r w:rsidRPr="00FD21E1">
        <w:t xml:space="preserve"> however any </w:t>
      </w:r>
      <w:r w:rsidR="00091F4A">
        <w:t>material</w:t>
      </w:r>
      <w:r w:rsidRPr="00FD21E1">
        <w:t xml:space="preserve"> changes to KPIs shall be agreed between the Authority and the Supplier</w:t>
      </w:r>
      <w:r>
        <w:t xml:space="preserve"> in accordance with Clause </w:t>
      </w:r>
      <w:r w:rsidR="00F71B15">
        <w:fldChar w:fldCharType="begin"/>
      </w:r>
      <w:r w:rsidR="00B51788">
        <w:instrText xml:space="preserve"> REF _Ref364957128 \r \h </w:instrText>
      </w:r>
      <w:r w:rsidR="00F71B15">
        <w:fldChar w:fldCharType="separate"/>
      </w:r>
      <w:r w:rsidR="00B3040B">
        <w:t>16.1</w:t>
      </w:r>
      <w:r w:rsidR="00F71B15">
        <w:fldChar w:fldCharType="end"/>
      </w:r>
      <w:r>
        <w:t xml:space="preserve"> (Variation </w:t>
      </w:r>
      <w:r w:rsidR="00B51788">
        <w:t>Procedure</w:t>
      </w:r>
      <w:r>
        <w:t>).</w:t>
      </w:r>
      <w:r w:rsidRPr="003A0260">
        <w:t xml:space="preserve"> </w:t>
      </w:r>
    </w:p>
    <w:p w:rsidR="00F20C99" w:rsidRDefault="00B16D45" w:rsidP="002E61F2">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F20C99" w:rsidRDefault="00B16D45" w:rsidP="002E61F2">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rsidR="00F20C99" w:rsidRDefault="00F71B15">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759" w:author="potterj" w:date="2014-08-28T12:26:00Z" w:original="0."/>
        </w:fldChar>
      </w:r>
    </w:p>
    <w:tbl>
      <w:tblPr>
        <w:tblW w:w="84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318"/>
        <w:gridCol w:w="2141"/>
      </w:tblGrid>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B370C4" w:rsidRDefault="001D5F2B" w:rsidP="00EA39CE">
            <w:pPr>
              <w:pStyle w:val="MarginText"/>
              <w:jc w:val="left"/>
              <w:rPr>
                <w:rFonts w:cs="Arial"/>
                <w:b/>
                <w:bCs/>
                <w:szCs w:val="22"/>
              </w:rPr>
            </w:pPr>
            <w:r w:rsidRPr="00B370C4">
              <w:rPr>
                <w:rFonts w:cs="Arial"/>
                <w:b/>
                <w:bCs/>
                <w:szCs w:val="22"/>
              </w:rPr>
              <w:t>Key Performance Indicator (KPI)</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B370C4" w:rsidRDefault="001D5F2B" w:rsidP="00EA39CE">
            <w:pPr>
              <w:pStyle w:val="MarginText"/>
              <w:jc w:val="left"/>
              <w:rPr>
                <w:rFonts w:cs="Arial"/>
                <w:b/>
                <w:bCs/>
                <w:szCs w:val="22"/>
              </w:rPr>
            </w:pPr>
            <w:r w:rsidRPr="00B370C4">
              <w:rPr>
                <w:rFonts w:cs="Arial"/>
                <w:b/>
                <w:bCs/>
                <w:szCs w:val="22"/>
              </w:rPr>
              <w:t xml:space="preserve">KPI Target </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B370C4" w:rsidRDefault="001D5F2B" w:rsidP="00EA39CE">
            <w:pPr>
              <w:pStyle w:val="MarginText"/>
              <w:rPr>
                <w:rFonts w:cs="Arial"/>
                <w:b/>
                <w:bCs/>
                <w:szCs w:val="22"/>
              </w:rPr>
            </w:pPr>
            <w:r w:rsidRPr="00B370C4">
              <w:rPr>
                <w:rFonts w:cs="Arial"/>
                <w:b/>
                <w:bCs/>
                <w:szCs w:val="22"/>
              </w:rPr>
              <w:t>Measured by</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1SCHEDULEHeading"/>
              <w:numPr>
                <w:ilvl w:val="0"/>
                <w:numId w:val="323"/>
              </w:numPr>
              <w:rPr>
                <w:rFonts w:ascii="Arial" w:hAnsi="Arial"/>
                <w:bCs/>
                <w:caps w:val="0"/>
              </w:rPr>
            </w:pPr>
            <w:r w:rsidRPr="001D5F2B">
              <w:rPr>
                <w:rFonts w:ascii="Arial" w:hAnsi="Arial"/>
                <w:bCs/>
                <w:caps w:val="0"/>
              </w:rPr>
              <w:t>Framework Management</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rPr>
                <w:rFonts w:cs="Arial"/>
                <w:b/>
                <w:bCs/>
                <w:szCs w:val="22"/>
              </w:rPr>
            </w:pP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 xml:space="preserve">MI returns </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051095">
            <w:pPr>
              <w:pStyle w:val="MarginText"/>
              <w:jc w:val="left"/>
              <w:rPr>
                <w:rFonts w:cs="Arial"/>
                <w:b/>
                <w:bCs/>
                <w:szCs w:val="22"/>
              </w:rPr>
            </w:pPr>
            <w:r w:rsidRPr="001D5F2B">
              <w:rPr>
                <w:rFonts w:cs="Arial"/>
                <w:b/>
                <w:bCs/>
                <w:szCs w:val="22"/>
              </w:rPr>
              <w:t xml:space="preserve"> All MI returns to be returned to </w:t>
            </w:r>
            <w:r w:rsidR="00051095">
              <w:rPr>
                <w:rFonts w:cs="Arial"/>
                <w:b/>
                <w:bCs/>
                <w:szCs w:val="22"/>
              </w:rPr>
              <w:t xml:space="preserve">the Authority </w:t>
            </w:r>
            <w:r w:rsidRPr="001D5F2B">
              <w:rPr>
                <w:rFonts w:cs="Arial"/>
                <w:b/>
                <w:bCs/>
                <w:szCs w:val="22"/>
              </w:rPr>
              <w:t>by the 7th of each month</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of receipt and time of receipt by the Authority (as evidenced within the Authority’s data warehouse (MISO) system)</w:t>
            </w:r>
            <w:r w:rsidRPr="001D5F2B" w:rsidDel="00C356FE">
              <w:rPr>
                <w:rFonts w:cs="Arial"/>
                <w:b/>
                <w:bCs/>
                <w:szCs w:val="22"/>
              </w:rPr>
              <w:t xml:space="preserve"> </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 xml:space="preserve">Invoices </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r w:rsidRPr="001D5F2B">
              <w:rPr>
                <w:rFonts w:cs="Arial"/>
                <w:b/>
                <w:bCs/>
                <w:szCs w:val="22"/>
              </w:rPr>
              <w:t>All invoices to be paid within 30 calendar days of issue</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of receipt and time of receipt by the Authority</w:t>
            </w:r>
            <w:r w:rsidRPr="001D5F2B" w:rsidDel="00C356FE">
              <w:rPr>
                <w:rFonts w:cs="Arial"/>
                <w:b/>
                <w:bCs/>
                <w:szCs w:val="22"/>
              </w:rPr>
              <w:t xml:space="preserve"> </w:t>
            </w:r>
            <w:r w:rsidRPr="001D5F2B">
              <w:rPr>
                <w:rFonts w:cs="Arial"/>
                <w:b/>
                <w:bCs/>
                <w:szCs w:val="22"/>
              </w:rPr>
              <w:t>(as evidenced within the Authority’s CODA system)</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br w:type="page"/>
              <w:t xml:space="preserve">Supplier self-audit certificate. </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r w:rsidRPr="001D5F2B">
              <w:rPr>
                <w:rFonts w:cs="Arial"/>
                <w:b/>
                <w:bCs/>
                <w:szCs w:val="22"/>
              </w:rPr>
              <w:t>To be issued to the Authority on the anniversary of the commencement of the framework agreement</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of receipt and time of receipt by the Authority</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Audit actions</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r w:rsidRPr="001D5F2B">
              <w:rPr>
                <w:rFonts w:cs="Arial"/>
                <w:b/>
                <w:bCs/>
                <w:szCs w:val="22"/>
              </w:rPr>
              <w:t xml:space="preserve">Actions identified in an Audit Report to be delivered by </w:t>
            </w:r>
            <w:r w:rsidRPr="001D5F2B">
              <w:rPr>
                <w:rFonts w:cs="Arial"/>
                <w:b/>
                <w:bCs/>
                <w:szCs w:val="22"/>
              </w:rPr>
              <w:lastRenderedPageBreak/>
              <w:t>the dates set out in the Audit Report</w:t>
            </w: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lastRenderedPageBreak/>
              <w:t xml:space="preserve">Confirmation by the Authority of completion of </w:t>
            </w:r>
            <w:r w:rsidRPr="001D5F2B">
              <w:rPr>
                <w:rFonts w:cs="Arial"/>
                <w:b/>
                <w:bCs/>
                <w:szCs w:val="22"/>
              </w:rPr>
              <w:lastRenderedPageBreak/>
              <w:t>the actions by the dates identified in the Audit Report</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1SCHEDULEHeading"/>
              <w:numPr>
                <w:ilvl w:val="0"/>
                <w:numId w:val="323"/>
              </w:numPr>
              <w:rPr>
                <w:rFonts w:ascii="Arial" w:hAnsi="Arial"/>
                <w:bCs/>
                <w:caps w:val="0"/>
              </w:rPr>
            </w:pPr>
            <w:r w:rsidRPr="001D5F2B">
              <w:rPr>
                <w:rFonts w:ascii="Arial" w:hAnsi="Arial"/>
                <w:bCs/>
                <w:caps w:val="0"/>
              </w:rPr>
              <w:lastRenderedPageBreak/>
              <w:t>Operational Efficiency / Price Savings</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rPr>
                <w:rFonts w:cs="Arial"/>
                <w:b/>
                <w:bCs/>
                <w:szCs w:val="22"/>
              </w:rPr>
            </w:pP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The Supplier to deliver against the Supplier Action Plan to derive further cost savings over the Framework Period via continuous improvement and innovation</w:t>
            </w:r>
            <w:r w:rsidRPr="001D5F2B" w:rsidDel="00000B4D">
              <w:rPr>
                <w:rFonts w:eastAsia="STZhongsong"/>
                <w:b/>
                <w:bCs/>
              </w:rPr>
              <w:t xml:space="preserve"> </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by   the Authority of the cost savings achieved by the dates identified in the Supplier Action Plan</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1SCHEDULEHeading"/>
              <w:numPr>
                <w:ilvl w:val="0"/>
                <w:numId w:val="323"/>
              </w:numPr>
              <w:rPr>
                <w:rFonts w:ascii="Arial" w:hAnsi="Arial"/>
                <w:bCs/>
                <w:caps w:val="0"/>
              </w:rPr>
            </w:pPr>
            <w:r w:rsidRPr="001D5F2B">
              <w:rPr>
                <w:rFonts w:ascii="Arial" w:hAnsi="Arial"/>
                <w:bCs/>
                <w:caps w:val="0"/>
              </w:rPr>
              <w:t>Demand Management Savings</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The Supplier to deliver against the Supplier Action Plan to derive further cost savings over the Framework Period via continuous improvement and innovation</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by   the Authority of the cost savings achieved by the dates identified in the Supplier Action Plan</w:t>
            </w: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1SCHEDULEHeading"/>
              <w:numPr>
                <w:ilvl w:val="0"/>
                <w:numId w:val="323"/>
              </w:numPr>
              <w:rPr>
                <w:rFonts w:ascii="Arial" w:hAnsi="Arial"/>
                <w:bCs/>
                <w:caps w:val="0"/>
              </w:rPr>
            </w:pPr>
            <w:r w:rsidRPr="001D5F2B">
              <w:rPr>
                <w:rFonts w:ascii="Arial" w:hAnsi="Arial"/>
                <w:bCs/>
                <w:caps w:val="0"/>
              </w:rPr>
              <w:t>Customer Satisfaction</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rPr>
                <w:rFonts w:cs="Arial"/>
                <w:b/>
                <w:bCs/>
                <w:szCs w:val="22"/>
              </w:rPr>
            </w:pPr>
          </w:p>
        </w:tc>
      </w:tr>
      <w:tr w:rsidR="001D5F2B" w:rsidRPr="006875AD" w:rsidTr="003600EB">
        <w:tc>
          <w:tcPr>
            <w:tcW w:w="3969"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GPSL2Numbered"/>
              <w:numPr>
                <w:ilvl w:val="1"/>
                <w:numId w:val="323"/>
              </w:numPr>
              <w:rPr>
                <w:rFonts w:eastAsia="STZhongsong"/>
                <w:b/>
                <w:bCs/>
              </w:rPr>
            </w:pPr>
            <w:r w:rsidRPr="001D5F2B">
              <w:rPr>
                <w:rFonts w:eastAsia="STZhongsong"/>
                <w:b/>
                <w:bCs/>
              </w:rPr>
              <w:t>Services to be provided under Call Off Agreements to the satisfaction of Contracting Bodies</w:t>
            </w:r>
          </w:p>
        </w:tc>
        <w:tc>
          <w:tcPr>
            <w:tcW w:w="2318"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EA39CE">
            <w:pPr>
              <w:pStyle w:val="MarginText"/>
              <w:jc w:val="left"/>
              <w:rPr>
                <w:rFonts w:cs="Arial"/>
                <w:b/>
                <w:bCs/>
                <w:szCs w:val="22"/>
              </w:rPr>
            </w:pPr>
          </w:p>
        </w:tc>
        <w:tc>
          <w:tcPr>
            <w:tcW w:w="2141" w:type="dxa"/>
            <w:tcBorders>
              <w:top w:val="single" w:sz="4" w:space="0" w:color="auto"/>
              <w:left w:val="single" w:sz="4" w:space="0" w:color="auto"/>
              <w:bottom w:val="single" w:sz="4" w:space="0" w:color="auto"/>
              <w:right w:val="single" w:sz="4" w:space="0" w:color="auto"/>
            </w:tcBorders>
            <w:shd w:val="clear" w:color="auto" w:fill="D9D9D9"/>
          </w:tcPr>
          <w:p w:rsidR="001D5F2B" w:rsidRPr="001D5F2B" w:rsidRDefault="001D5F2B" w:rsidP="001D5F2B">
            <w:pPr>
              <w:pStyle w:val="MarginText"/>
              <w:rPr>
                <w:rFonts w:cs="Arial"/>
                <w:b/>
                <w:bCs/>
                <w:szCs w:val="22"/>
              </w:rPr>
            </w:pPr>
            <w:r w:rsidRPr="001D5F2B">
              <w:rPr>
                <w:rFonts w:cs="Arial"/>
                <w:b/>
                <w:bCs/>
                <w:szCs w:val="22"/>
              </w:rPr>
              <w:t>Confirmation by the Authority of the Supplier’s performance against customer satisfaction surveys</w:t>
            </w:r>
          </w:p>
        </w:tc>
      </w:tr>
    </w:tbl>
    <w:p w:rsidR="00B16D45" w:rsidRPr="00FC2CB8" w:rsidRDefault="008770CA">
      <w:pPr>
        <w:overflowPunct/>
        <w:autoSpaceDE/>
        <w:autoSpaceDN/>
        <w:adjustRightInd/>
        <w:spacing w:after="0"/>
        <w:jc w:val="left"/>
        <w:textAlignment w:val="auto"/>
        <w:rPr>
          <w:color w:val="FFFFFF"/>
          <w:sz w:val="16"/>
          <w:szCs w:val="16"/>
        </w:rPr>
      </w:pPr>
      <w:r w:rsidRPr="008770CA">
        <w:br w:type="page"/>
      </w:r>
    </w:p>
    <w:p w:rsidR="00F20C99" w:rsidRDefault="0038239E">
      <w:pPr>
        <w:pStyle w:val="GPSSchTitleandNumber"/>
      </w:pPr>
      <w:bookmarkStart w:id="760" w:name="udBeforeProtMarking"/>
      <w:bookmarkStart w:id="761" w:name="_Toc366085182"/>
      <w:bookmarkStart w:id="762" w:name="_Toc379488088"/>
      <w:bookmarkStart w:id="763" w:name="_Toc380052190"/>
      <w:bookmarkStart w:id="764" w:name="_Toc380052701"/>
      <w:bookmarkStart w:id="765" w:name="_Toc391545385"/>
      <w:bookmarkEnd w:id="760"/>
      <w:r>
        <w:lastRenderedPageBreak/>
        <w:t xml:space="preserve">FRAMEWORK SCHEDULE 3: </w:t>
      </w:r>
      <w:r w:rsidR="00F20C99">
        <w:t xml:space="preserve">FRAMEWORK </w:t>
      </w:r>
      <w:r>
        <w:t>prices</w:t>
      </w:r>
      <w:bookmarkEnd w:id="761"/>
      <w:bookmarkEnd w:id="762"/>
      <w:bookmarkEnd w:id="763"/>
      <w:bookmarkEnd w:id="764"/>
      <w:bookmarkEnd w:id="765"/>
    </w:p>
    <w:p w:rsidR="00F20C99" w:rsidRDefault="00B16D45" w:rsidP="00F2746A">
      <w:pPr>
        <w:pStyle w:val="GPSL1CLAUSEHEADING"/>
        <w:numPr>
          <w:ilvl w:val="0"/>
          <w:numId w:val="557"/>
        </w:numPr>
      </w:pPr>
      <w:bookmarkStart w:id="766" w:name="_Toc379488089"/>
      <w:bookmarkStart w:id="767" w:name="_Toc380052191"/>
      <w:bookmarkStart w:id="768" w:name="_Toc380052702"/>
      <w:bookmarkStart w:id="769" w:name="_Toc380053725"/>
      <w:bookmarkStart w:id="770" w:name="_Toc391545386"/>
      <w:r w:rsidRPr="006875AD">
        <w:t>General Provisions</w:t>
      </w:r>
      <w:bookmarkEnd w:id="766"/>
      <w:bookmarkEnd w:id="767"/>
      <w:bookmarkEnd w:id="768"/>
      <w:bookmarkEnd w:id="769"/>
      <w:bookmarkEnd w:id="770"/>
    </w:p>
    <w:p w:rsidR="00FB0194" w:rsidRDefault="00B16D45" w:rsidP="002E61F2">
      <w:pPr>
        <w:pStyle w:val="GPSL2Numbered"/>
      </w:pPr>
      <w:bookmarkStart w:id="771" w:name="_Ref362009649"/>
      <w:r w:rsidRPr="006875AD">
        <w:t xml:space="preserve">The Framework Prices </w:t>
      </w:r>
      <w:r w:rsidR="00FB0194">
        <w:t xml:space="preserve">are the </w:t>
      </w:r>
      <w:r w:rsidR="008C0A27">
        <w:t>prices</w:t>
      </w:r>
      <w:r w:rsidR="00FB0194">
        <w:t xml:space="preserve"> </w:t>
      </w:r>
      <w:r w:rsidRPr="006875AD">
        <w:t>set out in</w:t>
      </w:r>
      <w:r>
        <w:t xml:space="preserve"> </w:t>
      </w:r>
      <w:r w:rsidR="008C0A27">
        <w:t xml:space="preserve">the Price Card of </w:t>
      </w:r>
      <w:r w:rsidR="00FB0194">
        <w:t>each Service Package that forms part of the Supplier’s Service Catalogue</w:t>
      </w:r>
      <w:r w:rsidR="008A51E4">
        <w:t>.</w:t>
      </w:r>
    </w:p>
    <w:p w:rsidR="00FB0194" w:rsidRDefault="00FB0194" w:rsidP="002E61F2">
      <w:pPr>
        <w:pStyle w:val="GPSL2Numbered"/>
      </w:pPr>
      <w:r>
        <w:t xml:space="preserve">The Supplier’s Service Catalogue can </w:t>
      </w:r>
      <w:r w:rsidR="00003234">
        <w:t>be varied in accordance with Clause 16.2</w:t>
      </w:r>
      <w:r>
        <w:t xml:space="preserve"> </w:t>
      </w:r>
      <w:r w:rsidR="00003234">
        <w:t>(</w:t>
      </w:r>
      <w:r>
        <w:t>Servic</w:t>
      </w:r>
      <w:r w:rsidR="00003234">
        <w:t>e Catalogue Variation Procedure)</w:t>
      </w:r>
      <w:r>
        <w:t>.</w:t>
      </w:r>
    </w:p>
    <w:p w:rsidR="00B51A5B" w:rsidRDefault="002351D3" w:rsidP="002E61F2">
      <w:pPr>
        <w:pStyle w:val="GPSL2Numbered"/>
      </w:pPr>
      <w:r w:rsidRPr="00E74E6B">
        <w:t>The Manda</w:t>
      </w:r>
      <w:r>
        <w:t>tory Service Package</w:t>
      </w:r>
      <w:r w:rsidRPr="00E74E6B">
        <w:t xml:space="preserve"> </w:t>
      </w:r>
      <w:r>
        <w:t>any other Service Package can be found in Annex 1 (Service Catalogue) (Part A and B respectively) to this Framework Schedule</w:t>
      </w:r>
      <w:r w:rsidR="00B51A5B">
        <w:t>.</w:t>
      </w:r>
    </w:p>
    <w:p w:rsidR="00F20C99" w:rsidRDefault="00FB0194" w:rsidP="002E61F2">
      <w:pPr>
        <w:pStyle w:val="GPSL2Numbered"/>
      </w:pPr>
      <w:r>
        <w:t xml:space="preserve">The Framework Prices </w:t>
      </w:r>
      <w:r w:rsidR="00B16D45" w:rsidRPr="006875AD">
        <w:t>are the maximum that the Supplier may charge pursuant to any Call Off Agreement</w:t>
      </w:r>
      <w:r w:rsidR="007E44D4">
        <w:t xml:space="preserve">, subject to paragraph </w:t>
      </w:r>
      <w:r w:rsidR="00A0614F">
        <w:t>2</w:t>
      </w:r>
      <w:r w:rsidR="00B16D45" w:rsidRPr="006875AD">
        <w:t>.</w:t>
      </w:r>
      <w:bookmarkEnd w:id="771"/>
      <w:r w:rsidR="00B16D45" w:rsidRPr="006875AD">
        <w:t xml:space="preserve">  </w:t>
      </w:r>
    </w:p>
    <w:p w:rsidR="00F20C99" w:rsidRPr="00C6015A" w:rsidRDefault="00B16D45" w:rsidP="002E61F2">
      <w:pPr>
        <w:pStyle w:val="GPSL2Numbered"/>
        <w:rPr>
          <w:u w:val="single"/>
        </w:rPr>
      </w:pPr>
      <w:r w:rsidRPr="00F97362">
        <w:t>The Supplier acknowledges and agrees that, subject to paragraph</w:t>
      </w:r>
      <w:r w:rsidR="00706C7C">
        <w:t xml:space="preserve"> </w:t>
      </w:r>
      <w:r w:rsidR="00F71B15">
        <w:fldChar w:fldCharType="begin"/>
      </w:r>
      <w:r w:rsidR="00706C7C">
        <w:instrText xml:space="preserve"> REF _Ref366090681 \r \h </w:instrText>
      </w:r>
      <w:r w:rsidR="00F71B15">
        <w:fldChar w:fldCharType="separate"/>
      </w:r>
      <w:r w:rsidR="00FB0194">
        <w:t>4</w:t>
      </w:r>
      <w:r w:rsidR="00F71B15">
        <w:fldChar w:fldCharType="end"/>
      </w:r>
      <w:r w:rsidRPr="008656A3">
        <w:t xml:space="preserve"> </w:t>
      </w:r>
      <w:r w:rsidR="009A542D">
        <w:t xml:space="preserve">(Adjustment of the Framework Prices) </w:t>
      </w:r>
      <w:r w:rsidRPr="008656A3">
        <w:t>of this Framework Schedul</w:t>
      </w:r>
      <w:r w:rsidRPr="00F97362">
        <w:t>e</w:t>
      </w:r>
      <w:r>
        <w:t xml:space="preserve"> 3</w:t>
      </w:r>
      <w:r w:rsidRPr="00F97362">
        <w:t>, the Framework Prices cannot be increased during the Framework Period.</w:t>
      </w:r>
    </w:p>
    <w:p w:rsidR="00C6015A" w:rsidRPr="00A0614F" w:rsidRDefault="00C6015A" w:rsidP="00A0614F">
      <w:pPr>
        <w:pStyle w:val="GPSL2NumberedBoldHeading"/>
        <w:rPr>
          <w:b w:val="0"/>
        </w:rPr>
      </w:pPr>
      <w:r w:rsidRPr="00A0614F">
        <w:rPr>
          <w:b w:val="0"/>
        </w:rPr>
        <w:t>The Framework Prices and any Charges proposed by a Supplier in a response to an invitation to participate in a Further Competition Procedure shall be inclusive of the Management Charge.</w:t>
      </w:r>
    </w:p>
    <w:p w:rsidR="007E44D4" w:rsidRDefault="007E44D4" w:rsidP="002E61F2">
      <w:pPr>
        <w:pStyle w:val="GPSL1SCHEDULEHeading"/>
      </w:pPr>
      <w:bookmarkStart w:id="772" w:name="_DV_M64"/>
      <w:bookmarkStart w:id="773" w:name="_DV_M65"/>
      <w:bookmarkEnd w:id="772"/>
      <w:bookmarkEnd w:id="773"/>
      <w:r>
        <w:t>Maximum Price Provision</w:t>
      </w:r>
      <w:r w:rsidR="008C0A27">
        <w:t xml:space="preserve"> for further competitions</w:t>
      </w:r>
    </w:p>
    <w:p w:rsidR="008C0A27" w:rsidRPr="008C0A27" w:rsidRDefault="004B4F59" w:rsidP="008C0A27">
      <w:pPr>
        <w:pStyle w:val="GPSL2NumberedBoldHeading"/>
        <w:rPr>
          <w:b w:val="0"/>
        </w:rPr>
      </w:pPr>
      <w:r>
        <w:rPr>
          <w:b w:val="0"/>
        </w:rPr>
        <w:t>Where there is parity between a service</w:t>
      </w:r>
      <w:r w:rsidR="008C0A27">
        <w:rPr>
          <w:b w:val="0"/>
        </w:rPr>
        <w:t xml:space="preserve"> element priced on a Price Card for a </w:t>
      </w:r>
      <w:r>
        <w:rPr>
          <w:b w:val="0"/>
        </w:rPr>
        <w:t xml:space="preserve">Mandatory </w:t>
      </w:r>
      <w:r w:rsidR="008C0A27">
        <w:rPr>
          <w:b w:val="0"/>
        </w:rPr>
        <w:t xml:space="preserve">Service Package </w:t>
      </w:r>
      <w:r>
        <w:rPr>
          <w:b w:val="0"/>
        </w:rPr>
        <w:t xml:space="preserve">or other Service Package </w:t>
      </w:r>
      <w:r w:rsidR="008C0A27">
        <w:rPr>
          <w:b w:val="0"/>
        </w:rPr>
        <w:t>that exists on the Supplier’s Service Catalogue and all or part of a Contracting Body</w:t>
      </w:r>
      <w:r w:rsidR="008C0A27" w:rsidRPr="008C0A27">
        <w:rPr>
          <w:b w:val="0"/>
        </w:rPr>
        <w:t xml:space="preserve">'s further competition requirement, the price on the </w:t>
      </w:r>
      <w:r w:rsidR="008C0A27">
        <w:rPr>
          <w:b w:val="0"/>
        </w:rPr>
        <w:t xml:space="preserve">Price Card </w:t>
      </w:r>
      <w:r w:rsidR="008C0A27" w:rsidRPr="008C0A27">
        <w:rPr>
          <w:b w:val="0"/>
        </w:rPr>
        <w:t xml:space="preserve">will serve as the maximum price for that </w:t>
      </w:r>
      <w:r>
        <w:rPr>
          <w:b w:val="0"/>
        </w:rPr>
        <w:t xml:space="preserve">service </w:t>
      </w:r>
      <w:r w:rsidR="0059138E">
        <w:rPr>
          <w:b w:val="0"/>
        </w:rPr>
        <w:t>element</w:t>
      </w:r>
      <w:r w:rsidR="008C0A27" w:rsidRPr="008C0A27">
        <w:rPr>
          <w:b w:val="0"/>
        </w:rPr>
        <w:t xml:space="preserve"> of the </w:t>
      </w:r>
      <w:r w:rsidR="008C0A27">
        <w:rPr>
          <w:b w:val="0"/>
        </w:rPr>
        <w:t>Contracting Body’s</w:t>
      </w:r>
      <w:r w:rsidR="008C0A27" w:rsidRPr="008C0A27">
        <w:rPr>
          <w:b w:val="0"/>
        </w:rPr>
        <w:t xml:space="preserve"> requirement in the </w:t>
      </w:r>
      <w:r w:rsidR="008C0A27">
        <w:rPr>
          <w:b w:val="0"/>
        </w:rPr>
        <w:t>Supplier’s</w:t>
      </w:r>
      <w:r w:rsidR="008C0A27" w:rsidRPr="008C0A27">
        <w:rPr>
          <w:b w:val="0"/>
        </w:rPr>
        <w:t xml:space="preserve"> tender response.</w:t>
      </w:r>
    </w:p>
    <w:p w:rsidR="008C0A27" w:rsidRPr="008C0A27" w:rsidRDefault="008C0A27" w:rsidP="008C0A27">
      <w:pPr>
        <w:pStyle w:val="GPSL2NumberedBoldHeading"/>
        <w:rPr>
          <w:b w:val="0"/>
        </w:rPr>
      </w:pPr>
      <w:r w:rsidRPr="008C0A27">
        <w:rPr>
          <w:b w:val="0"/>
        </w:rPr>
        <w:t xml:space="preserve">In order to ensure that this requirement is adhered to in all cases, </w:t>
      </w:r>
      <w:r>
        <w:rPr>
          <w:b w:val="0"/>
        </w:rPr>
        <w:t xml:space="preserve">in their response to the Contracting Body’s invitation to tender, </w:t>
      </w:r>
      <w:r w:rsidRPr="008C0A27">
        <w:rPr>
          <w:b w:val="0"/>
        </w:rPr>
        <w:t xml:space="preserve">the </w:t>
      </w:r>
      <w:r>
        <w:rPr>
          <w:b w:val="0"/>
        </w:rPr>
        <w:t>Supplier</w:t>
      </w:r>
      <w:r w:rsidRPr="008C0A27">
        <w:rPr>
          <w:b w:val="0"/>
        </w:rPr>
        <w:t xml:space="preserve"> </w:t>
      </w:r>
      <w:r w:rsidR="0059138E">
        <w:rPr>
          <w:b w:val="0"/>
        </w:rPr>
        <w:t>shall</w:t>
      </w:r>
      <w:r w:rsidRPr="008C0A27">
        <w:rPr>
          <w:b w:val="0"/>
        </w:rPr>
        <w:t xml:space="preserve"> declare whether or not there is parity between any service </w:t>
      </w:r>
      <w:r w:rsidR="004B4F59">
        <w:rPr>
          <w:b w:val="0"/>
        </w:rPr>
        <w:t>element</w:t>
      </w:r>
      <w:r w:rsidRPr="008C0A27">
        <w:rPr>
          <w:b w:val="0"/>
        </w:rPr>
        <w:t xml:space="preserve"> on their </w:t>
      </w:r>
      <w:r>
        <w:rPr>
          <w:b w:val="0"/>
        </w:rPr>
        <w:t>Service C</w:t>
      </w:r>
      <w:r w:rsidRPr="008C0A27">
        <w:rPr>
          <w:b w:val="0"/>
        </w:rPr>
        <w:t xml:space="preserve">atalogue and all or part of the </w:t>
      </w:r>
      <w:r>
        <w:rPr>
          <w:b w:val="0"/>
        </w:rPr>
        <w:t>Contracting Body’s</w:t>
      </w:r>
      <w:r w:rsidRPr="008C0A27">
        <w:rPr>
          <w:b w:val="0"/>
        </w:rPr>
        <w:t xml:space="preserve"> requ</w:t>
      </w:r>
      <w:r>
        <w:rPr>
          <w:b w:val="0"/>
        </w:rPr>
        <w:t>irement</w:t>
      </w:r>
      <w:r w:rsidRPr="008C0A27">
        <w:rPr>
          <w:b w:val="0"/>
        </w:rPr>
        <w:t>.</w:t>
      </w:r>
    </w:p>
    <w:p w:rsidR="008C0A27" w:rsidRPr="009F6BC2" w:rsidRDefault="008C0A27" w:rsidP="009F6BC2">
      <w:pPr>
        <w:pStyle w:val="GPSL2NumberedBoldHeading"/>
        <w:rPr>
          <w:b w:val="0"/>
        </w:rPr>
      </w:pPr>
      <w:r w:rsidRPr="008C0A27">
        <w:rPr>
          <w:b w:val="0"/>
        </w:rPr>
        <w:t xml:space="preserve">If the </w:t>
      </w:r>
      <w:r>
        <w:rPr>
          <w:b w:val="0"/>
        </w:rPr>
        <w:t>Supplier</w:t>
      </w:r>
      <w:r w:rsidRPr="008C0A27">
        <w:rPr>
          <w:b w:val="0"/>
        </w:rPr>
        <w:t xml:space="preserve"> declares that there is parity between a service </w:t>
      </w:r>
      <w:r w:rsidR="004B4F59">
        <w:rPr>
          <w:b w:val="0"/>
        </w:rPr>
        <w:t>element</w:t>
      </w:r>
      <w:r w:rsidRPr="008C0A27">
        <w:rPr>
          <w:b w:val="0"/>
        </w:rPr>
        <w:t xml:space="preserve"> on the</w:t>
      </w:r>
      <w:r>
        <w:rPr>
          <w:b w:val="0"/>
        </w:rPr>
        <w:t>ir</w:t>
      </w:r>
      <w:r w:rsidRPr="008C0A27">
        <w:rPr>
          <w:b w:val="0"/>
        </w:rPr>
        <w:t xml:space="preserve"> </w:t>
      </w:r>
      <w:r>
        <w:rPr>
          <w:b w:val="0"/>
        </w:rPr>
        <w:t>Service Ca</w:t>
      </w:r>
      <w:r w:rsidRPr="008C0A27">
        <w:rPr>
          <w:b w:val="0"/>
        </w:rPr>
        <w:t xml:space="preserve">talogue and all or part of the </w:t>
      </w:r>
      <w:r>
        <w:rPr>
          <w:b w:val="0"/>
        </w:rPr>
        <w:t>Contracting Body’s</w:t>
      </w:r>
      <w:r w:rsidRPr="008C0A27">
        <w:rPr>
          <w:b w:val="0"/>
        </w:rPr>
        <w:t xml:space="preserve"> requirement, the </w:t>
      </w:r>
      <w:r>
        <w:rPr>
          <w:b w:val="0"/>
        </w:rPr>
        <w:t>Supplier</w:t>
      </w:r>
      <w:r w:rsidRPr="008C0A27">
        <w:rPr>
          <w:b w:val="0"/>
        </w:rPr>
        <w:t xml:space="preserve"> </w:t>
      </w:r>
      <w:r>
        <w:rPr>
          <w:b w:val="0"/>
        </w:rPr>
        <w:t xml:space="preserve">shall </w:t>
      </w:r>
      <w:r w:rsidRPr="008C0A27">
        <w:rPr>
          <w:b w:val="0"/>
        </w:rPr>
        <w:t xml:space="preserve">evidence that the </w:t>
      </w:r>
      <w:r w:rsidR="004B4F59">
        <w:rPr>
          <w:b w:val="0"/>
        </w:rPr>
        <w:t xml:space="preserve">service element price </w:t>
      </w:r>
      <w:r w:rsidRPr="008C0A27">
        <w:rPr>
          <w:b w:val="0"/>
        </w:rPr>
        <w:t>has been matched or bettered in their tender response.</w:t>
      </w:r>
    </w:p>
    <w:p w:rsidR="009F6BC2" w:rsidRDefault="008C0A27" w:rsidP="009F6BC2">
      <w:pPr>
        <w:pStyle w:val="GPSL2NumberedBoldHeading"/>
        <w:rPr>
          <w:b w:val="0"/>
        </w:rPr>
      </w:pPr>
      <w:r w:rsidRPr="008C0A27">
        <w:rPr>
          <w:b w:val="0"/>
        </w:rPr>
        <w:t xml:space="preserve">If the </w:t>
      </w:r>
      <w:r w:rsidR="009F6BC2">
        <w:rPr>
          <w:b w:val="0"/>
        </w:rPr>
        <w:t>Supplier</w:t>
      </w:r>
      <w:r w:rsidRPr="008C0A27">
        <w:rPr>
          <w:b w:val="0"/>
        </w:rPr>
        <w:t xml:space="preserve"> declares there is no comparable service </w:t>
      </w:r>
      <w:r w:rsidR="004B4F59">
        <w:rPr>
          <w:b w:val="0"/>
        </w:rPr>
        <w:t>element</w:t>
      </w:r>
      <w:r w:rsidRPr="008C0A27">
        <w:rPr>
          <w:b w:val="0"/>
        </w:rPr>
        <w:t xml:space="preserve"> on the</w:t>
      </w:r>
      <w:r w:rsidR="009F6BC2">
        <w:rPr>
          <w:b w:val="0"/>
        </w:rPr>
        <w:t>ir Service C</w:t>
      </w:r>
      <w:r w:rsidRPr="008C0A27">
        <w:rPr>
          <w:b w:val="0"/>
        </w:rPr>
        <w:t>atalogue and there subsequently is evidenced to b</w:t>
      </w:r>
      <w:r w:rsidR="009F6BC2">
        <w:rPr>
          <w:b w:val="0"/>
        </w:rPr>
        <w:t xml:space="preserve">e such a service </w:t>
      </w:r>
      <w:r w:rsidR="004B4F59">
        <w:rPr>
          <w:b w:val="0"/>
        </w:rPr>
        <w:t>element</w:t>
      </w:r>
      <w:r w:rsidR="009F6BC2">
        <w:rPr>
          <w:b w:val="0"/>
        </w:rPr>
        <w:t>, the S</w:t>
      </w:r>
      <w:r w:rsidRPr="008C0A27">
        <w:rPr>
          <w:b w:val="0"/>
        </w:rPr>
        <w:t xml:space="preserve">upplier will be in breach of this requirement, </w:t>
      </w:r>
      <w:r w:rsidR="0059138E">
        <w:rPr>
          <w:b w:val="0"/>
        </w:rPr>
        <w:t xml:space="preserve">with </w:t>
      </w:r>
      <w:r w:rsidRPr="008C0A27">
        <w:rPr>
          <w:b w:val="0"/>
        </w:rPr>
        <w:t xml:space="preserve">any such breach being considered a material </w:t>
      </w:r>
      <w:r w:rsidR="009D6AC2">
        <w:rPr>
          <w:b w:val="0"/>
        </w:rPr>
        <w:t>Default</w:t>
      </w:r>
      <w:r w:rsidRPr="008C0A27">
        <w:rPr>
          <w:b w:val="0"/>
        </w:rPr>
        <w:t xml:space="preserve"> of this agreement.</w:t>
      </w:r>
    </w:p>
    <w:p w:rsidR="00F20C99" w:rsidRDefault="00B16D45" w:rsidP="002E61F2">
      <w:pPr>
        <w:pStyle w:val="GPSL1SCHEDULEHeading"/>
      </w:pPr>
      <w:r w:rsidRPr="00522294">
        <w:t>costs and expen</w:t>
      </w:r>
      <w:r>
        <w:t>S</w:t>
      </w:r>
      <w:r w:rsidRPr="00522294">
        <w:t>es</w:t>
      </w:r>
    </w:p>
    <w:p w:rsidR="00F20C99" w:rsidRDefault="00450912" w:rsidP="002E61F2">
      <w:pPr>
        <w:pStyle w:val="GPSL2Numbered"/>
      </w:pPr>
      <w:bookmarkStart w:id="774" w:name="_Ref362012967"/>
      <w:r>
        <w:t>T</w:t>
      </w:r>
      <w:r w:rsidR="00B16D45" w:rsidRPr="00522294">
        <w:t xml:space="preserve">he Framework Prices shall include all </w:t>
      </w:r>
      <w:r w:rsidR="00152FD0">
        <w:t>c</w:t>
      </w:r>
      <w:r w:rsidR="005E1257">
        <w:t xml:space="preserve">harges, </w:t>
      </w:r>
      <w:r w:rsidR="00B16D45" w:rsidRPr="00522294">
        <w:t xml:space="preserve">costs and expenses relating to the Services </w:t>
      </w:r>
      <w:r w:rsidR="00B16D45">
        <w:t xml:space="preserve">provided to Contracting Bodies </w:t>
      </w:r>
      <w:r w:rsidR="00B16D45" w:rsidRPr="00522294">
        <w:t>and/or the Supplier’s performance of its obligations under any Call Off Agreements and no further amounts shall be payable by a Contracting Body to the Supplier in respect of such performance, including in respect of matters such as:</w:t>
      </w:r>
      <w:bookmarkEnd w:id="774"/>
    </w:p>
    <w:p w:rsidR="00F20C99" w:rsidRDefault="00B16D45" w:rsidP="002E61F2">
      <w:pPr>
        <w:pStyle w:val="GPSL3numberedclause"/>
      </w:pPr>
      <w:r w:rsidRPr="00522294">
        <w:t xml:space="preserve">any incidental expenses that the Supplier incurs, including travel, subsistence and lodging, document or report reproduction, shipping, </w:t>
      </w:r>
      <w:r w:rsidRPr="00522294">
        <w:lastRenderedPageBreak/>
        <w:t>desktop or office equipment costs required by the Supplier Personnel, network or data interchange costs or other telecommunications charges; or</w:t>
      </w:r>
    </w:p>
    <w:p w:rsidR="00F20C99" w:rsidRDefault="00B16D45" w:rsidP="002E61F2">
      <w:pPr>
        <w:pStyle w:val="GPSL3numberedclause"/>
      </w:pPr>
      <w:r w:rsidRPr="00522294">
        <w:t>any amount for any services provided or costs incurred by the Supplier prior to the commencement date of any Call Off Agreement.</w:t>
      </w:r>
    </w:p>
    <w:p w:rsidR="00F20C99" w:rsidRDefault="00B16D45" w:rsidP="002E61F2">
      <w:pPr>
        <w:pStyle w:val="GPSL1SCHEDULEHeading"/>
      </w:pPr>
      <w:bookmarkStart w:id="775" w:name="_Ref366090681"/>
      <w:r w:rsidRPr="006875AD">
        <w:t>Adjustment of the Framework Prices</w:t>
      </w:r>
      <w:bookmarkEnd w:id="775"/>
    </w:p>
    <w:p w:rsidR="00F20C99" w:rsidRDefault="00B16D45" w:rsidP="002E61F2">
      <w:pPr>
        <w:pStyle w:val="GPSL2Numbered"/>
      </w:pPr>
      <w:r w:rsidRPr="006875AD">
        <w:t>The Framework Prices shall only be varied:</w:t>
      </w:r>
    </w:p>
    <w:p w:rsidR="00F20C99" w:rsidRDefault="00B16D45" w:rsidP="002E61F2">
      <w:pPr>
        <w:pStyle w:val="GPSL3numberedclause"/>
      </w:pPr>
      <w:bookmarkStart w:id="776" w:name="_Ref366081981"/>
      <w:r w:rsidRPr="006875AD">
        <w:t>due to a Specific Change in Law in relation to which the Parties agree that a change is required to all or part of the Framework Prices in accordance with Clause</w:t>
      </w:r>
      <w:r w:rsidR="002D3D28">
        <w:t xml:space="preserve"> </w:t>
      </w:r>
      <w:r w:rsidR="00F71B15">
        <w:fldChar w:fldCharType="begin"/>
      </w:r>
      <w:r w:rsidR="002D3D28">
        <w:instrText xml:space="preserve"> REF _Ref378412387 \r \h </w:instrText>
      </w:r>
      <w:r w:rsidR="00F71B15">
        <w:fldChar w:fldCharType="separate"/>
      </w:r>
      <w:r w:rsidR="002D3D28">
        <w:t>16.3</w:t>
      </w:r>
      <w:r w:rsidR="00F71B15">
        <w:fldChar w:fldCharType="end"/>
      </w:r>
      <w:r w:rsidR="002D3D28">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776"/>
      <w:r w:rsidRPr="006875AD">
        <w:t xml:space="preserve"> </w:t>
      </w:r>
    </w:p>
    <w:p w:rsidR="00F20C99" w:rsidRDefault="00B16D45" w:rsidP="002E61F2">
      <w:pPr>
        <w:pStyle w:val="GPSL3numberedclause"/>
      </w:pPr>
      <w:bookmarkStart w:id="777"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777"/>
      <w:r>
        <w:t xml:space="preserve"> </w:t>
      </w:r>
    </w:p>
    <w:p w:rsidR="00F20C99" w:rsidRDefault="00B16D45" w:rsidP="002E61F2">
      <w:pPr>
        <w:pStyle w:val="GPSL3numberedclause"/>
      </w:pPr>
      <w:bookmarkStart w:id="778" w:name="_Ref366082023"/>
      <w:r>
        <w:t xml:space="preserve">where </w:t>
      </w:r>
      <w:r w:rsidRPr="006875AD">
        <w:t>all or part of the Framework Prices</w:t>
      </w:r>
      <w:r>
        <w:t xml:space="preserve"> are reviewed and reduced</w:t>
      </w:r>
      <w:r w:rsidR="002E440F">
        <w:t xml:space="preserve"> in accordance with paragraph </w:t>
      </w:r>
      <w:r w:rsidR="00F71B15">
        <w:fldChar w:fldCharType="begin"/>
      </w:r>
      <w:r w:rsidR="002E440F">
        <w:instrText xml:space="preserve"> REF _Ref378412520 \r \h </w:instrText>
      </w:r>
      <w:r w:rsidR="00F71B15">
        <w:fldChar w:fldCharType="separate"/>
      </w:r>
      <w:r w:rsidR="002E440F">
        <w:t>5</w:t>
      </w:r>
      <w:r w:rsidR="00F71B15">
        <w:fldChar w:fldCharType="end"/>
      </w:r>
      <w:r w:rsidRPr="006875AD">
        <w:t xml:space="preserve"> </w:t>
      </w:r>
      <w:r>
        <w:t>of this Framework Schedule 3 (Supplier Periodic Assessment of Framework Prices)</w:t>
      </w:r>
      <w:r w:rsidRPr="006875AD">
        <w:t>;</w:t>
      </w:r>
      <w:bookmarkEnd w:id="778"/>
    </w:p>
    <w:p w:rsidR="00F20C99" w:rsidRDefault="00B16D45" w:rsidP="002E61F2">
      <w:pPr>
        <w:pStyle w:val="GPSL1SCHEDULEHeading"/>
      </w:pPr>
      <w:bookmarkStart w:id="779" w:name="_Ref378412520"/>
      <w:r>
        <w:t>SUPPLIER PERIODIC ASSESSMENT OF FRAMEWORK PRICES</w:t>
      </w:r>
      <w:bookmarkEnd w:id="779"/>
    </w:p>
    <w:p w:rsidR="00F20C99" w:rsidRDefault="00B16D45" w:rsidP="002E61F2">
      <w:pPr>
        <w:pStyle w:val="GPSL2Numbered"/>
      </w:pPr>
      <w:bookmarkStart w:id="780" w:name="_Ref362015781"/>
      <w:r w:rsidRPr="006875AD">
        <w:t>Every</w:t>
      </w:r>
      <w:r>
        <w:t xml:space="preserve"> </w:t>
      </w:r>
      <w:r w:rsidRPr="006875AD">
        <w:t xml:space="preserve">six (6) Months </w:t>
      </w:r>
      <w:r>
        <w:t>during the Framework Period</w:t>
      </w:r>
      <w:r w:rsidRPr="006875AD">
        <w:t>, the Supplier shall assess the level of the Framework Prices to consider whether it is able to reduce them.</w:t>
      </w:r>
      <w:bookmarkEnd w:id="780"/>
      <w:r w:rsidRPr="006875AD">
        <w:t xml:space="preserve">  </w:t>
      </w:r>
    </w:p>
    <w:p w:rsidR="00F20C99" w:rsidRDefault="00B16D45" w:rsidP="002E61F2">
      <w:pPr>
        <w:pStyle w:val="GPSL2Numbered"/>
      </w:pPr>
      <w:r w:rsidRPr="006875AD">
        <w:t>Such assessments</w:t>
      </w:r>
      <w:r>
        <w:t xml:space="preserve"> by the Supplier</w:t>
      </w:r>
      <w:r w:rsidRPr="006875AD">
        <w:t xml:space="preserve"> </w:t>
      </w:r>
      <w:r>
        <w:t xml:space="preserve">under paragraph </w:t>
      </w:r>
      <w:r w:rsidR="000822F5">
        <w:fldChar w:fldCharType="begin"/>
      </w:r>
      <w:r w:rsidR="000822F5">
        <w:instrText xml:space="preserve"> REF _Ref362015781 \r \h  \* MERGEFORMAT </w:instrText>
      </w:r>
      <w:r w:rsidR="000822F5">
        <w:fldChar w:fldCharType="separate"/>
      </w:r>
      <w:r w:rsidR="002E440F">
        <w:t>5.1</w:t>
      </w:r>
      <w:r w:rsidR="000822F5">
        <w:fldChar w:fldCharType="end"/>
      </w:r>
      <w:r>
        <w:t xml:space="preserve"> </w:t>
      </w:r>
      <w:r w:rsidRPr="006875AD">
        <w:t xml:space="preserve">shall be carried out </w:t>
      </w:r>
      <w:r w:rsidRPr="002E440F">
        <w:t xml:space="preserve">on </w:t>
      </w:r>
      <w:r w:rsidR="002E440F" w:rsidRPr="002E440F">
        <w:t xml:space="preserve">1 </w:t>
      </w:r>
      <w:r w:rsidR="00E42099">
        <w:t>June</w:t>
      </w:r>
      <w:r w:rsidR="00E42099" w:rsidRPr="002E440F">
        <w:t xml:space="preserve"> </w:t>
      </w:r>
      <w:r w:rsidRPr="002E440F">
        <w:t xml:space="preserve">and </w:t>
      </w:r>
      <w:r w:rsidR="002E440F" w:rsidRPr="002E440F">
        <w:t>1 December</w:t>
      </w:r>
      <w:r w:rsidRPr="006875AD">
        <w:t xml:space="preserve">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F71B15">
        <w:fldChar w:fldCharType="begin"/>
      </w:r>
      <w:r>
        <w:instrText xml:space="preserve"> REF _Ref361997151 \r \h </w:instrText>
      </w:r>
      <w:r w:rsidR="00F71B15">
        <w:fldChar w:fldCharType="separate"/>
      </w:r>
      <w:r w:rsidR="002E440F">
        <w:t>6.1.3</w:t>
      </w:r>
      <w:r w:rsidR="00F71B15">
        <w:fldChar w:fldCharType="end"/>
      </w:r>
      <w:r w:rsidRPr="006875AD">
        <w:t xml:space="preserve"> below. </w:t>
      </w:r>
    </w:p>
    <w:p w:rsidR="00F20C99" w:rsidRDefault="00B16D45" w:rsidP="002E61F2">
      <w:pPr>
        <w:pStyle w:val="GPSL1SCHEDULEHeading"/>
      </w:pPr>
      <w:r>
        <w:t xml:space="preserve">IMPLEMENTATION OF </w:t>
      </w:r>
      <w:r w:rsidRPr="0049087C">
        <w:t>ADJUSTED</w:t>
      </w:r>
      <w:r>
        <w:t xml:space="preserve"> FRAMEWORK PRICES </w:t>
      </w:r>
    </w:p>
    <w:p w:rsidR="00F20C99" w:rsidRDefault="00B16D45" w:rsidP="002E61F2">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rsidR="00F20C99" w:rsidRDefault="00B16D45" w:rsidP="002E61F2">
      <w:pPr>
        <w:pStyle w:val="GPSL3numberedclause"/>
      </w:pPr>
      <w:r w:rsidRPr="006875AD">
        <w:t>in accordance with Cl</w:t>
      </w:r>
      <w:r>
        <w:t>ause</w:t>
      </w:r>
      <w:r w:rsidR="002D3D28">
        <w:t xml:space="preserve"> 16.3</w:t>
      </w:r>
      <w:r>
        <w:t xml:space="preserve">  (Legislative Change)</w:t>
      </w:r>
      <w:r w:rsidRPr="006875AD">
        <w:t xml:space="preserve"> where an adjustment </w:t>
      </w:r>
      <w:r>
        <w:t xml:space="preserve">to the Framework Prices </w:t>
      </w:r>
      <w:r w:rsidRPr="006875AD">
        <w:t>is made in accordance with paragraph</w:t>
      </w:r>
      <w:r w:rsidR="009D4F4F">
        <w:t xml:space="preserve"> </w:t>
      </w:r>
      <w:r w:rsidR="00F71B15">
        <w:fldChar w:fldCharType="begin"/>
      </w:r>
      <w:r w:rsidR="009D4F4F">
        <w:instrText xml:space="preserve"> REF _Ref366081981 \r \h </w:instrText>
      </w:r>
      <w:r w:rsidR="00F71B15">
        <w:fldChar w:fldCharType="separate"/>
      </w:r>
      <w:r w:rsidR="002E440F">
        <w:t>4.1.1</w:t>
      </w:r>
      <w:r w:rsidR="00F71B15">
        <w:fldChar w:fldCharType="end"/>
      </w:r>
      <w:r w:rsidRPr="006875AD">
        <w:t xml:space="preserve"> </w:t>
      </w:r>
      <w:r>
        <w:t xml:space="preserve">of this Framework Schedule; </w:t>
      </w:r>
    </w:p>
    <w:p w:rsidR="00F20C99" w:rsidRPr="00A17003" w:rsidRDefault="00B16D45" w:rsidP="002E61F2">
      <w:pPr>
        <w:pStyle w:val="GPSL3numberedclause"/>
      </w:pPr>
      <w:r>
        <w:t xml:space="preserve">in accordance with paragraph 3.3.3 and 4.8 of Framework Schedule 12 (Continuous Improvement and Benchmarking) where an adjustment to the Framework </w:t>
      </w:r>
      <w:r w:rsidRPr="00A17003">
        <w:t xml:space="preserve">Prices is made in accordance with paragraph </w:t>
      </w:r>
      <w:r w:rsidR="000822F5">
        <w:fldChar w:fldCharType="begin"/>
      </w:r>
      <w:r w:rsidR="000822F5">
        <w:instrText xml:space="preserve"> REF _Ref362000271 \r \h  \* MERGEFORMAT </w:instrText>
      </w:r>
      <w:r w:rsidR="000822F5">
        <w:fldChar w:fldCharType="separate"/>
      </w:r>
      <w:r w:rsidR="002E440F" w:rsidRPr="00A17003">
        <w:t>4.1.2</w:t>
      </w:r>
      <w:r w:rsidR="000822F5">
        <w:fldChar w:fldCharType="end"/>
      </w:r>
      <w:r w:rsidRPr="00A17003">
        <w:t xml:space="preserve"> of this Framework Schedule 3; </w:t>
      </w:r>
      <w:r w:rsidR="002E440F" w:rsidRPr="00A17003">
        <w:t>or</w:t>
      </w:r>
    </w:p>
    <w:p w:rsidR="00F20C99" w:rsidRDefault="00B16D45" w:rsidP="002E61F2">
      <w:pPr>
        <w:pStyle w:val="GPSL3numberedclause"/>
      </w:pPr>
      <w:bookmarkStart w:id="781" w:name="_Ref361997151"/>
      <w:r w:rsidRPr="00A17003">
        <w:t xml:space="preserve">on </w:t>
      </w:r>
      <w:r w:rsidR="002E440F" w:rsidRPr="00A17003">
        <w:t xml:space="preserve">1 </w:t>
      </w:r>
      <w:r w:rsidR="00E42099">
        <w:t>July</w:t>
      </w:r>
      <w:r w:rsidR="00E42099" w:rsidRPr="00A17003">
        <w:t xml:space="preserve"> </w:t>
      </w:r>
      <w:r w:rsidRPr="00A17003">
        <w:t xml:space="preserve">for assessments made on 1 </w:t>
      </w:r>
      <w:r w:rsidR="00E42099">
        <w:t>June</w:t>
      </w:r>
      <w:r w:rsidR="00E42099" w:rsidRPr="00A17003">
        <w:t xml:space="preserve"> </w:t>
      </w:r>
      <w:r w:rsidRPr="00A17003">
        <w:t xml:space="preserve">and on </w:t>
      </w:r>
      <w:r w:rsidR="002E440F" w:rsidRPr="00A17003">
        <w:t>1 January</w:t>
      </w:r>
      <w:r w:rsidRPr="00A17003">
        <w:t xml:space="preserve"> for assessments made on 1 December</w:t>
      </w:r>
      <w:bookmarkEnd w:id="781"/>
      <w:r w:rsidRPr="00A17003">
        <w:t xml:space="preserve"> where an adjustment to the Framework Prices is made in accordance with</w:t>
      </w:r>
      <w:r>
        <w:t xml:space="preserve"> paragraph</w:t>
      </w:r>
      <w:r w:rsidR="009D4F4F">
        <w:t xml:space="preserve"> </w:t>
      </w:r>
      <w:r w:rsidR="00F71B15">
        <w:fldChar w:fldCharType="begin"/>
      </w:r>
      <w:r w:rsidR="009D4F4F">
        <w:instrText xml:space="preserve"> REF _Ref366082023 \r \h </w:instrText>
      </w:r>
      <w:r w:rsidR="00F71B15">
        <w:fldChar w:fldCharType="separate"/>
      </w:r>
      <w:r w:rsidR="00A17003">
        <w:t>4.1.3</w:t>
      </w:r>
      <w:r w:rsidR="00F71B15">
        <w:fldChar w:fldCharType="end"/>
      </w:r>
      <w:r>
        <w:t xml:space="preserve"> of this Framework Schedule 3 </w:t>
      </w:r>
    </w:p>
    <w:p w:rsidR="008A51E4" w:rsidRDefault="00B16D45">
      <w:pPr>
        <w:pStyle w:val="GPSL2Indent"/>
      </w:pPr>
      <w:r>
        <w:t>and the Parties</w:t>
      </w:r>
      <w:r w:rsidRPr="006875AD">
        <w:t xml:space="preserve"> shall amend the Framework Prices to reflect such variations.</w:t>
      </w:r>
    </w:p>
    <w:p w:rsidR="008A51E4" w:rsidRDefault="008A51E4" w:rsidP="008A51E4">
      <w:pPr>
        <w:pStyle w:val="GPSSchAnnexname"/>
      </w:pPr>
      <w:bookmarkStart w:id="782" w:name="_Toc379488090"/>
      <w:bookmarkStart w:id="783" w:name="_Toc380052192"/>
      <w:bookmarkStart w:id="784" w:name="_Toc380052703"/>
      <w:bookmarkStart w:id="785" w:name="_Toc391545387"/>
      <w:r>
        <w:lastRenderedPageBreak/>
        <w:t>ANNEX 1: SERVICE CATALOGUE</w:t>
      </w:r>
      <w:bookmarkEnd w:id="782"/>
      <w:bookmarkEnd w:id="783"/>
      <w:bookmarkEnd w:id="784"/>
      <w:bookmarkEnd w:id="785"/>
    </w:p>
    <w:p w:rsidR="002351D3" w:rsidRDefault="002351D3" w:rsidP="002351D3">
      <w:pPr>
        <w:pStyle w:val="GPSL2Indent"/>
      </w:pPr>
      <w:r>
        <w:t xml:space="preserve">Part A </w:t>
      </w:r>
    </w:p>
    <w:p w:rsidR="002351D3" w:rsidRDefault="002351D3" w:rsidP="002351D3">
      <w:pPr>
        <w:pStyle w:val="GPSL2Indent"/>
      </w:pPr>
      <w:r>
        <w:t>[</w:t>
      </w:r>
      <w:r w:rsidRPr="009A542D">
        <w:rPr>
          <w:b/>
          <w:highlight w:val="green"/>
        </w:rPr>
        <w:t xml:space="preserve">Guidance Note: The Mandatory Service Package to be appended to this </w:t>
      </w:r>
      <w:r>
        <w:rPr>
          <w:b/>
          <w:highlight w:val="green"/>
        </w:rPr>
        <w:t xml:space="preserve">Part A of </w:t>
      </w:r>
      <w:r w:rsidRPr="009A542D">
        <w:rPr>
          <w:b/>
          <w:highlight w:val="green"/>
        </w:rPr>
        <w:t>Annex 1</w:t>
      </w:r>
      <w:r>
        <w:t>].</w:t>
      </w:r>
    </w:p>
    <w:p w:rsidR="002351D3" w:rsidRDefault="002351D3" w:rsidP="002351D3">
      <w:pPr>
        <w:pStyle w:val="GPSL2Indent"/>
      </w:pPr>
      <w:r>
        <w:t>Part B</w:t>
      </w:r>
    </w:p>
    <w:p w:rsidR="002351D3" w:rsidRDefault="002351D3" w:rsidP="002351D3">
      <w:pPr>
        <w:pStyle w:val="GPSL2Indent"/>
      </w:pPr>
      <w:r w:rsidRPr="003C00A8">
        <w:rPr>
          <w:highlight w:val="green"/>
        </w:rPr>
        <w:t>[</w:t>
      </w:r>
      <w:r w:rsidRPr="003C00A8">
        <w:rPr>
          <w:b/>
          <w:highlight w:val="green"/>
        </w:rPr>
        <w:t xml:space="preserve">Guidance Note: Any Service Packages </w:t>
      </w:r>
      <w:r>
        <w:rPr>
          <w:b/>
          <w:highlight w:val="green"/>
        </w:rPr>
        <w:t xml:space="preserve">other than the Mandatory Service Packages </w:t>
      </w:r>
      <w:r w:rsidRPr="003C00A8">
        <w:rPr>
          <w:b/>
          <w:highlight w:val="green"/>
        </w:rPr>
        <w:t xml:space="preserve">are to be appended to this </w:t>
      </w:r>
      <w:r>
        <w:rPr>
          <w:b/>
          <w:highlight w:val="green"/>
        </w:rPr>
        <w:t xml:space="preserve">Part B of </w:t>
      </w:r>
      <w:r w:rsidRPr="003C00A8">
        <w:rPr>
          <w:b/>
          <w:highlight w:val="green"/>
        </w:rPr>
        <w:t>Annex 1 following Approval in accordance with Clause 16.2</w:t>
      </w:r>
      <w:r>
        <w:t>].</w:t>
      </w:r>
    </w:p>
    <w:p w:rsidR="008A51E4" w:rsidRDefault="008A51E4">
      <w:pPr>
        <w:pStyle w:val="GPSL2Indent"/>
      </w:pPr>
    </w:p>
    <w:p w:rsidR="00B16D45" w:rsidRPr="0002180B" w:rsidRDefault="0038239E" w:rsidP="009A542D">
      <w:pPr>
        <w:pStyle w:val="GPSmacrorestart"/>
      </w:pPr>
      <w:bookmarkStart w:id="786" w:name="_Toc292714633"/>
      <w:r>
        <w:br w:type="page"/>
      </w:r>
      <w:bookmarkStart w:id="787" w:name="_DV_M295"/>
      <w:bookmarkStart w:id="788" w:name="_DV_M298"/>
      <w:bookmarkStart w:id="789" w:name="_DV_M299"/>
      <w:bookmarkStart w:id="790" w:name="_DV_M300"/>
      <w:bookmarkStart w:id="791" w:name="_DV_M303"/>
      <w:bookmarkStart w:id="792" w:name="_DV_M304"/>
      <w:bookmarkEnd w:id="786"/>
      <w:bookmarkEnd w:id="787"/>
      <w:bookmarkEnd w:id="788"/>
      <w:bookmarkEnd w:id="789"/>
      <w:bookmarkEnd w:id="790"/>
      <w:bookmarkEnd w:id="791"/>
      <w:bookmarkEnd w:id="792"/>
    </w:p>
    <w:p w:rsidR="00F20C99" w:rsidRDefault="00A335C2">
      <w:pPr>
        <w:pStyle w:val="GPSSchTitleandNumber"/>
      </w:pPr>
      <w:bookmarkStart w:id="793" w:name="_Toc366085186"/>
      <w:bookmarkStart w:id="794" w:name="_Toc379488091"/>
      <w:bookmarkStart w:id="795" w:name="_Toc380052193"/>
      <w:bookmarkStart w:id="796" w:name="_Toc380052704"/>
      <w:bookmarkStart w:id="797" w:name="_Toc391545388"/>
      <w:r>
        <w:rPr>
          <w:caps w:val="0"/>
        </w:rPr>
        <w:lastRenderedPageBreak/>
        <w:t xml:space="preserve">FRAMEWORK SCHEDULE 4: </w:t>
      </w:r>
      <w:r w:rsidRPr="0038239E">
        <w:rPr>
          <w:caps w:val="0"/>
        </w:rPr>
        <w:t>TEMPLATE ORDER FORM AND TEMPLATE CALL OFF TERMS</w:t>
      </w:r>
      <w:bookmarkEnd w:id="793"/>
      <w:bookmarkEnd w:id="794"/>
      <w:bookmarkEnd w:id="795"/>
      <w:bookmarkEnd w:id="796"/>
      <w:bookmarkEnd w:id="797"/>
    </w:p>
    <w:p w:rsidR="00D12C54" w:rsidRDefault="001B358B" w:rsidP="0038239E">
      <w:pPr>
        <w:pStyle w:val="GPSSchAnnexname"/>
      </w:pPr>
      <w:bookmarkStart w:id="798" w:name="_Toc365027615"/>
      <w:bookmarkStart w:id="799" w:name="_Toc366085187"/>
      <w:bookmarkStart w:id="800" w:name="_Toc379488092"/>
      <w:bookmarkStart w:id="801" w:name="_Toc380052194"/>
      <w:bookmarkStart w:id="802" w:name="_Toc380052705"/>
      <w:bookmarkStart w:id="803" w:name="_Toc391545389"/>
      <w:r>
        <w:t xml:space="preserve">PART </w:t>
      </w:r>
      <w:r w:rsidR="0038239E">
        <w:t xml:space="preserve">1: </w:t>
      </w:r>
      <w:r w:rsidR="0038239E" w:rsidRPr="006875AD">
        <w:t xml:space="preserve">TEMPLATE ORDER </w:t>
      </w:r>
      <w:r w:rsidR="0038239E" w:rsidRPr="007A430F">
        <w:t>FORM</w:t>
      </w:r>
      <w:bookmarkEnd w:id="798"/>
      <w:bookmarkEnd w:id="799"/>
      <w:bookmarkEnd w:id="800"/>
      <w:bookmarkEnd w:id="801"/>
      <w:bookmarkEnd w:id="802"/>
      <w:bookmarkEnd w:id="803"/>
    </w:p>
    <w:p w:rsidR="00F20C99" w:rsidRDefault="00D12C54" w:rsidP="007E2634">
      <w:pPr>
        <w:pStyle w:val="GPSSchAnnexname"/>
      </w:pPr>
      <w:r>
        <w:br w:type="page"/>
      </w:r>
      <w:bookmarkStart w:id="804" w:name="_Toc365027616"/>
      <w:bookmarkStart w:id="805" w:name="_Toc366085188"/>
      <w:bookmarkStart w:id="806" w:name="_Toc379488093"/>
      <w:bookmarkStart w:id="807" w:name="_Toc380052195"/>
      <w:bookmarkStart w:id="808" w:name="_Toc380052706"/>
      <w:bookmarkStart w:id="809" w:name="_Toc391545390"/>
      <w:r w:rsidR="001B358B">
        <w:lastRenderedPageBreak/>
        <w:t>PART</w:t>
      </w:r>
      <w:r w:rsidR="001B358B" w:rsidRPr="00D7683C">
        <w:t xml:space="preserve"> </w:t>
      </w:r>
      <w:r w:rsidR="0038239E" w:rsidRPr="00D7683C">
        <w:t>2: TEMPLATE CALL</w:t>
      </w:r>
      <w:r w:rsidR="0038239E">
        <w:t xml:space="preserve"> </w:t>
      </w:r>
      <w:r w:rsidR="0038239E" w:rsidRPr="00D7683C">
        <w:t>OFF TERMS</w:t>
      </w:r>
      <w:bookmarkEnd w:id="804"/>
      <w:bookmarkEnd w:id="805"/>
      <w:bookmarkEnd w:id="806"/>
      <w:bookmarkEnd w:id="807"/>
      <w:bookmarkEnd w:id="808"/>
      <w:bookmarkEnd w:id="809"/>
    </w:p>
    <w:p w:rsidR="00434D4A" w:rsidRPr="006875AD" w:rsidRDefault="00434D4A" w:rsidP="007E2634">
      <w:pPr>
        <w:pStyle w:val="GPSSchTitleandNumber"/>
      </w:pPr>
      <w:bookmarkStart w:id="810" w:name="_Toc365027617"/>
      <w:r>
        <w:br w:type="page"/>
      </w:r>
      <w:bookmarkStart w:id="811" w:name="_Toc366085189"/>
      <w:bookmarkStart w:id="812" w:name="_Toc379488094"/>
      <w:bookmarkStart w:id="813" w:name="_Toc380052196"/>
      <w:bookmarkStart w:id="814" w:name="_Toc380052707"/>
      <w:bookmarkStart w:id="815" w:name="_Toc391545391"/>
      <w:r w:rsidRPr="006875AD">
        <w:lastRenderedPageBreak/>
        <w:t>FRAMEWORK SCHEDULE 5: CALL OFF PROCEDURE</w:t>
      </w:r>
      <w:bookmarkEnd w:id="810"/>
      <w:bookmarkEnd w:id="811"/>
      <w:bookmarkEnd w:id="812"/>
      <w:bookmarkEnd w:id="813"/>
      <w:bookmarkEnd w:id="814"/>
      <w:bookmarkEnd w:id="815"/>
    </w:p>
    <w:p w:rsidR="00F20C99" w:rsidRDefault="00434D4A" w:rsidP="00F2746A">
      <w:pPr>
        <w:pStyle w:val="GPSL1CLAUSEHEADING"/>
        <w:numPr>
          <w:ilvl w:val="0"/>
          <w:numId w:val="558"/>
        </w:numPr>
      </w:pPr>
      <w:bookmarkStart w:id="816" w:name="_Ref365977839"/>
      <w:bookmarkStart w:id="817" w:name="_Toc379488095"/>
      <w:bookmarkStart w:id="818" w:name="_Toc380052197"/>
      <w:bookmarkStart w:id="819" w:name="_Toc380052708"/>
      <w:bookmarkStart w:id="820" w:name="_Toc380053731"/>
      <w:bookmarkStart w:id="821" w:name="_Toc391545392"/>
      <w:r w:rsidRPr="006875AD">
        <w:t>AWARD PROCEDURE</w:t>
      </w:r>
      <w:bookmarkEnd w:id="816"/>
      <w:bookmarkEnd w:id="817"/>
      <w:bookmarkEnd w:id="818"/>
      <w:bookmarkEnd w:id="819"/>
      <w:bookmarkEnd w:id="820"/>
      <w:bookmarkEnd w:id="821"/>
    </w:p>
    <w:p w:rsidR="00F20C99" w:rsidRDefault="00434D4A" w:rsidP="002E61F2">
      <w:pPr>
        <w:pStyle w:val="GPSL2Numbered"/>
      </w:pPr>
      <w:bookmarkStart w:id="822" w:name="_Ref365977808"/>
      <w:r w:rsidRPr="006875AD">
        <w:t xml:space="preserve">If the Authority or any Other Contracting Body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t>“</w:t>
      </w:r>
      <w:r w:rsidRPr="006875AD">
        <w:rPr>
          <w:b/>
        </w:rPr>
        <w:t>Guidance</w:t>
      </w:r>
      <w:r w:rsidRPr="006875AD">
        <w:t>” shall mean any guidance issued or updated by the UK Government from time to time in relation to the Regulations.</w:t>
      </w:r>
      <w:bookmarkEnd w:id="822"/>
    </w:p>
    <w:p w:rsidR="00F20C99" w:rsidRPr="00227E8F" w:rsidRDefault="00434D4A" w:rsidP="002E61F2">
      <w:pPr>
        <w:pStyle w:val="GPSL2Numbered"/>
      </w:pPr>
      <w:bookmarkStart w:id="823" w:name="_Ref366082589"/>
      <w:r w:rsidRPr="00227E8F">
        <w:t>If a Contracting Body can determine that:</w:t>
      </w:r>
      <w:bookmarkEnd w:id="823"/>
      <w:r w:rsidRPr="00227E8F">
        <w:t xml:space="preserve"> </w:t>
      </w:r>
    </w:p>
    <w:p w:rsidR="000D3063" w:rsidRPr="00227E8F" w:rsidRDefault="00434D4A" w:rsidP="002E61F2">
      <w:pPr>
        <w:pStyle w:val="GPSL3numberedclause"/>
      </w:pPr>
      <w:r w:rsidRPr="00227E8F">
        <w:t xml:space="preserve">its Services Requirements </w:t>
      </w:r>
      <w:r w:rsidR="000D3063" w:rsidRPr="00227E8F">
        <w:t xml:space="preserve">can be met by the use of one of the Service Packages included in the Service Catalogue; and </w:t>
      </w:r>
    </w:p>
    <w:p w:rsidR="00F20C99" w:rsidRDefault="00434D4A" w:rsidP="002E61F2">
      <w:pPr>
        <w:pStyle w:val="GPSL3numberedclause"/>
      </w:pPr>
      <w:r w:rsidRPr="00227E8F">
        <w:t>all of the terms of the proposed Call Off Agreement are laid down in this Framework</w:t>
      </w:r>
      <w:r w:rsidRPr="006875AD">
        <w:t xml:space="preserve">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F20C99" w:rsidRDefault="00434D4A">
      <w:pPr>
        <w:pStyle w:val="GPSL2Indent"/>
      </w:pPr>
      <w:r w:rsidRPr="006017B2">
        <w:t xml:space="preserve">then the Contracting Body may </w:t>
      </w:r>
      <w:r w:rsidRPr="006365CA">
        <w:t>award</w:t>
      </w:r>
      <w:r w:rsidRPr="006017B2">
        <w:t xml:space="preserve"> a Call Off Agreement in accordance with the procedure set out in paragraph</w:t>
      </w:r>
      <w:r w:rsidR="00932F6E">
        <w:t xml:space="preserve"> </w:t>
      </w:r>
      <w:r w:rsidR="00F71B15">
        <w:fldChar w:fldCharType="begin"/>
      </w:r>
      <w:r w:rsidR="00932F6E">
        <w:instrText xml:space="preserve"> REF _Ref365977566 \r \h </w:instrText>
      </w:r>
      <w:r w:rsidR="00F71B15">
        <w:fldChar w:fldCharType="separate"/>
      </w:r>
      <w:r w:rsidR="00B3040B">
        <w:t>2</w:t>
      </w:r>
      <w:r w:rsidR="00F71B15">
        <w:fldChar w:fldCharType="end"/>
      </w:r>
      <w:r w:rsidR="009D4F4F">
        <w:t xml:space="preserve"> </w:t>
      </w:r>
      <w:r w:rsidRPr="006017B2">
        <w:t xml:space="preserve"> below.</w:t>
      </w:r>
    </w:p>
    <w:p w:rsidR="00F20C99" w:rsidRDefault="00434D4A" w:rsidP="002E61F2">
      <w:pPr>
        <w:pStyle w:val="GPSL2Numbered"/>
      </w:pPr>
      <w:r w:rsidRPr="006875AD">
        <w:t>If all of the terms of the proposed Call Off Agreement are not laid down in this Framework Agreement and a Contracting Body:</w:t>
      </w:r>
    </w:p>
    <w:p w:rsidR="00F20C99" w:rsidRDefault="00434D4A" w:rsidP="002E61F2">
      <w:pPr>
        <w:pStyle w:val="GPSL3numberedclause"/>
      </w:pPr>
      <w:r w:rsidRPr="006875AD">
        <w:t xml:space="preserve">requires the Supplier to develop proposals or a solution in respect of such Contracting Body's Services Requirements; and/or </w:t>
      </w:r>
    </w:p>
    <w:p w:rsidR="00F20C99" w:rsidRDefault="00434D4A" w:rsidP="002E61F2">
      <w:pPr>
        <w:pStyle w:val="GPSL3numberedclause"/>
      </w:pPr>
      <w:r w:rsidRPr="006875AD">
        <w:t>needs to amend or refine the Template Call</w:t>
      </w:r>
      <w:r>
        <w:t xml:space="preserve"> </w:t>
      </w:r>
      <w:r w:rsidRPr="006875AD">
        <w:t>Off Terms to reflect its Services Requirements to the extent permitted by and in accordance with the Regulations and Guidance;</w:t>
      </w:r>
    </w:p>
    <w:p w:rsidR="00F20C99" w:rsidRDefault="00434D4A">
      <w:pPr>
        <w:pStyle w:val="GPSL2Indent"/>
      </w:pPr>
      <w:r w:rsidRPr="006875AD">
        <w:t xml:space="preserve">then the Contracting Body shall </w:t>
      </w:r>
      <w:r>
        <w:t xml:space="preserve">award a Call Off Agreement </w:t>
      </w:r>
      <w:r w:rsidRPr="006875AD">
        <w:t>in accordance with the Further Competition Procedure set out in paragraph</w:t>
      </w:r>
      <w:r w:rsidR="00932F6E">
        <w:t xml:space="preserve"> </w:t>
      </w:r>
      <w:r w:rsidR="00F71B15">
        <w:fldChar w:fldCharType="begin"/>
      </w:r>
      <w:r w:rsidR="00932F6E">
        <w:instrText xml:space="preserve"> REF _Ref365977578 \r \h </w:instrText>
      </w:r>
      <w:r w:rsidR="00F71B15">
        <w:fldChar w:fldCharType="separate"/>
      </w:r>
      <w:r w:rsidR="00B3040B">
        <w:t>3</w:t>
      </w:r>
      <w:r w:rsidR="00F71B15">
        <w:fldChar w:fldCharType="end"/>
      </w:r>
      <w:r w:rsidRPr="006875AD">
        <w:t xml:space="preserve"> below.</w:t>
      </w:r>
    </w:p>
    <w:p w:rsidR="00F20C99" w:rsidRDefault="00434D4A" w:rsidP="002E61F2">
      <w:pPr>
        <w:pStyle w:val="GPSL1SCHEDULEHeading"/>
      </w:pPr>
      <w:bookmarkStart w:id="824" w:name="_Ref365977566"/>
      <w:r w:rsidRPr="006875AD">
        <w:t>DIRECT ORDERING WITHOUT A FURTHER COMPETITION</w:t>
      </w:r>
      <w:bookmarkEnd w:id="824"/>
    </w:p>
    <w:p w:rsidR="00F20C99" w:rsidRDefault="00434D4A" w:rsidP="002E61F2">
      <w:pPr>
        <w:pStyle w:val="GPSL2Numbered"/>
      </w:pPr>
      <w:r w:rsidRPr="006875AD">
        <w:t>Subject to paragraph</w:t>
      </w:r>
      <w:r w:rsidR="00932F6E">
        <w:t xml:space="preserve"> </w:t>
      </w:r>
      <w:r w:rsidR="00F71B15">
        <w:fldChar w:fldCharType="begin"/>
      </w:r>
      <w:r w:rsidR="00932F6E">
        <w:instrText xml:space="preserve"> REF _Ref366082589 \r \h </w:instrText>
      </w:r>
      <w:r w:rsidR="00F71B15">
        <w:fldChar w:fldCharType="separate"/>
      </w:r>
      <w:r w:rsidR="00B3040B">
        <w:t>1.2</w:t>
      </w:r>
      <w:r w:rsidR="00F71B15">
        <w:fldChar w:fldCharType="end"/>
      </w:r>
      <w:r w:rsidRPr="006875AD">
        <w:t xml:space="preserve"> above any Contracting Body awarding a Call Off Agreement under this Framework Agreement without holding a further competition shall:</w:t>
      </w:r>
    </w:p>
    <w:p w:rsidR="00F20C99" w:rsidRDefault="00434D4A" w:rsidP="002E61F2">
      <w:pPr>
        <w:pStyle w:val="GPSL3numberedclause"/>
      </w:pPr>
      <w:r w:rsidRPr="006875AD">
        <w:t>develop a clear Statement of Requirements;</w:t>
      </w:r>
    </w:p>
    <w:p w:rsidR="000D3063" w:rsidRPr="0020329D" w:rsidRDefault="000D3063" w:rsidP="000D3063">
      <w:pPr>
        <w:pStyle w:val="GPSL3numberedclause"/>
      </w:pPr>
      <w:bookmarkStart w:id="825" w:name="_Ref359579653"/>
      <w:r w:rsidRPr="0020329D">
        <w:t>identify all Service Packages from the Service Catalogue that meet the Statement of Requirements by assessing the Service Package service descriptions;</w:t>
      </w:r>
      <w:bookmarkEnd w:id="825"/>
    </w:p>
    <w:p w:rsidR="00F20C99" w:rsidRDefault="00434D4A" w:rsidP="002E61F2">
      <w:pPr>
        <w:pStyle w:val="GPSL3numberedclause"/>
      </w:pPr>
      <w:r w:rsidRPr="006875AD">
        <w:t xml:space="preserve">apply the Direct Award Criteria to the </w:t>
      </w:r>
      <w:r w:rsidR="000D3063">
        <w:t>Service Packages Identified in paragraph 2.1.2</w:t>
      </w:r>
      <w:r w:rsidRPr="006875AD">
        <w:t xml:space="preserve"> in order to establish which of the </w:t>
      </w:r>
      <w:r w:rsidR="000D3063">
        <w:t>Service Packages</w:t>
      </w:r>
      <w:r w:rsidRPr="006875AD">
        <w:t xml:space="preserve"> provides the most economically advantageous solution; and</w:t>
      </w:r>
    </w:p>
    <w:p w:rsidR="00F20C99" w:rsidRDefault="00434D4A" w:rsidP="002E61F2">
      <w:pPr>
        <w:pStyle w:val="GPSL3numberedclause"/>
      </w:pPr>
      <w:r w:rsidRPr="006875AD">
        <w:t xml:space="preserve">on the basis set out above, award the Call Off Agreement with the successful Framework Supplier in accordance with paragraph </w:t>
      </w:r>
      <w:r w:rsidR="00F71B15">
        <w:fldChar w:fldCharType="begin"/>
      </w:r>
      <w:r w:rsidR="00897B71">
        <w:instrText xml:space="preserve"> REF _Ref365972472 \r \h </w:instrText>
      </w:r>
      <w:r w:rsidR="00F71B15">
        <w:fldChar w:fldCharType="separate"/>
      </w:r>
      <w:r w:rsidR="00B3040B">
        <w:t>7</w:t>
      </w:r>
      <w:r w:rsidR="00F71B15">
        <w:fldChar w:fldCharType="end"/>
      </w:r>
      <w:r w:rsidR="00DD1A3C">
        <w:t xml:space="preserve"> </w:t>
      </w:r>
      <w:r w:rsidRPr="006875AD">
        <w:t>below.</w:t>
      </w:r>
    </w:p>
    <w:p w:rsidR="00F20C99" w:rsidRDefault="00434D4A" w:rsidP="002E61F2">
      <w:pPr>
        <w:pStyle w:val="GPSL1SCHEDULEHeading"/>
      </w:pPr>
      <w:bookmarkStart w:id="826" w:name="_Ref365977578"/>
      <w:r w:rsidRPr="006875AD">
        <w:t>FURTHER COMPETITION PROCEDURE</w:t>
      </w:r>
      <w:bookmarkEnd w:id="826"/>
    </w:p>
    <w:p w:rsidR="00F20C99" w:rsidRDefault="00434D4A" w:rsidP="002E61F2">
      <w:pPr>
        <w:pStyle w:val="GPSL2non-numberboldheading"/>
      </w:pPr>
      <w:r w:rsidRPr="005E46CF">
        <w:lastRenderedPageBreak/>
        <w:t>Contracting Body's Obligations</w:t>
      </w:r>
    </w:p>
    <w:p w:rsidR="00F20C99" w:rsidRDefault="00434D4A" w:rsidP="002E61F2">
      <w:pPr>
        <w:pStyle w:val="GPSL2Numbered"/>
      </w:pPr>
      <w:r w:rsidRPr="006875AD">
        <w:t xml:space="preserve">Any Contracting Body awarding a Call Off Agreement under this Framework Agreement through a </w:t>
      </w:r>
      <w:r w:rsidRPr="009B7E67">
        <w:t xml:space="preserve">Further Competition Procedure </w:t>
      </w:r>
      <w:r w:rsidRPr="006875AD">
        <w:t>shall:</w:t>
      </w:r>
    </w:p>
    <w:p w:rsidR="00F20C99" w:rsidRDefault="00434D4A" w:rsidP="002E61F2">
      <w:pPr>
        <w:pStyle w:val="GPSL3numberedclause"/>
      </w:pPr>
      <w:bookmarkStart w:id="827" w:name="_Ref366090967"/>
      <w:r w:rsidRPr="006875AD">
        <w:t>develop a Statement of Requirements setting out its requirements for the Services and identify the Framework Suppliers capable of supplying the Services;</w:t>
      </w:r>
      <w:bookmarkEnd w:id="827"/>
      <w:r w:rsidRPr="006875AD">
        <w:t xml:space="preserve"> </w:t>
      </w:r>
    </w:p>
    <w:p w:rsidR="00F20C99" w:rsidRDefault="00434D4A" w:rsidP="002E61F2">
      <w:pPr>
        <w:pStyle w:val="GPSL3numberedclause"/>
      </w:pPr>
      <w:bookmarkStart w:id="828" w:name="_Ref365975690"/>
      <w:r w:rsidRPr="006875AD">
        <w:t xml:space="preserve">amend </w:t>
      </w:r>
      <w:r w:rsidR="00CE1C40">
        <w:t xml:space="preserve">or refine the Template Order </w:t>
      </w:r>
      <w:r w:rsidRPr="006875AD">
        <w:t>Form and Template Call</w:t>
      </w:r>
      <w:r>
        <w:t xml:space="preserve"> </w:t>
      </w:r>
      <w:r w:rsidRPr="006875AD">
        <w:t>Off Terms to reflect its Services Requirements only to the extent permitted</w:t>
      </w:r>
      <w:r w:rsidR="00E16208">
        <w:t xml:space="preserve"> </w:t>
      </w:r>
      <w:r w:rsidRPr="006875AD">
        <w:t>by and in accordance with the requirements of the Regulations and Guidance;</w:t>
      </w:r>
      <w:bookmarkEnd w:id="828"/>
    </w:p>
    <w:p w:rsidR="00F20C99" w:rsidRDefault="00434D4A" w:rsidP="002E61F2">
      <w:pPr>
        <w:pStyle w:val="GPSL3numberedclause"/>
      </w:pPr>
      <w:bookmarkStart w:id="829" w:name="_Ref365976108"/>
      <w:r w:rsidRPr="006875AD">
        <w:t xml:space="preserve">invite tenders by </w:t>
      </w:r>
      <w:r w:rsidR="00CE1C40">
        <w:t>issuing the Order</w:t>
      </w:r>
      <w:r w:rsidR="000A6F39">
        <w:t xml:space="preserve"> Form and Call Off Terms to the Framework Suppliers identified pursuant to paragraph 3.1.1; and </w:t>
      </w:r>
      <w:r w:rsidRPr="006875AD">
        <w:t xml:space="preserve">conducting a </w:t>
      </w:r>
      <w:r w:rsidRPr="009B7E67">
        <w:t xml:space="preserve">Further Competition Procedure </w:t>
      </w:r>
      <w:r w:rsidRPr="006875AD">
        <w:t>for its Services Requirements in accordance with the Regulations and Guidance and in particular:</w:t>
      </w:r>
      <w:bookmarkEnd w:id="829"/>
    </w:p>
    <w:p w:rsidR="00F20C99" w:rsidRPr="0052607D" w:rsidRDefault="00ED5703" w:rsidP="007E2634">
      <w:pPr>
        <w:pStyle w:val="GPSL4numberedclause"/>
      </w:pPr>
      <w:r w:rsidRPr="00ED5703">
        <w:t xml:space="preserve">if an Electronic Reverse Auction (as defined in paragraph </w:t>
      </w:r>
      <w:r w:rsidR="000822F5">
        <w:fldChar w:fldCharType="begin"/>
      </w:r>
      <w:r w:rsidR="000822F5">
        <w:instrText xml:space="preserve"> REF _Ref366082653 \r \h  \* MERGEFORMAT </w:instrText>
      </w:r>
      <w:r w:rsidR="000822F5">
        <w:fldChar w:fldCharType="separate"/>
      </w:r>
      <w:r w:rsidRPr="00ED5703">
        <w:t>4</w:t>
      </w:r>
      <w:r w:rsidR="000822F5">
        <w:fldChar w:fldCharType="end"/>
      </w:r>
      <w:r w:rsidRPr="00ED5703">
        <w:t xml:space="preserve">  below) is to be held the Contracting Body shall notify the Framework Suppliers identified in accordance with paragraph </w:t>
      </w:r>
      <w:r w:rsidR="000822F5">
        <w:fldChar w:fldCharType="begin"/>
      </w:r>
      <w:r w:rsidR="000822F5">
        <w:instrText xml:space="preserve"> REF _Ref366090967 \r \h  \* MERGEFORMAT </w:instrText>
      </w:r>
      <w:r w:rsidR="000822F5">
        <w:fldChar w:fldCharType="separate"/>
      </w:r>
      <w:r w:rsidRPr="00ED5703">
        <w:t>3.1.1</w:t>
      </w:r>
      <w:r w:rsidR="000822F5">
        <w:fldChar w:fldCharType="end"/>
      </w:r>
      <w:r w:rsidRPr="00ED5703">
        <w:t xml:space="preserve">and shall conduct the Further Competition Procedure in accordance with the procedures set out in paragraph </w:t>
      </w:r>
      <w:r w:rsidR="000822F5">
        <w:fldChar w:fldCharType="begin"/>
      </w:r>
      <w:r w:rsidR="000822F5">
        <w:instrText xml:space="preserve"> REF _Ref366090983 \r \h  \* MERGEFORMAT </w:instrText>
      </w:r>
      <w:r w:rsidR="000822F5">
        <w:fldChar w:fldCharType="separate"/>
      </w:r>
      <w:r w:rsidRPr="00ED5703">
        <w:t>4.3</w:t>
      </w:r>
      <w:r w:rsidR="000822F5">
        <w:fldChar w:fldCharType="end"/>
      </w:r>
      <w:r w:rsidRPr="00ED5703">
        <w:t>; or</w:t>
      </w:r>
    </w:p>
    <w:p w:rsidR="00F20C99" w:rsidRPr="0052607D" w:rsidRDefault="00ED5703" w:rsidP="007E2634">
      <w:pPr>
        <w:pStyle w:val="GPSL4numberedclause"/>
      </w:pPr>
      <w:r w:rsidRPr="00ED5703">
        <w:t>if an Electronic Reverse Auction is not used, the Contracting Body shall:</w:t>
      </w:r>
    </w:p>
    <w:p w:rsidR="00F20C99" w:rsidRPr="0052607D" w:rsidRDefault="00ED5703" w:rsidP="007E2634">
      <w:pPr>
        <w:pStyle w:val="GPSL5numberedclause"/>
      </w:pPr>
      <w:r w:rsidRPr="00ED5703">
        <w:t xml:space="preserve">invite the Framework Suppliers identified in accordance with paragraph </w:t>
      </w:r>
      <w:r w:rsidR="000822F5">
        <w:fldChar w:fldCharType="begin"/>
      </w:r>
      <w:r w:rsidR="000822F5">
        <w:instrText xml:space="preserve"> REF _Ref366090967 \r \h  \* MERGEFORMAT </w:instrText>
      </w:r>
      <w:r w:rsidR="000822F5">
        <w:fldChar w:fldCharType="separate"/>
      </w:r>
      <w:r w:rsidRPr="00ED5703">
        <w:t>3.1.1</w:t>
      </w:r>
      <w:r w:rsidR="000822F5">
        <w:fldChar w:fldCharType="end"/>
      </w:r>
      <w:r w:rsidRPr="00ED5703">
        <w:t xml:space="preserve"> to submit a tender in writing for each proposed Call Off Agreement to be awarded by giving written notice by email to the relevant Supplier Representative of each Framework Supplier;</w:t>
      </w:r>
    </w:p>
    <w:p w:rsidR="00F20C99" w:rsidRPr="0052607D" w:rsidRDefault="00ED5703" w:rsidP="007E2634">
      <w:pPr>
        <w:pStyle w:val="GPSL5numberedclause"/>
      </w:pPr>
      <w:r w:rsidRPr="00ED5703">
        <w:t>set a time limit for the receipt by it of the tenders which takes into account factors such as the complexity of the subject matter of the proposed Call Off Agreement and the time needed to submit tenders; and</w:t>
      </w:r>
    </w:p>
    <w:p w:rsidR="00F20C99" w:rsidRDefault="00ED5703" w:rsidP="007E2634">
      <w:pPr>
        <w:pStyle w:val="GPSL5numberedclause"/>
      </w:pPr>
      <w:r w:rsidRPr="00ED5703">
        <w:t>keep each tender confidential until the time limit set out for the return of tenders has expired.</w:t>
      </w:r>
    </w:p>
    <w:p w:rsidR="00F20C99" w:rsidRDefault="00434D4A" w:rsidP="002E61F2">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Services Requirements; </w:t>
      </w:r>
    </w:p>
    <w:p w:rsidR="00F20C99" w:rsidRDefault="00434D4A" w:rsidP="002E61F2">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F71B15">
        <w:fldChar w:fldCharType="begin"/>
      </w:r>
      <w:r w:rsidR="00A07D3F">
        <w:instrText xml:space="preserve"> REF _Ref365972472 \r \h </w:instrText>
      </w:r>
      <w:r w:rsidR="00F71B15">
        <w:fldChar w:fldCharType="separate"/>
      </w:r>
      <w:r w:rsidR="00B3040B">
        <w:t>7</w:t>
      </w:r>
      <w:r w:rsidR="00F71B15">
        <w:fldChar w:fldCharType="end"/>
      </w:r>
      <w:r w:rsidRPr="006875AD">
        <w:t xml:space="preserve"> which</w:t>
      </w:r>
      <w:r w:rsidR="00A07D3F">
        <w:t xml:space="preserve"> Call Off Agreement shall</w:t>
      </w:r>
      <w:r w:rsidRPr="006875AD">
        <w:t>:</w:t>
      </w:r>
    </w:p>
    <w:p w:rsidR="00F20C99" w:rsidRDefault="00434D4A" w:rsidP="007E2634">
      <w:pPr>
        <w:pStyle w:val="GPSL4numberedclause"/>
      </w:pPr>
      <w:r w:rsidRPr="006875AD">
        <w:t>state the Services Requirements;</w:t>
      </w:r>
    </w:p>
    <w:p w:rsidR="00F20C99" w:rsidRDefault="00434D4A" w:rsidP="007E2634">
      <w:pPr>
        <w:pStyle w:val="GPSL4numberedclause"/>
      </w:pPr>
      <w:r w:rsidRPr="006875AD">
        <w:t xml:space="preserve">state the </w:t>
      </w:r>
      <w:r>
        <w:t>tender</w:t>
      </w:r>
      <w:r w:rsidRPr="006875AD">
        <w:t xml:space="preserve"> submitted by the successful Framework Supplier;</w:t>
      </w:r>
    </w:p>
    <w:p w:rsidR="00F20C99" w:rsidRDefault="00434D4A" w:rsidP="007E2634">
      <w:pPr>
        <w:pStyle w:val="GPSL4numberedclause"/>
      </w:pPr>
      <w:r w:rsidRPr="006875AD">
        <w:lastRenderedPageBreak/>
        <w:t>state the charges payable for the Services Requirements in accordance with the tender submitted by the successful Framework Supplier; and</w:t>
      </w:r>
    </w:p>
    <w:p w:rsidR="00F20C99" w:rsidRDefault="00434D4A" w:rsidP="007E2634">
      <w:pPr>
        <w:pStyle w:val="GPSL4numberedclause"/>
      </w:pPr>
      <w:r w:rsidRPr="006875AD">
        <w:t xml:space="preserve">incorporate the </w:t>
      </w:r>
      <w:r w:rsidR="00CE1C40">
        <w:t>Order</w:t>
      </w:r>
      <w:r w:rsidRPr="00434D4A">
        <w:t xml:space="preserve"> Form and Call Off Terms </w:t>
      </w:r>
      <w:r w:rsidRPr="006875AD">
        <w:t>applicable to the Services,</w:t>
      </w:r>
    </w:p>
    <w:p w:rsidR="00F20C99" w:rsidRDefault="00434D4A" w:rsidP="002E61F2">
      <w:pPr>
        <w:pStyle w:val="GPSL3numberedclause"/>
      </w:pPr>
      <w:r w:rsidRPr="006875AD">
        <w:t xml:space="preserve">provide unsuccessful Framework Suppliers with </w:t>
      </w:r>
      <w:r>
        <w:t>written</w:t>
      </w:r>
      <w:r w:rsidRPr="006875AD">
        <w:t xml:space="preserve"> feedback in relation to the reasons why their tenders were unsuccessful.</w:t>
      </w:r>
    </w:p>
    <w:p w:rsidR="00F20C99" w:rsidRDefault="00434D4A" w:rsidP="002E61F2">
      <w:pPr>
        <w:pStyle w:val="GPSL2non-numberboldheading"/>
      </w:pPr>
      <w:r w:rsidRPr="006875AD">
        <w:t>The Supplier's Obligations</w:t>
      </w:r>
    </w:p>
    <w:p w:rsidR="00F20C99" w:rsidRDefault="00434D4A" w:rsidP="002E61F2">
      <w:pPr>
        <w:pStyle w:val="GPSL2Numbered"/>
      </w:pPr>
      <w:r w:rsidRPr="006875AD">
        <w:t xml:space="preserve">The Supplier </w:t>
      </w:r>
      <w:r w:rsidR="00852DB8">
        <w:t xml:space="preserve">shall </w:t>
      </w:r>
      <w:r w:rsidRPr="006875AD">
        <w:t xml:space="preserve">in writing, by the time and date specified by the Contracting Body </w:t>
      </w:r>
      <w:r w:rsidR="00852DB8">
        <w:t xml:space="preserve">following an invitation to tender pursuant to paragraph </w:t>
      </w:r>
      <w:r w:rsidR="00F71B15">
        <w:fldChar w:fldCharType="begin"/>
      </w:r>
      <w:r w:rsidR="00852DB8">
        <w:instrText xml:space="preserve"> REF _Ref365976108 \r \h </w:instrText>
      </w:r>
      <w:r w:rsidR="00F71B15">
        <w:fldChar w:fldCharType="separate"/>
      </w:r>
      <w:r w:rsidR="00B3040B">
        <w:t>3.1.3</w:t>
      </w:r>
      <w:r w:rsidR="00F71B15">
        <w:fldChar w:fldCharType="end"/>
      </w:r>
      <w:r w:rsidR="00852DB8">
        <w:t xml:space="preserve"> above </w:t>
      </w:r>
      <w:r w:rsidRPr="006875AD">
        <w:t>provide the Contracting Body with either:</w:t>
      </w:r>
    </w:p>
    <w:p w:rsidR="00F20C99" w:rsidRDefault="00434D4A" w:rsidP="002E61F2">
      <w:pPr>
        <w:pStyle w:val="GPSL3numberedclause"/>
      </w:pPr>
      <w:r w:rsidRPr="006875AD">
        <w:t>a statement to the effect that it does not wish to tender in relation to the relevant Service</w:t>
      </w:r>
      <w:r>
        <w:t>s</w:t>
      </w:r>
      <w:r w:rsidRPr="006875AD">
        <w:t xml:space="preserve"> Requirements; or</w:t>
      </w:r>
    </w:p>
    <w:p w:rsidR="00F20C99" w:rsidRDefault="00434D4A" w:rsidP="002E61F2">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7E2634">
      <w:pPr>
        <w:pStyle w:val="GPSL4numberedclause"/>
      </w:pPr>
      <w:r w:rsidRPr="006875AD">
        <w:t>an email response subject line to comprise unique reference number and Supplier name, so as to clearly identify the Supplier;</w:t>
      </w:r>
    </w:p>
    <w:p w:rsidR="00F20C99" w:rsidRDefault="00434D4A" w:rsidP="007E2634">
      <w:pPr>
        <w:pStyle w:val="GPSL4numberedclause"/>
      </w:pPr>
      <w:r w:rsidRPr="006875AD">
        <w:t>a brief summary, in the email (followed by a confirmation letter), stating that the Supplier is bidding for the Statement of Requirements;</w:t>
      </w:r>
    </w:p>
    <w:p w:rsidR="00F20C99" w:rsidRDefault="00434D4A" w:rsidP="00C70F35">
      <w:pPr>
        <w:pStyle w:val="GPSL4numberedclause"/>
      </w:pPr>
      <w:r w:rsidRPr="006875AD">
        <w:t>a proposal covering the Services Requirements.</w:t>
      </w:r>
    </w:p>
    <w:p w:rsidR="00F20C99" w:rsidRDefault="00434D4A" w:rsidP="002E61F2">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F71B15">
        <w:fldChar w:fldCharType="begin"/>
      </w:r>
      <w:r w:rsidR="00706C7C">
        <w:instrText xml:space="preserve"> REF _Ref365977578 \r \h </w:instrText>
      </w:r>
      <w:r w:rsidR="00F71B15">
        <w:fldChar w:fldCharType="separate"/>
      </w:r>
      <w:r w:rsidR="00B3040B">
        <w:t>3</w:t>
      </w:r>
      <w:r w:rsidR="00F71B15">
        <w:fldChar w:fldCharType="end"/>
      </w:r>
      <w:r w:rsidR="00706C7C">
        <w:t xml:space="preserve"> </w:t>
      </w:r>
      <w:r w:rsidRPr="006875AD">
        <w:t>shall take into account any discount to which the Contracting Body may be entitled as set out in Framework Schedule 3 (</w:t>
      </w:r>
      <w:r w:rsidR="002B49ED" w:rsidRPr="002B49ED">
        <w:t>Framework Prices</w:t>
      </w:r>
      <w:r w:rsidRPr="006875AD">
        <w:t>).</w:t>
      </w:r>
    </w:p>
    <w:p w:rsidR="00F20C99" w:rsidRDefault="00434D4A" w:rsidP="002E61F2">
      <w:pPr>
        <w:pStyle w:val="GPSL3numberedclause"/>
      </w:pPr>
      <w:r w:rsidRPr="006875AD">
        <w:t>The Supplier agrees that:</w:t>
      </w:r>
    </w:p>
    <w:p w:rsidR="00F20C99" w:rsidRDefault="00434D4A" w:rsidP="007E26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F71B15">
        <w:fldChar w:fldCharType="begin"/>
      </w:r>
      <w:r w:rsidR="00706C7C">
        <w:instrText xml:space="preserve"> REF _Ref365977578 \r \h </w:instrText>
      </w:r>
      <w:r w:rsidR="00F71B15">
        <w:fldChar w:fldCharType="separate"/>
      </w:r>
      <w:r w:rsidR="00B3040B">
        <w:t>3</w:t>
      </w:r>
      <w:r w:rsidR="00F71B15">
        <w:fldChar w:fldCharType="end"/>
      </w:r>
      <w:r w:rsidR="00706C7C">
        <w:t xml:space="preserve"> </w:t>
      </w:r>
      <w:r w:rsidRPr="006875AD">
        <w:t>shall remain open for acceptance by the Contracting Body for ninety (90) Working Days (or such other period specified in the invitation to tender issued by the relevant Contracting Body in accordance with the Call Off Procedure); and</w:t>
      </w:r>
    </w:p>
    <w:p w:rsidR="00F20C99" w:rsidRDefault="00434D4A" w:rsidP="007E26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rsidR="00F20C99" w:rsidRDefault="00434D4A" w:rsidP="007E2634">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w:t>
      </w:r>
      <w:r w:rsidRPr="00F46867">
        <w:lastRenderedPageBreak/>
        <w:t xml:space="preserve">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F20C99" w:rsidRDefault="00434D4A" w:rsidP="007E2634">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rsidR="00F20C99" w:rsidRPr="0052607D" w:rsidRDefault="00ED5703" w:rsidP="002E61F2">
      <w:pPr>
        <w:pStyle w:val="GPSL1SCHEDULEHeading"/>
      </w:pPr>
      <w:bookmarkStart w:id="830" w:name="_Ref366082653"/>
      <w:r w:rsidRPr="00ED5703">
        <w:t>E-AUCTIONS</w:t>
      </w:r>
      <w:bookmarkEnd w:id="830"/>
      <w:r w:rsidRPr="00ED5703">
        <w:t xml:space="preserve"> </w:t>
      </w:r>
    </w:p>
    <w:p w:rsidR="00F20C99" w:rsidRPr="0052607D" w:rsidRDefault="00ED5703" w:rsidP="002E61F2">
      <w:pPr>
        <w:pStyle w:val="GPSL2Numbered"/>
      </w:pPr>
      <w:r w:rsidRPr="00ED5703">
        <w:t xml:space="preserve">The Contracting Body shall be entitled to formulate its Statement of Requirements in accordance with paragraph </w:t>
      </w:r>
      <w:r w:rsidR="000822F5">
        <w:fldChar w:fldCharType="begin"/>
      </w:r>
      <w:r w:rsidR="000822F5">
        <w:instrText xml:space="preserve"> REF _Ref365977578 \r \h  \* MERGEFORMAT </w:instrText>
      </w:r>
      <w:r w:rsidR="000822F5">
        <w:fldChar w:fldCharType="separate"/>
      </w:r>
      <w:r w:rsidRPr="00ED5703">
        <w:t>3</w:t>
      </w:r>
      <w:r w:rsidR="000822F5">
        <w:fldChar w:fldCharType="end"/>
      </w:r>
      <w:r w:rsidRPr="00ED5703">
        <w:t xml:space="preserve"> above and invite the Supplier to a Further Competition Procedure using a reverse auction in accordance with the rules laid down by the Contracting Body and in accordance with the Regulations, prior to the commencement of any such Further Competition Procedure.</w:t>
      </w:r>
    </w:p>
    <w:p w:rsidR="00F20C99" w:rsidRPr="0052607D" w:rsidRDefault="00ED5703" w:rsidP="002E61F2">
      <w:pPr>
        <w:pStyle w:val="GPSL2Numbered"/>
      </w:pPr>
      <w:r w:rsidRPr="00ED5703">
        <w:t>The Supplier acknowledges that Contracting Bodies may wish to undertake an electronic reverse auction, where Framework Suppliers compete in real time by bidding as the auction unfolds (</w:t>
      </w:r>
      <w:r w:rsidRPr="00ED5703">
        <w:rPr>
          <w:b/>
        </w:rPr>
        <w:t>"Electronic Reverse Auction"</w:t>
      </w:r>
      <w:r w:rsidRPr="00ED5703">
        <w:t>).</w:t>
      </w:r>
    </w:p>
    <w:p w:rsidR="00F20C99" w:rsidRPr="0052607D" w:rsidRDefault="00ED5703" w:rsidP="002E61F2">
      <w:pPr>
        <w:pStyle w:val="GPSL2Numbered"/>
      </w:pPr>
      <w:bookmarkStart w:id="831" w:name="_Ref366090983"/>
      <w:r w:rsidRPr="00ED5703">
        <w:t>Before undertaking an Electronic Reverse Auction, the relevant Contracting Body will make an initial full evaluation of all tenders.</w:t>
      </w:r>
      <w:bookmarkEnd w:id="831"/>
    </w:p>
    <w:p w:rsidR="00F20C99" w:rsidRPr="0052607D" w:rsidRDefault="00ED5703" w:rsidP="002E61F2">
      <w:pPr>
        <w:pStyle w:val="GPSL2Numbered"/>
      </w:pPr>
      <w:r w:rsidRPr="00ED5703">
        <w:t>The Contracting Body will inform the Framework Suppliers of the specification for the Electronic Reverse Auction which shall include:</w:t>
      </w:r>
    </w:p>
    <w:p w:rsidR="00F20C99" w:rsidRPr="0052607D" w:rsidRDefault="00ED5703" w:rsidP="002E61F2">
      <w:pPr>
        <w:pStyle w:val="GPSL3numberedclause"/>
      </w:pPr>
      <w:r w:rsidRPr="00ED5703">
        <w:t>the information to be provided at auction, which must be expressed in figures or percentages;</w:t>
      </w:r>
    </w:p>
    <w:p w:rsidR="00F20C99" w:rsidRPr="0052607D" w:rsidRDefault="00ED5703" w:rsidP="002E61F2">
      <w:pPr>
        <w:pStyle w:val="GPSL3numberedclause"/>
      </w:pPr>
      <w:r w:rsidRPr="00ED5703">
        <w:t xml:space="preserve">the mathematical formula to be used to determine automatic ranking of bids on the basis of new prices and/or new values submitted;  </w:t>
      </w:r>
    </w:p>
    <w:p w:rsidR="00F20C99" w:rsidRPr="0052607D" w:rsidRDefault="00ED5703" w:rsidP="002E61F2">
      <w:pPr>
        <w:pStyle w:val="GPSL3numberedclause"/>
      </w:pPr>
      <w:r w:rsidRPr="00ED5703">
        <w:t>any limits on the values which may be submitted;</w:t>
      </w:r>
    </w:p>
    <w:p w:rsidR="00F20C99" w:rsidRPr="0052607D" w:rsidRDefault="00ED5703" w:rsidP="002E61F2">
      <w:pPr>
        <w:pStyle w:val="GPSL3numberedclause"/>
      </w:pPr>
      <w:r w:rsidRPr="00ED5703">
        <w:t>a description of any information which will be made available to Framework Suppliers in the course of the Electronic Reverse Auction, and when it will be made available to them;</w:t>
      </w:r>
    </w:p>
    <w:p w:rsidR="00F20C99" w:rsidRPr="0052607D" w:rsidRDefault="00ED5703" w:rsidP="002E61F2">
      <w:pPr>
        <w:pStyle w:val="GPSL3numberedclause"/>
      </w:pPr>
      <w:bookmarkStart w:id="832" w:name="_Ref365977442"/>
      <w:r w:rsidRPr="00ED5703">
        <w:t>the conditions under which Framework Suppliers will be able to bid and, in particular, the minimum differences which will, where appropriate, be required when bidding;</w:t>
      </w:r>
      <w:bookmarkEnd w:id="832"/>
    </w:p>
    <w:p w:rsidR="00F20C99" w:rsidRPr="0052607D" w:rsidRDefault="00ED5703" w:rsidP="002E61F2">
      <w:pPr>
        <w:pStyle w:val="GPSL3numberedclause"/>
      </w:pPr>
      <w:r w:rsidRPr="00ED5703">
        <w:t>relevant information concerning the electronic equipment used and the arrangements and technical specification for connection;</w:t>
      </w:r>
    </w:p>
    <w:p w:rsidR="00F20C99" w:rsidRPr="0052607D" w:rsidRDefault="00ED5703" w:rsidP="002E61F2">
      <w:pPr>
        <w:pStyle w:val="GPSL3numberedclause"/>
      </w:pPr>
      <w:r w:rsidRPr="00ED5703">
        <w:t>the date and time of the start of the Electronic Reverse Auction; and</w:t>
      </w:r>
    </w:p>
    <w:p w:rsidR="00F20C99" w:rsidRPr="0052607D" w:rsidRDefault="00ED5703" w:rsidP="002E61F2">
      <w:pPr>
        <w:pStyle w:val="GPSL3numberedclause"/>
      </w:pPr>
      <w:r w:rsidRPr="00ED5703">
        <w:t>details of when and how the Electronic Reverse Auction will close.</w:t>
      </w:r>
    </w:p>
    <w:p w:rsidR="00F20C99" w:rsidRPr="0052607D" w:rsidRDefault="00ED5703" w:rsidP="002E61F2">
      <w:pPr>
        <w:pStyle w:val="GPSL2Numbered"/>
      </w:pPr>
      <w:r w:rsidRPr="00ED5703">
        <w:t>The Electronic Reverse Auction may not start sooner than two (2) Working Days after the date on which the specification for the Electronic Reverse Auction has been issued.</w:t>
      </w:r>
    </w:p>
    <w:p w:rsidR="00F20C99" w:rsidRPr="0052607D" w:rsidRDefault="00ED5703" w:rsidP="002E61F2">
      <w:pPr>
        <w:pStyle w:val="GPSL2Numbered"/>
      </w:pPr>
      <w:r w:rsidRPr="00ED5703">
        <w:t>Throughout each phase of the Electronic Reverse Auction the Contracting Body will communicate to all Framework Suppliers sufficient information to enable them to ascertain their relative ranking.</w:t>
      </w:r>
    </w:p>
    <w:p w:rsidR="00F20C99" w:rsidRPr="0052607D" w:rsidRDefault="00ED5703" w:rsidP="002E61F2">
      <w:pPr>
        <w:pStyle w:val="GPSL2Numbered"/>
      </w:pPr>
      <w:r w:rsidRPr="00ED5703">
        <w:t>The Supplier acknowledges and agrees that:</w:t>
      </w:r>
    </w:p>
    <w:p w:rsidR="00F20C99" w:rsidRPr="0052607D" w:rsidRDefault="00ED5703" w:rsidP="002E61F2">
      <w:pPr>
        <w:pStyle w:val="GPSL3numberedclause"/>
      </w:pPr>
      <w:r w:rsidRPr="00ED5703">
        <w:t xml:space="preserve">the Contracting Body and its officers, servants, agents, group companies, assignees and customers (including the Authority) do </w:t>
      </w:r>
      <w:r w:rsidRPr="00ED5703">
        <w:lastRenderedPageBreak/>
        <w:t>not guarantee that its access to the Electronic Reverse Auction will be uninterrupted or error-free;</w:t>
      </w:r>
    </w:p>
    <w:p w:rsidR="00F20C99" w:rsidRPr="0052607D" w:rsidRDefault="00ED5703" w:rsidP="002E61F2">
      <w:pPr>
        <w:pStyle w:val="GPSL3numberedclause"/>
      </w:pPr>
      <w:r w:rsidRPr="00ED5703">
        <w:t>its access to the Electronic Reverse Auction may occasionally be restricted to allow for repairs or maintenance; and</w:t>
      </w:r>
    </w:p>
    <w:p w:rsidR="00F20C99" w:rsidRPr="0052607D" w:rsidRDefault="00ED5703" w:rsidP="002E61F2">
      <w:pPr>
        <w:pStyle w:val="GPSL3numberedclause"/>
      </w:pPr>
      <w:r w:rsidRPr="00ED5703">
        <w:t>it will comply with all such rules that may be imposed by the Contracting Body in relation to the operation of the Electronic Reverse Auction.</w:t>
      </w:r>
    </w:p>
    <w:p w:rsidR="00F20C99" w:rsidRPr="0052607D" w:rsidRDefault="00ED5703" w:rsidP="002E61F2">
      <w:pPr>
        <w:pStyle w:val="GPSL2Numbered"/>
      </w:pPr>
      <w:r w:rsidRPr="00ED5703">
        <w:t>The Contracting Body will close the Electronic Reverse Auction on the basis of:</w:t>
      </w:r>
    </w:p>
    <w:p w:rsidR="00F20C99" w:rsidRPr="0052607D" w:rsidRDefault="00ED5703" w:rsidP="002E61F2">
      <w:pPr>
        <w:pStyle w:val="GPSL3numberedclause"/>
      </w:pPr>
      <w:r w:rsidRPr="00ED5703">
        <w:t>a date and time fixed in advance;</w:t>
      </w:r>
    </w:p>
    <w:p w:rsidR="00F20C99" w:rsidRPr="0052607D" w:rsidRDefault="00ED5703" w:rsidP="002E61F2">
      <w:pPr>
        <w:pStyle w:val="GPSL3numberedclause"/>
      </w:pPr>
      <w:r w:rsidRPr="00ED5703">
        <w:t xml:space="preserve">when no new prices or values meeting the minimum differences required pursuant to paragraph </w:t>
      </w:r>
      <w:r w:rsidR="000822F5">
        <w:fldChar w:fldCharType="begin"/>
      </w:r>
      <w:r w:rsidR="000822F5">
        <w:instrText xml:space="preserve"> REF _Ref365977442 \r \h  \* MERGEFORMAT </w:instrText>
      </w:r>
      <w:r w:rsidR="000822F5">
        <w:fldChar w:fldCharType="separate"/>
      </w:r>
      <w:r w:rsidRPr="00ED5703">
        <w:t>4.4.5</w:t>
      </w:r>
      <w:r w:rsidR="000822F5">
        <w:fldChar w:fldCharType="end"/>
      </w:r>
      <w:r w:rsidRPr="00ED5703">
        <w:t xml:space="preserve"> have been received within the prescribed elapsed time period; or</w:t>
      </w:r>
    </w:p>
    <w:p w:rsidR="00F20C99" w:rsidRPr="0052607D" w:rsidRDefault="00ED5703" w:rsidP="002E61F2">
      <w:pPr>
        <w:pStyle w:val="GPSL3numberedclause"/>
      </w:pPr>
      <w:r w:rsidRPr="00ED5703">
        <w:t>when all the phases have been completed.</w:t>
      </w:r>
    </w:p>
    <w:p w:rsidR="00F20C99" w:rsidRDefault="00434D4A" w:rsidP="002E61F2">
      <w:pPr>
        <w:pStyle w:val="GPSL1SCHEDULEHeading"/>
      </w:pPr>
      <w:r w:rsidRPr="006875AD">
        <w:t>NO AWARD</w:t>
      </w:r>
    </w:p>
    <w:p w:rsidR="00F20C99" w:rsidRDefault="00434D4A" w:rsidP="002E61F2">
      <w:pPr>
        <w:pStyle w:val="GPSL2Numbered"/>
      </w:pPr>
      <w:r w:rsidRPr="006875AD">
        <w:t xml:space="preserve">Notwithstanding the fact that the Contracting Body has followed a procedure as set out above in paragraph </w:t>
      </w:r>
      <w:r w:rsidR="00F71B15">
        <w:fldChar w:fldCharType="begin"/>
      </w:r>
      <w:r w:rsidR="00C635B5">
        <w:instrText xml:space="preserve"> REF _Ref365977566 \r \h </w:instrText>
      </w:r>
      <w:r w:rsidR="00F71B15">
        <w:fldChar w:fldCharType="separate"/>
      </w:r>
      <w:r w:rsidR="00B3040B">
        <w:t>2</w:t>
      </w:r>
      <w:r w:rsidR="00F71B15">
        <w:fldChar w:fldCharType="end"/>
      </w:r>
      <w:r w:rsidRPr="006875AD">
        <w:t xml:space="preserve"> or </w:t>
      </w:r>
      <w:r w:rsidR="00F71B15">
        <w:fldChar w:fldCharType="begin"/>
      </w:r>
      <w:r w:rsidR="00C635B5">
        <w:instrText xml:space="preserve"> REF _Ref365977578 \r \h </w:instrText>
      </w:r>
      <w:r w:rsidR="00F71B15">
        <w:fldChar w:fldCharType="separate"/>
      </w:r>
      <w:r w:rsidR="00B3040B">
        <w:t>3</w:t>
      </w:r>
      <w:r w:rsidR="00F71B15">
        <w:fldChar w:fldCharType="end"/>
      </w:r>
      <w:r w:rsidRPr="006875AD">
        <w:t xml:space="preserve"> (as applicable), the Contracting Body shall be entitled at all times to decline to make an award for its Services Requirements.  Nothing in this Framework Agreement shall oblige any Contracting Body to award a</w:t>
      </w:r>
      <w:r>
        <w:t>ny</w:t>
      </w:r>
      <w:r w:rsidRPr="006875AD">
        <w:t xml:space="preserve"> Call Off Agreement.</w:t>
      </w:r>
    </w:p>
    <w:p w:rsidR="00F20C99" w:rsidRDefault="00434D4A" w:rsidP="002E61F2">
      <w:pPr>
        <w:pStyle w:val="GPSL1SCHEDULEHeading"/>
      </w:pPr>
      <w:bookmarkStart w:id="833" w:name="_Ref365977864"/>
      <w:r w:rsidRPr="006875AD">
        <w:t>RESPONSIBILITY FOR AWARDS</w:t>
      </w:r>
      <w:bookmarkEnd w:id="833"/>
    </w:p>
    <w:p w:rsidR="00F20C99" w:rsidRDefault="00434D4A" w:rsidP="002E61F2">
      <w:pPr>
        <w:pStyle w:val="GPSL2Numbered"/>
      </w:pPr>
      <w:r w:rsidRPr="006875AD">
        <w:t>The Supplier acknowledges that each Contracting Body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rsidR="00F20C99" w:rsidRDefault="00434D4A" w:rsidP="002E61F2">
      <w:pPr>
        <w:pStyle w:val="GPSL3numberedclause"/>
      </w:pPr>
      <w:r w:rsidRPr="006875AD">
        <w:t xml:space="preserve">the conduct of Other Contracting Bodies in relation to this Framework Agreement; or </w:t>
      </w:r>
    </w:p>
    <w:p w:rsidR="00F20C99" w:rsidRDefault="00434D4A" w:rsidP="002E61F2">
      <w:pPr>
        <w:pStyle w:val="GPSL3numberedclause"/>
      </w:pPr>
      <w:r w:rsidRPr="006875AD">
        <w:t xml:space="preserve">the performance or non-performance of any Call Off Agreements between the Supplier and Other Contracting Bodies entered into pursuant to this Framework Agreement.  </w:t>
      </w:r>
    </w:p>
    <w:p w:rsidR="00F20C99" w:rsidRDefault="00434D4A" w:rsidP="002E61F2">
      <w:pPr>
        <w:pStyle w:val="GPSL1SCHEDULEHeading"/>
      </w:pPr>
      <w:bookmarkStart w:id="834" w:name="_Ref365972472"/>
      <w:r w:rsidRPr="006875AD">
        <w:t xml:space="preserve">CALL OFF </w:t>
      </w:r>
      <w:r>
        <w:t xml:space="preserve">award </w:t>
      </w:r>
      <w:r w:rsidRPr="006875AD">
        <w:t>PROCEDURE</w:t>
      </w:r>
      <w:bookmarkEnd w:id="834"/>
    </w:p>
    <w:p w:rsidR="00F20C99" w:rsidRDefault="00434D4A" w:rsidP="002E61F2">
      <w:pPr>
        <w:pStyle w:val="GPSL2Numbered"/>
      </w:pPr>
      <w:bookmarkStart w:id="835" w:name="_Ref365978380"/>
      <w:r w:rsidRPr="006875AD">
        <w:t xml:space="preserve">Subject to </w:t>
      </w:r>
      <w:r>
        <w:t>p</w:t>
      </w:r>
      <w:r w:rsidRPr="006875AD">
        <w:t xml:space="preserve">aragraphs </w:t>
      </w:r>
      <w:r w:rsidR="00F71B15">
        <w:fldChar w:fldCharType="begin"/>
      </w:r>
      <w:r w:rsidR="00C635B5">
        <w:instrText xml:space="preserve"> REF _Ref365977839 \r \h </w:instrText>
      </w:r>
      <w:r w:rsidR="00F71B15">
        <w:fldChar w:fldCharType="separate"/>
      </w:r>
      <w:r w:rsidR="00B3040B">
        <w:t>1</w:t>
      </w:r>
      <w:r w:rsidR="00F71B15">
        <w:fldChar w:fldCharType="end"/>
      </w:r>
      <w:r w:rsidRPr="006875AD">
        <w:t xml:space="preserve"> to </w:t>
      </w:r>
      <w:r w:rsidR="00F71B15">
        <w:fldChar w:fldCharType="begin"/>
      </w:r>
      <w:r w:rsidR="00C635B5">
        <w:instrText xml:space="preserve"> REF _Ref365977864 \r \h </w:instrText>
      </w:r>
      <w:r w:rsidR="00F71B15">
        <w:fldChar w:fldCharType="separate"/>
      </w:r>
      <w:r w:rsidR="00B3040B">
        <w:t>6</w:t>
      </w:r>
      <w:r w:rsidR="00F71B15">
        <w:fldChar w:fldCharType="end"/>
      </w:r>
      <w:r w:rsidRPr="006875AD">
        <w:t xml:space="preserve"> above, a Contracting Body may award a Call Off Agreement </w:t>
      </w:r>
      <w:r w:rsidR="00C976FF">
        <w:t>to</w:t>
      </w:r>
      <w:r w:rsidRPr="006875AD">
        <w:t xml:space="preserve"> the Supplier</w:t>
      </w:r>
      <w:r w:rsidR="00C976FF">
        <w:t xml:space="preserve"> </w:t>
      </w:r>
      <w:r w:rsidRPr="006875AD">
        <w:t xml:space="preserve">by sending </w:t>
      </w:r>
      <w:r w:rsidR="00C00EBF">
        <w:t>the Supplier</w:t>
      </w:r>
      <w:r w:rsidR="00C00EBF" w:rsidRPr="006875AD">
        <w:t xml:space="preserve"> </w:t>
      </w:r>
      <w:r w:rsidR="00C00EBF">
        <w:t>by email</w:t>
      </w:r>
      <w:r w:rsidR="00C976FF">
        <w:t>,</w:t>
      </w:r>
      <w:r w:rsidR="00C00EBF">
        <w:t xml:space="preserve"> signed for 1</w:t>
      </w:r>
      <w:r w:rsidR="00C00EBF" w:rsidRPr="00C00EBF">
        <w:rPr>
          <w:vertAlign w:val="superscript"/>
        </w:rPr>
        <w:t>st</w:t>
      </w:r>
      <w:r w:rsidR="00C00EBF">
        <w:t xml:space="preserve"> Class Mail</w:t>
      </w:r>
      <w:r w:rsidR="00C976FF">
        <w:t>,</w:t>
      </w:r>
      <w:r w:rsidR="00C00EBF">
        <w:t xml:space="preserve"> or other prepaid next working day service</w:t>
      </w:r>
      <w:r w:rsidR="00C976FF">
        <w:t>,</w:t>
      </w:r>
      <w:r w:rsidR="00A75DA2">
        <w:t xml:space="preserve"> a signed Order</w:t>
      </w:r>
      <w:r w:rsidR="00C976FF">
        <w:t xml:space="preserve"> Form (as refined or amended under paragraph 3.1.2 in the case of a Further Competition);</w:t>
      </w:r>
      <w:r w:rsidRPr="006875AD">
        <w:t xml:space="preserve"> </w:t>
      </w:r>
      <w:r w:rsidR="00C976FF">
        <w:t>and a legally binding agreement shall thereupon be formed on the date of dispatch on (and subject to t</w:t>
      </w:r>
      <w:r w:rsidR="00A75DA2">
        <w:t>he terms of) the signed Order</w:t>
      </w:r>
      <w:r w:rsidR="00C976FF">
        <w:t xml:space="preserve"> Form.  </w:t>
      </w:r>
      <w:r w:rsidRPr="006875AD">
        <w:t xml:space="preserve">The Parties agree that any document or communication (including any document or communication in the apparent form of a Call Off Agreement) which is not as described in this paragraph </w:t>
      </w:r>
      <w:r w:rsidR="00F71B15">
        <w:fldChar w:fldCharType="begin"/>
      </w:r>
      <w:r w:rsidR="007321A8">
        <w:instrText xml:space="preserve"> REF _Ref365972472 \r \h </w:instrText>
      </w:r>
      <w:r w:rsidR="00F71B15">
        <w:fldChar w:fldCharType="separate"/>
      </w:r>
      <w:r w:rsidR="00B3040B">
        <w:t>7</w:t>
      </w:r>
      <w:r w:rsidR="00F71B15">
        <w:fldChar w:fldCharType="end"/>
      </w:r>
      <w:r w:rsidR="002A0537">
        <w:t xml:space="preserve"> </w:t>
      </w:r>
      <w:r w:rsidRPr="006875AD">
        <w:t>shall not constitute a Call Off Agreement</w:t>
      </w:r>
      <w:r>
        <w:t xml:space="preserve"> </w:t>
      </w:r>
      <w:r w:rsidRPr="006875AD">
        <w:t>under this Framework Agreement.</w:t>
      </w:r>
      <w:bookmarkEnd w:id="835"/>
      <w:r w:rsidRPr="006875AD">
        <w:t xml:space="preserve"> </w:t>
      </w:r>
    </w:p>
    <w:p w:rsidR="00F20C99" w:rsidRDefault="00C00EBF" w:rsidP="002E61F2">
      <w:pPr>
        <w:pStyle w:val="GPSL2Numbered"/>
      </w:pPr>
      <w:bookmarkStart w:id="836" w:name="_Ref366090373"/>
      <w:r>
        <w:t>Without prejudice to the validity of the agreement formed pursuant to Paragraph 7.1 above the Supplier shall o</w:t>
      </w:r>
      <w:r w:rsidR="00A75DA2">
        <w:t>n receipt of an Order F</w:t>
      </w:r>
      <w:r w:rsidR="00434D4A" w:rsidRPr="006875AD">
        <w:t xml:space="preserve">orm as described in paragraph </w:t>
      </w:r>
      <w:r w:rsidR="00F71B15">
        <w:fldChar w:fldCharType="begin"/>
      </w:r>
      <w:r w:rsidR="007321A8">
        <w:instrText xml:space="preserve"> REF _Ref365978380 \r \h </w:instrText>
      </w:r>
      <w:r w:rsidR="00F71B15">
        <w:fldChar w:fldCharType="separate"/>
      </w:r>
      <w:r w:rsidR="00B3040B">
        <w:t>7.1</w:t>
      </w:r>
      <w:r w:rsidR="00F71B15">
        <w:fldChar w:fldCharType="end"/>
      </w:r>
      <w:r w:rsidR="00434D4A" w:rsidRPr="006875AD">
        <w:t xml:space="preserve"> above promptly </w:t>
      </w:r>
      <w:r>
        <w:t xml:space="preserve">acknowledge receipt by </w:t>
      </w:r>
      <w:r w:rsidR="00434D4A" w:rsidRPr="006875AD">
        <w:t xml:space="preserve">signing and returning </w:t>
      </w:r>
      <w:r w:rsidR="00434D4A">
        <w:lastRenderedPageBreak/>
        <w:t>(</w:t>
      </w:r>
      <w:r w:rsidR="00434D4A" w:rsidRPr="006875AD">
        <w:t xml:space="preserve">including </w:t>
      </w:r>
      <w:r w:rsidR="00434D4A">
        <w:t>by electronic means</w:t>
      </w:r>
      <w:r w:rsidR="00434D4A" w:rsidRPr="006875AD">
        <w:t>)</w:t>
      </w:r>
      <w:r w:rsidR="00434D4A">
        <w:t xml:space="preserve"> </w:t>
      </w:r>
      <w:r w:rsidR="00A75DA2">
        <w:t>a copy of the Order</w:t>
      </w:r>
      <w:r w:rsidR="00122746">
        <w:t xml:space="preserve"> Form</w:t>
      </w:r>
      <w:r w:rsidR="00434D4A">
        <w:t xml:space="preserve"> </w:t>
      </w:r>
      <w:r w:rsidR="00434D4A" w:rsidRPr="006875AD">
        <w:t xml:space="preserve"> to the Contracting Body concerned.</w:t>
      </w:r>
      <w:bookmarkEnd w:id="836"/>
    </w:p>
    <w:p w:rsidR="00441BEB" w:rsidRDefault="00441BEB" w:rsidP="002E61F2">
      <w:pPr>
        <w:pStyle w:val="GPSL2Numbered"/>
      </w:pPr>
      <w:r w:rsidRPr="00441BEB">
        <w:t>Within five (5)</w:t>
      </w:r>
      <w:r>
        <w:t xml:space="preserve"> Working Days of receipt of a signed Order Form </w:t>
      </w:r>
      <w:r w:rsidRPr="00441BEB">
        <w:t>from the Contracting Body, the Supplier shall send the relevant Order Form to the Authority.</w:t>
      </w:r>
    </w:p>
    <w:p w:rsidR="00F20C99" w:rsidRDefault="00F71B15">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numberingChange w:id="837" w:author="potterj" w:date="2014-08-28T12:26:00Z" w:original="0."/>
        </w:fldChar>
      </w:r>
    </w:p>
    <w:p w:rsidR="00434D4A" w:rsidRPr="00434D4A" w:rsidRDefault="008770CA">
      <w:pPr>
        <w:overflowPunct/>
        <w:autoSpaceDE/>
        <w:autoSpaceDN/>
        <w:adjustRightInd/>
        <w:spacing w:after="0"/>
        <w:jc w:val="left"/>
        <w:textAlignment w:val="auto"/>
        <w:rPr>
          <w:color w:val="FFFFFF"/>
          <w:sz w:val="16"/>
          <w:szCs w:val="16"/>
        </w:rPr>
      </w:pPr>
      <w:r w:rsidRPr="008770CA">
        <w:br w:type="page"/>
      </w:r>
    </w:p>
    <w:p w:rsidR="00F20C99" w:rsidRDefault="00434D4A">
      <w:pPr>
        <w:pStyle w:val="GPSSchTitleandNumber"/>
      </w:pPr>
      <w:bookmarkStart w:id="838" w:name="_Toc365027618"/>
      <w:bookmarkStart w:id="839" w:name="_Toc366085190"/>
      <w:bookmarkStart w:id="840" w:name="_Toc379488096"/>
      <w:bookmarkStart w:id="841" w:name="_Toc380052198"/>
      <w:bookmarkStart w:id="842" w:name="_Toc380052709"/>
      <w:bookmarkStart w:id="843" w:name="_Toc391545393"/>
      <w:r w:rsidRPr="006875AD">
        <w:lastRenderedPageBreak/>
        <w:t>FRAMEWORK SCHEDULE 6: AWARD CRITERIA</w:t>
      </w:r>
      <w:bookmarkEnd w:id="838"/>
      <w:bookmarkEnd w:id="839"/>
      <w:bookmarkEnd w:id="840"/>
      <w:bookmarkEnd w:id="841"/>
      <w:bookmarkEnd w:id="842"/>
      <w:bookmarkEnd w:id="843"/>
    </w:p>
    <w:p w:rsidR="00F20C99" w:rsidRDefault="00434D4A" w:rsidP="002E61F2">
      <w:pPr>
        <w:pStyle w:val="GPSL1SCHEDULEHeading"/>
      </w:pPr>
      <w:r>
        <w:t>General</w:t>
      </w:r>
    </w:p>
    <w:p w:rsidR="00F20C99" w:rsidRDefault="00434D4A" w:rsidP="002E61F2">
      <w:pPr>
        <w:pStyle w:val="GPSL2Numbered"/>
      </w:pPr>
      <w:r w:rsidRPr="006875AD">
        <w:t xml:space="preserve">This Framework Schedule </w:t>
      </w:r>
      <w:r w:rsidR="003126A1" w:rsidRPr="006875AD">
        <w:t>6 is</w:t>
      </w:r>
      <w:r w:rsidRPr="006875AD">
        <w:t xml:space="preserve"> designed to assist Contracting Bodies </w:t>
      </w:r>
      <w:r w:rsidRPr="00A975CB">
        <w:t>when</w:t>
      </w:r>
      <w:r w:rsidRPr="006875AD">
        <w:t xml:space="preserve"> drafting an </w:t>
      </w:r>
      <w:r w:rsidR="000E0E5D">
        <w:t>i</w:t>
      </w:r>
      <w:r w:rsidRPr="006875AD">
        <w:t xml:space="preserve">nvitation to </w:t>
      </w:r>
      <w:r w:rsidR="000E0E5D">
        <w:t>tender</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rsidR="00F20C99" w:rsidRDefault="00434D4A" w:rsidP="002E61F2">
      <w:pPr>
        <w:pStyle w:val="GPSL2Numbered"/>
      </w:pPr>
      <w:r w:rsidRPr="006875AD">
        <w:t xml:space="preserve">A contract may be awarded on the basis of most economically advantageous tender ("MEAT"). </w:t>
      </w:r>
    </w:p>
    <w:p w:rsidR="00F20C99" w:rsidRDefault="00434D4A" w:rsidP="002E61F2">
      <w:pPr>
        <w:pStyle w:val="GPSL2Numbered"/>
      </w:pPr>
      <w:r w:rsidRPr="006875AD">
        <w:t>This Framework Schedule 6 will include details of the evaluation criteria and any weightings that will be applied to that criteria.</w:t>
      </w:r>
    </w:p>
    <w:p w:rsidR="00F20C99" w:rsidRDefault="00F71B15">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844" w:author="potterj" w:date="2014-08-28T12:26:00Z" w:original="0."/>
        </w:fldChar>
      </w:r>
    </w:p>
    <w:p w:rsidR="00F20C99" w:rsidRDefault="00D12C54" w:rsidP="007E2634">
      <w:pPr>
        <w:pStyle w:val="GPSSchPart"/>
      </w:pPr>
      <w:r>
        <w:br w:type="page"/>
      </w:r>
      <w:r w:rsidR="00434D4A" w:rsidRPr="00F46867">
        <w:lastRenderedPageBreak/>
        <w:t>Part A: Direct Award</w:t>
      </w:r>
    </w:p>
    <w:p w:rsidR="00F20C99" w:rsidRDefault="00434D4A" w:rsidP="009A542D">
      <w:pPr>
        <w:pStyle w:val="GPSL1Schedulenumbered"/>
        <w:numPr>
          <w:ilvl w:val="0"/>
          <w:numId w:val="501"/>
        </w:numPr>
      </w:pPr>
      <w:r w:rsidRPr="00F46867">
        <w:t>The</w:t>
      </w:r>
      <w:r w:rsidRPr="006875AD">
        <w:t xml:space="preserve"> following criteria and weightings shall be applied to the Framework Suppliers' compliant tenders submitted through direct award.</w:t>
      </w:r>
    </w:p>
    <w:p w:rsidR="00F20C99" w:rsidRDefault="00F71B15">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845" w:author="potterj" w:date="2014-08-28T12:26:00Z" w:original="0."/>
        </w:fldChar>
      </w:r>
    </w:p>
    <w:tbl>
      <w:tblPr>
        <w:tblW w:w="9184" w:type="dxa"/>
        <w:tblInd w:w="294" w:type="dxa"/>
        <w:tblLayout w:type="fixed"/>
        <w:tblCellMar>
          <w:left w:w="0" w:type="dxa"/>
          <w:right w:w="0" w:type="dxa"/>
        </w:tblCellMar>
        <w:tblLook w:val="04A0" w:firstRow="1" w:lastRow="0" w:firstColumn="1" w:lastColumn="0" w:noHBand="0" w:noVBand="1"/>
      </w:tblPr>
      <w:tblGrid>
        <w:gridCol w:w="1559"/>
        <w:gridCol w:w="3686"/>
        <w:gridCol w:w="3939"/>
      </w:tblGrid>
      <w:tr w:rsidR="00E458CD" w:rsidRPr="0020329D" w:rsidTr="00E458CD">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rsidR="00E458CD" w:rsidRPr="0020329D" w:rsidRDefault="00E458CD" w:rsidP="00EA39CE">
            <w:pPr>
              <w:spacing w:before="60" w:after="60"/>
              <w:ind w:left="284"/>
              <w:jc w:val="center"/>
              <w:rPr>
                <w:b/>
                <w:sz w:val="20"/>
                <w:szCs w:val="20"/>
              </w:rPr>
            </w:pPr>
            <w:r w:rsidRPr="0020329D">
              <w:rPr>
                <w:b/>
                <w:sz w:val="20"/>
                <w:szCs w:val="20"/>
              </w:rPr>
              <w:t>Criteria Number</w:t>
            </w:r>
          </w:p>
        </w:tc>
        <w:tc>
          <w:tcPr>
            <w:tcW w:w="3686" w:type="dxa"/>
            <w:tcBorders>
              <w:top w:val="single" w:sz="8" w:space="0" w:color="auto"/>
              <w:left w:val="single" w:sz="8" w:space="0" w:color="auto"/>
              <w:bottom w:val="single" w:sz="8" w:space="0" w:color="auto"/>
              <w:right w:val="single" w:sz="8" w:space="0" w:color="auto"/>
            </w:tcBorders>
            <w:shd w:val="clear" w:color="auto" w:fill="D9D9D9"/>
            <w:vAlign w:val="center"/>
          </w:tcPr>
          <w:p w:rsidR="00E458CD" w:rsidRPr="0020329D" w:rsidRDefault="00E458CD" w:rsidP="00EA39CE">
            <w:pPr>
              <w:spacing w:before="60" w:after="60"/>
              <w:ind w:left="284"/>
              <w:jc w:val="center"/>
              <w:rPr>
                <w:rFonts w:eastAsia="Calibri"/>
                <w:b/>
                <w:sz w:val="20"/>
                <w:szCs w:val="20"/>
              </w:rPr>
            </w:pPr>
            <w:r w:rsidRPr="0020329D">
              <w:rPr>
                <w:b/>
                <w:sz w:val="20"/>
                <w:szCs w:val="20"/>
              </w:rPr>
              <w:t>Direct Ordering Procedure Criteria</w:t>
            </w:r>
          </w:p>
        </w:tc>
        <w:tc>
          <w:tcPr>
            <w:tcW w:w="393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58CD" w:rsidRPr="0020329D" w:rsidRDefault="00E458CD" w:rsidP="00EA39CE">
            <w:pPr>
              <w:spacing w:before="60" w:after="60"/>
              <w:ind w:left="284"/>
              <w:jc w:val="center"/>
              <w:rPr>
                <w:rFonts w:eastAsia="Calibri"/>
                <w:sz w:val="20"/>
                <w:szCs w:val="20"/>
              </w:rPr>
            </w:pPr>
            <w:r w:rsidRPr="0020329D">
              <w:rPr>
                <w:b/>
                <w:sz w:val="20"/>
                <w:szCs w:val="20"/>
                <w:lang w:eastAsia="zh-CN"/>
              </w:rPr>
              <w:t>Percentage Weightings</w:t>
            </w:r>
          </w:p>
        </w:tc>
      </w:tr>
      <w:tr w:rsidR="00E458CD" w:rsidRPr="0020329D" w:rsidTr="00E458CD">
        <w:tc>
          <w:tcPr>
            <w:tcW w:w="1559" w:type="dxa"/>
            <w:tcBorders>
              <w:top w:val="nil"/>
              <w:left w:val="single" w:sz="8" w:space="0" w:color="auto"/>
              <w:bottom w:val="single" w:sz="8" w:space="0" w:color="auto"/>
              <w:right w:val="single" w:sz="8" w:space="0" w:color="auto"/>
            </w:tcBorders>
            <w:vAlign w:val="center"/>
          </w:tcPr>
          <w:p w:rsidR="00E458CD" w:rsidRPr="0020329D" w:rsidRDefault="00E458CD" w:rsidP="00EA39CE">
            <w:pPr>
              <w:spacing w:before="60" w:after="60"/>
              <w:ind w:left="284"/>
              <w:jc w:val="center"/>
              <w:rPr>
                <w:sz w:val="20"/>
                <w:szCs w:val="20"/>
              </w:rPr>
            </w:pPr>
            <w:r w:rsidRPr="0020329D">
              <w:rPr>
                <w:sz w:val="20"/>
                <w:szCs w:val="20"/>
              </w:rPr>
              <w:t>1</w:t>
            </w:r>
          </w:p>
        </w:tc>
        <w:tc>
          <w:tcPr>
            <w:tcW w:w="3686" w:type="dxa"/>
            <w:tcBorders>
              <w:top w:val="nil"/>
              <w:left w:val="single" w:sz="8" w:space="0" w:color="auto"/>
              <w:bottom w:val="single" w:sz="8" w:space="0" w:color="auto"/>
              <w:right w:val="single" w:sz="8" w:space="0" w:color="auto"/>
            </w:tcBorders>
            <w:vAlign w:val="center"/>
          </w:tcPr>
          <w:p w:rsidR="00E458CD" w:rsidRPr="0020329D" w:rsidRDefault="00E458CD" w:rsidP="00EA39CE">
            <w:pPr>
              <w:spacing w:before="60" w:after="60"/>
              <w:ind w:left="284"/>
              <w:jc w:val="center"/>
              <w:rPr>
                <w:rFonts w:eastAsia="Calibri"/>
                <w:sz w:val="20"/>
                <w:szCs w:val="20"/>
              </w:rPr>
            </w:pPr>
            <w:r w:rsidRPr="0020329D">
              <w:rPr>
                <w:sz w:val="20"/>
                <w:szCs w:val="20"/>
              </w:rPr>
              <w:t>Price</w:t>
            </w:r>
          </w:p>
        </w:tc>
        <w:tc>
          <w:tcPr>
            <w:tcW w:w="3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58CD" w:rsidRPr="0020329D" w:rsidRDefault="00E458CD" w:rsidP="00EA39CE">
            <w:pPr>
              <w:spacing w:before="60" w:after="60"/>
              <w:jc w:val="center"/>
              <w:rPr>
                <w:sz w:val="20"/>
                <w:szCs w:val="20"/>
              </w:rPr>
            </w:pPr>
            <w:r w:rsidRPr="0020329D">
              <w:rPr>
                <w:caps/>
                <w:sz w:val="20"/>
                <w:szCs w:val="20"/>
              </w:rPr>
              <w:t xml:space="preserve">50% </w:t>
            </w:r>
          </w:p>
        </w:tc>
      </w:tr>
      <w:tr w:rsidR="00E458CD" w:rsidRPr="0020329D" w:rsidTr="00E458CD">
        <w:tc>
          <w:tcPr>
            <w:tcW w:w="1559" w:type="dxa"/>
            <w:tcBorders>
              <w:top w:val="nil"/>
              <w:left w:val="single" w:sz="8" w:space="0" w:color="auto"/>
              <w:bottom w:val="single" w:sz="8" w:space="0" w:color="auto"/>
              <w:right w:val="single" w:sz="8" w:space="0" w:color="auto"/>
            </w:tcBorders>
            <w:vAlign w:val="center"/>
          </w:tcPr>
          <w:p w:rsidR="00E458CD" w:rsidRPr="0020329D" w:rsidRDefault="00E458CD" w:rsidP="00EA39CE">
            <w:pPr>
              <w:spacing w:before="60" w:after="60"/>
              <w:ind w:left="284"/>
              <w:jc w:val="center"/>
              <w:rPr>
                <w:sz w:val="20"/>
                <w:szCs w:val="20"/>
              </w:rPr>
            </w:pPr>
            <w:r w:rsidRPr="0020329D">
              <w:rPr>
                <w:sz w:val="20"/>
                <w:szCs w:val="20"/>
              </w:rPr>
              <w:t>2</w:t>
            </w:r>
          </w:p>
        </w:tc>
        <w:tc>
          <w:tcPr>
            <w:tcW w:w="3686" w:type="dxa"/>
            <w:tcBorders>
              <w:top w:val="nil"/>
              <w:left w:val="single" w:sz="8" w:space="0" w:color="auto"/>
              <w:bottom w:val="single" w:sz="8" w:space="0" w:color="auto"/>
              <w:right w:val="single" w:sz="8" w:space="0" w:color="auto"/>
            </w:tcBorders>
            <w:vAlign w:val="center"/>
          </w:tcPr>
          <w:p w:rsidR="00E458CD" w:rsidRPr="0020329D" w:rsidRDefault="00E458CD" w:rsidP="00EA39CE">
            <w:pPr>
              <w:spacing w:before="60" w:after="60"/>
              <w:ind w:left="284"/>
              <w:jc w:val="center"/>
              <w:rPr>
                <w:rFonts w:eastAsia="Calibri"/>
                <w:sz w:val="20"/>
                <w:szCs w:val="20"/>
              </w:rPr>
            </w:pPr>
            <w:r>
              <w:rPr>
                <w:sz w:val="20"/>
                <w:szCs w:val="20"/>
              </w:rPr>
              <w:t xml:space="preserve">Non Price Elements </w:t>
            </w:r>
            <w:r w:rsidRPr="0020329D">
              <w:rPr>
                <w:sz w:val="20"/>
                <w:szCs w:val="20"/>
              </w:rPr>
              <w:t xml:space="preserve">(including </w:t>
            </w:r>
            <w:r>
              <w:rPr>
                <w:sz w:val="20"/>
                <w:szCs w:val="20"/>
              </w:rPr>
              <w:t xml:space="preserve">quality, </w:t>
            </w:r>
            <w:r w:rsidRPr="0020329D">
              <w:rPr>
                <w:sz w:val="20"/>
                <w:szCs w:val="20"/>
              </w:rPr>
              <w:t xml:space="preserve">technical merit </w:t>
            </w:r>
            <w:r>
              <w:rPr>
                <w:sz w:val="20"/>
                <w:szCs w:val="20"/>
              </w:rPr>
              <w:t>and</w:t>
            </w:r>
            <w:r w:rsidRPr="0020329D">
              <w:rPr>
                <w:sz w:val="20"/>
                <w:szCs w:val="20"/>
              </w:rPr>
              <w:t xml:space="preserve"> delivery lead times)</w:t>
            </w:r>
          </w:p>
        </w:tc>
        <w:tc>
          <w:tcPr>
            <w:tcW w:w="3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58CD" w:rsidRPr="0020329D" w:rsidRDefault="00E458CD" w:rsidP="00EA39CE">
            <w:pPr>
              <w:spacing w:before="60" w:after="60"/>
              <w:jc w:val="center"/>
              <w:rPr>
                <w:sz w:val="20"/>
                <w:szCs w:val="20"/>
              </w:rPr>
            </w:pPr>
            <w:r w:rsidRPr="0020329D">
              <w:rPr>
                <w:caps/>
                <w:sz w:val="20"/>
                <w:szCs w:val="20"/>
              </w:rPr>
              <w:t>50%</w:t>
            </w:r>
          </w:p>
        </w:tc>
      </w:tr>
    </w:tbl>
    <w:p w:rsidR="00F20C99" w:rsidRDefault="00434D4A">
      <w:pPr>
        <w:pStyle w:val="GPSSchPart"/>
      </w:pPr>
      <w:r w:rsidRPr="006875AD">
        <w:br w:type="page"/>
      </w:r>
      <w:r w:rsidRPr="006875AD">
        <w:lastRenderedPageBreak/>
        <w:t>Part B: Further Competition Award Criteria</w:t>
      </w:r>
    </w:p>
    <w:p w:rsidR="00F20C99" w:rsidRDefault="00BF4568" w:rsidP="002E7CBD">
      <w:pPr>
        <w:pStyle w:val="GPSL1Schedulenumbered"/>
      </w:pPr>
      <w:r>
        <w:t xml:space="preserve">Some or all of the </w:t>
      </w:r>
      <w:r w:rsidR="00434D4A" w:rsidRPr="006875AD">
        <w:t>following criteria shall be applied to the Services set out in the Suppliers' compliant tenders submitted through the Further Competition Procedure</w:t>
      </w:r>
      <w:r>
        <w:t xml:space="preserve">, with percentage weightings from  0% to 100% to be set </w:t>
      </w:r>
      <w:r w:rsidRPr="00BF4568">
        <w:t>by the Contracting Body conducting the further competition</w:t>
      </w:r>
      <w:r w:rsidR="00434D4A" w:rsidRPr="006875AD">
        <w:t>:</w:t>
      </w:r>
    </w:p>
    <w:p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6875AD" w:rsidTr="000B1994">
        <w:tc>
          <w:tcPr>
            <w:tcW w:w="1751" w:type="dxa"/>
            <w:shd w:val="clear" w:color="auto" w:fill="EEECE1"/>
          </w:tcPr>
          <w:p w:rsidR="00434D4A" w:rsidRPr="00B370C4" w:rsidRDefault="00434D4A" w:rsidP="000B1994">
            <w:pPr>
              <w:pStyle w:val="MarginText"/>
              <w:overflowPunct w:val="0"/>
              <w:autoSpaceDE w:val="0"/>
              <w:autoSpaceDN w:val="0"/>
              <w:spacing w:after="0"/>
              <w:jc w:val="left"/>
              <w:textAlignment w:val="baseline"/>
              <w:rPr>
                <w:rFonts w:cs="Arial"/>
                <w:b/>
                <w:szCs w:val="22"/>
              </w:rPr>
            </w:pPr>
            <w:r w:rsidRPr="00B370C4">
              <w:rPr>
                <w:rFonts w:cs="Arial"/>
                <w:b/>
                <w:szCs w:val="22"/>
              </w:rPr>
              <w:t>Criteria Number</w:t>
            </w:r>
          </w:p>
        </w:tc>
        <w:tc>
          <w:tcPr>
            <w:tcW w:w="4107" w:type="dxa"/>
            <w:shd w:val="clear" w:color="auto" w:fill="EEECE1"/>
          </w:tcPr>
          <w:p w:rsidR="00434D4A" w:rsidRPr="00B370C4" w:rsidRDefault="00434D4A" w:rsidP="000B1994">
            <w:pPr>
              <w:pStyle w:val="MarginText"/>
              <w:overflowPunct w:val="0"/>
              <w:autoSpaceDE w:val="0"/>
              <w:autoSpaceDN w:val="0"/>
              <w:spacing w:after="0"/>
              <w:jc w:val="left"/>
              <w:textAlignment w:val="baseline"/>
              <w:rPr>
                <w:rFonts w:cs="Arial"/>
                <w:b/>
                <w:szCs w:val="22"/>
              </w:rPr>
            </w:pPr>
            <w:r w:rsidRPr="00B370C4">
              <w:rPr>
                <w:rFonts w:cs="Arial"/>
                <w:b/>
                <w:szCs w:val="22"/>
              </w:rPr>
              <w:t>Criteria</w:t>
            </w:r>
          </w:p>
        </w:tc>
        <w:tc>
          <w:tcPr>
            <w:tcW w:w="2991" w:type="dxa"/>
            <w:shd w:val="clear" w:color="auto" w:fill="EEECE1"/>
          </w:tcPr>
          <w:p w:rsidR="00434D4A" w:rsidRPr="00B370C4" w:rsidRDefault="00434D4A" w:rsidP="00BF4568">
            <w:pPr>
              <w:pStyle w:val="MarginText"/>
              <w:overflowPunct w:val="0"/>
              <w:autoSpaceDE w:val="0"/>
              <w:autoSpaceDN w:val="0"/>
              <w:spacing w:after="0"/>
              <w:textAlignment w:val="baseline"/>
              <w:rPr>
                <w:rFonts w:cs="Arial"/>
                <w:b/>
                <w:szCs w:val="22"/>
              </w:rPr>
            </w:pPr>
            <w:r w:rsidRPr="00B370C4">
              <w:rPr>
                <w:rFonts w:cs="Arial"/>
                <w:b/>
                <w:szCs w:val="22"/>
              </w:rPr>
              <w:t xml:space="preserve">Percentage Weightings - to be set by the Contracting Body conducting the further competition </w:t>
            </w: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A</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Quality</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B</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Cost effectiveness</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C</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Technical merit</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D</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Technical assistance</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E</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After sales service</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F</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Price</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G</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Aesthetic and functional characteristics</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H</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Running costs</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I</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Environmental characteristics</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J</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Delivery date and delivery period</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434D4A" w:rsidRPr="006875AD" w:rsidTr="000B1994">
        <w:tc>
          <w:tcPr>
            <w:tcW w:w="1751"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K</w:t>
            </w:r>
          </w:p>
        </w:tc>
        <w:tc>
          <w:tcPr>
            <w:tcW w:w="4107" w:type="dxa"/>
          </w:tcPr>
          <w:p w:rsidR="00434D4A" w:rsidRPr="00B370C4" w:rsidRDefault="00434D4A" w:rsidP="000B1994">
            <w:pPr>
              <w:pStyle w:val="MarginText"/>
              <w:overflowPunct w:val="0"/>
              <w:autoSpaceDE w:val="0"/>
              <w:autoSpaceDN w:val="0"/>
              <w:jc w:val="left"/>
              <w:textAlignment w:val="baseline"/>
              <w:rPr>
                <w:rFonts w:cs="Arial"/>
                <w:szCs w:val="22"/>
              </w:rPr>
            </w:pPr>
            <w:r w:rsidRPr="00B370C4">
              <w:rPr>
                <w:rFonts w:cs="Arial"/>
                <w:szCs w:val="22"/>
              </w:rPr>
              <w:t>Period of completion</w:t>
            </w:r>
          </w:p>
        </w:tc>
        <w:tc>
          <w:tcPr>
            <w:tcW w:w="2991" w:type="dxa"/>
          </w:tcPr>
          <w:p w:rsidR="00434D4A" w:rsidRPr="00B370C4" w:rsidRDefault="00434D4A" w:rsidP="000B1994">
            <w:pPr>
              <w:pStyle w:val="MarginText"/>
              <w:overflowPunct w:val="0"/>
              <w:autoSpaceDE w:val="0"/>
              <w:autoSpaceDN w:val="0"/>
              <w:textAlignment w:val="baseline"/>
              <w:rPr>
                <w:rFonts w:cs="Arial"/>
                <w:szCs w:val="22"/>
              </w:rPr>
            </w:pPr>
          </w:p>
        </w:tc>
      </w:tr>
      <w:tr w:rsidR="009D0362" w:rsidRPr="006875AD" w:rsidTr="000B1994">
        <w:tc>
          <w:tcPr>
            <w:tcW w:w="1751" w:type="dxa"/>
          </w:tcPr>
          <w:p w:rsidR="009D0362" w:rsidRPr="00B370C4" w:rsidRDefault="009D0362" w:rsidP="000B1994">
            <w:pPr>
              <w:pStyle w:val="MarginText"/>
              <w:overflowPunct w:val="0"/>
              <w:autoSpaceDE w:val="0"/>
              <w:autoSpaceDN w:val="0"/>
              <w:jc w:val="left"/>
              <w:textAlignment w:val="baseline"/>
              <w:rPr>
                <w:rFonts w:cs="Arial"/>
                <w:szCs w:val="22"/>
              </w:rPr>
            </w:pPr>
            <w:r>
              <w:rPr>
                <w:rFonts w:cs="Arial"/>
                <w:szCs w:val="22"/>
              </w:rPr>
              <w:t>L</w:t>
            </w:r>
          </w:p>
        </w:tc>
        <w:tc>
          <w:tcPr>
            <w:tcW w:w="4107" w:type="dxa"/>
          </w:tcPr>
          <w:p w:rsidR="009D0362" w:rsidRPr="00B370C4" w:rsidRDefault="009D0362" w:rsidP="000B1994">
            <w:pPr>
              <w:pStyle w:val="MarginText"/>
              <w:overflowPunct w:val="0"/>
              <w:autoSpaceDE w:val="0"/>
              <w:autoSpaceDN w:val="0"/>
              <w:jc w:val="left"/>
              <w:textAlignment w:val="baseline"/>
              <w:rPr>
                <w:rFonts w:cs="Arial"/>
                <w:szCs w:val="22"/>
              </w:rPr>
            </w:pPr>
            <w:r>
              <w:rPr>
                <w:rFonts w:cs="Arial"/>
                <w:szCs w:val="22"/>
              </w:rPr>
              <w:t>Service</w:t>
            </w:r>
          </w:p>
        </w:tc>
        <w:tc>
          <w:tcPr>
            <w:tcW w:w="2991" w:type="dxa"/>
          </w:tcPr>
          <w:p w:rsidR="009D0362" w:rsidRPr="00B370C4" w:rsidRDefault="009D0362" w:rsidP="000B1994">
            <w:pPr>
              <w:pStyle w:val="MarginText"/>
              <w:overflowPunct w:val="0"/>
              <w:autoSpaceDE w:val="0"/>
              <w:autoSpaceDN w:val="0"/>
              <w:textAlignment w:val="baseline"/>
              <w:rPr>
                <w:rFonts w:cs="Arial"/>
                <w:szCs w:val="22"/>
              </w:rPr>
            </w:pPr>
          </w:p>
        </w:tc>
      </w:tr>
      <w:tr w:rsidR="009D0362" w:rsidRPr="006875AD" w:rsidTr="000B1994">
        <w:tc>
          <w:tcPr>
            <w:tcW w:w="1751" w:type="dxa"/>
          </w:tcPr>
          <w:p w:rsidR="009D0362" w:rsidRDefault="009D0362" w:rsidP="000B1994">
            <w:pPr>
              <w:pStyle w:val="MarginText"/>
              <w:overflowPunct w:val="0"/>
              <w:autoSpaceDE w:val="0"/>
              <w:autoSpaceDN w:val="0"/>
              <w:jc w:val="left"/>
              <w:textAlignment w:val="baseline"/>
              <w:rPr>
                <w:rFonts w:cs="Arial"/>
                <w:szCs w:val="22"/>
              </w:rPr>
            </w:pPr>
            <w:r>
              <w:rPr>
                <w:rFonts w:cs="Arial"/>
                <w:szCs w:val="22"/>
              </w:rPr>
              <w:t>M</w:t>
            </w:r>
          </w:p>
        </w:tc>
        <w:tc>
          <w:tcPr>
            <w:tcW w:w="4107" w:type="dxa"/>
          </w:tcPr>
          <w:p w:rsidR="009D0362" w:rsidRDefault="009D0362" w:rsidP="000B1994">
            <w:pPr>
              <w:pStyle w:val="MarginText"/>
              <w:overflowPunct w:val="0"/>
              <w:autoSpaceDE w:val="0"/>
              <w:autoSpaceDN w:val="0"/>
              <w:jc w:val="left"/>
              <w:textAlignment w:val="baseline"/>
              <w:rPr>
                <w:rFonts w:cs="Arial"/>
                <w:szCs w:val="22"/>
              </w:rPr>
            </w:pPr>
            <w:r>
              <w:rPr>
                <w:rFonts w:cs="Arial"/>
                <w:szCs w:val="22"/>
              </w:rPr>
              <w:t>Transition</w:t>
            </w:r>
          </w:p>
        </w:tc>
        <w:tc>
          <w:tcPr>
            <w:tcW w:w="2991" w:type="dxa"/>
          </w:tcPr>
          <w:p w:rsidR="009D0362" w:rsidRPr="00B370C4" w:rsidRDefault="009D0362" w:rsidP="000B1994">
            <w:pPr>
              <w:pStyle w:val="MarginText"/>
              <w:overflowPunct w:val="0"/>
              <w:autoSpaceDE w:val="0"/>
              <w:autoSpaceDN w:val="0"/>
              <w:textAlignment w:val="baseline"/>
              <w:rPr>
                <w:rFonts w:cs="Arial"/>
                <w:szCs w:val="22"/>
              </w:rPr>
            </w:pPr>
          </w:p>
        </w:tc>
      </w:tr>
      <w:tr w:rsidR="009D0362" w:rsidRPr="006875AD" w:rsidTr="000B1994">
        <w:tc>
          <w:tcPr>
            <w:tcW w:w="1751" w:type="dxa"/>
          </w:tcPr>
          <w:p w:rsidR="009D0362" w:rsidRDefault="009D0362" w:rsidP="000B1994">
            <w:pPr>
              <w:pStyle w:val="MarginText"/>
              <w:overflowPunct w:val="0"/>
              <w:autoSpaceDE w:val="0"/>
              <w:autoSpaceDN w:val="0"/>
              <w:jc w:val="left"/>
              <w:textAlignment w:val="baseline"/>
              <w:rPr>
                <w:rFonts w:cs="Arial"/>
                <w:szCs w:val="22"/>
              </w:rPr>
            </w:pPr>
            <w:r>
              <w:rPr>
                <w:rFonts w:cs="Arial"/>
                <w:szCs w:val="22"/>
              </w:rPr>
              <w:t>N</w:t>
            </w:r>
          </w:p>
        </w:tc>
        <w:tc>
          <w:tcPr>
            <w:tcW w:w="4107" w:type="dxa"/>
          </w:tcPr>
          <w:p w:rsidR="009D0362" w:rsidRDefault="009D0362" w:rsidP="000B1994">
            <w:pPr>
              <w:pStyle w:val="MarginText"/>
              <w:overflowPunct w:val="0"/>
              <w:autoSpaceDE w:val="0"/>
              <w:autoSpaceDN w:val="0"/>
              <w:jc w:val="left"/>
              <w:textAlignment w:val="baseline"/>
              <w:rPr>
                <w:rFonts w:cs="Arial"/>
                <w:szCs w:val="22"/>
              </w:rPr>
            </w:pPr>
            <w:r>
              <w:rPr>
                <w:rFonts w:cs="Arial"/>
                <w:szCs w:val="22"/>
              </w:rPr>
              <w:t>Legal / Commercial</w:t>
            </w:r>
          </w:p>
        </w:tc>
        <w:tc>
          <w:tcPr>
            <w:tcW w:w="2991" w:type="dxa"/>
          </w:tcPr>
          <w:p w:rsidR="009D0362" w:rsidRPr="00B370C4" w:rsidRDefault="009D0362" w:rsidP="000B1994">
            <w:pPr>
              <w:pStyle w:val="MarginText"/>
              <w:overflowPunct w:val="0"/>
              <w:autoSpaceDE w:val="0"/>
              <w:autoSpaceDN w:val="0"/>
              <w:textAlignment w:val="baseline"/>
              <w:rPr>
                <w:rFonts w:cs="Arial"/>
                <w:szCs w:val="22"/>
              </w:rPr>
            </w:pPr>
          </w:p>
        </w:tc>
      </w:tr>
    </w:tbl>
    <w:p w:rsidR="00F20C99" w:rsidRDefault="00F71B15">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846" w:author="potterj" w:date="2014-08-28T12:26:00Z" w:original="0."/>
        </w:fldChar>
      </w:r>
    </w:p>
    <w:p w:rsidR="00F20C99" w:rsidRDefault="00D12C54">
      <w:pPr>
        <w:pStyle w:val="GPSSchTitleandNumber"/>
      </w:pPr>
      <w:r>
        <w:rPr>
          <w:sz w:val="16"/>
        </w:rPr>
        <w:br w:type="page"/>
      </w:r>
      <w:bookmarkStart w:id="847" w:name="_Toc366085191"/>
      <w:bookmarkStart w:id="848" w:name="_Toc379488097"/>
      <w:bookmarkStart w:id="849" w:name="_Toc380052199"/>
      <w:bookmarkStart w:id="850" w:name="_Toc380052710"/>
      <w:bookmarkStart w:id="851" w:name="_Toc391545394"/>
      <w:r w:rsidRPr="00D12C54">
        <w:lastRenderedPageBreak/>
        <w:t xml:space="preserve">FRAMEWORK SCHEDULE 7: </w:t>
      </w:r>
      <w:r w:rsidRPr="000B1994">
        <w:t>KEY</w:t>
      </w:r>
      <w:r w:rsidRPr="00D12C54">
        <w:t xml:space="preserve"> SUB-CONTRACTORS</w:t>
      </w:r>
      <w:bookmarkEnd w:id="847"/>
      <w:bookmarkEnd w:id="848"/>
      <w:bookmarkEnd w:id="849"/>
      <w:bookmarkEnd w:id="850"/>
      <w:bookmarkEnd w:id="851"/>
    </w:p>
    <w:p w:rsidR="00891B59" w:rsidRDefault="000B1994">
      <w:pPr>
        <w:pStyle w:val="GPSL1Schedulenumbered"/>
      </w:pPr>
      <w:r>
        <w:t xml:space="preserve">In accordance with Clause </w:t>
      </w:r>
      <w:r w:rsidR="00F71B15">
        <w:fldChar w:fldCharType="begin"/>
      </w:r>
      <w:r w:rsidR="004C0E52">
        <w:instrText xml:space="preserve"> REF _Ref365980203 \r \h </w:instrText>
      </w:r>
      <w:r w:rsidR="00F71B15">
        <w:fldChar w:fldCharType="separate"/>
      </w:r>
      <w:r w:rsidR="00B3040B">
        <w:t>22.1</w:t>
      </w:r>
      <w:r w:rsidR="00F71B15">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rsidR="000E0061" w:rsidRDefault="00DB1EBA">
      <w:pPr>
        <w:pStyle w:val="GPSL1Guidance"/>
      </w:pPr>
      <w:r w:rsidRPr="00DB1EBA">
        <w:rPr>
          <w:highlight w:val="green"/>
        </w:rPr>
        <w:t xml:space="preserve">[Guidance Note: the list of Key Sub-Contractors as approved by </w:t>
      </w:r>
      <w:r w:rsidR="00051095">
        <w:rPr>
          <w:highlight w:val="green"/>
        </w:rPr>
        <w:t>the Authority</w:t>
      </w:r>
      <w:r w:rsidRPr="00DB1EBA">
        <w:rPr>
          <w:highlight w:val="green"/>
        </w:rPr>
        <w:t xml:space="preserve"> should be inserted here]</w:t>
      </w:r>
    </w:p>
    <w:p w:rsidR="000E0061" w:rsidRDefault="000E0061">
      <w:pPr>
        <w:pStyle w:val="GPSL1Guidance"/>
      </w:pPr>
    </w:p>
    <w:p w:rsidR="000E0061" w:rsidRDefault="000E0061" w:rsidP="000E0061">
      <w:pPr>
        <w:pStyle w:val="GPSL1Schedulenumbered"/>
        <w:tabs>
          <w:tab w:val="clear" w:pos="993"/>
        </w:tabs>
        <w:ind w:hanging="425"/>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672"/>
        <w:gridCol w:w="1672"/>
        <w:gridCol w:w="1672"/>
      </w:tblGrid>
      <w:tr w:rsidR="000E0061" w:rsidRPr="00D12C54" w:rsidTr="00AE2E2D">
        <w:trPr>
          <w:tblHeader/>
        </w:trPr>
        <w:tc>
          <w:tcPr>
            <w:tcW w:w="2660" w:type="dxa"/>
            <w:shd w:val="clear" w:color="auto" w:fill="FFFFFF"/>
          </w:tcPr>
          <w:p w:rsidR="000E0061" w:rsidRDefault="000E0061" w:rsidP="00AE2E2D">
            <w:pPr>
              <w:overflowPunct/>
              <w:autoSpaceDE/>
              <w:autoSpaceDN/>
              <w:adjustRightInd/>
              <w:spacing w:after="0"/>
              <w:jc w:val="left"/>
              <w:textAlignment w:val="auto"/>
            </w:pPr>
            <w:r>
              <w:t>Key Sub-Contractor’s: Name;</w:t>
            </w:r>
          </w:p>
          <w:p w:rsidR="000E0061" w:rsidRDefault="000E0061" w:rsidP="00AE2E2D">
            <w:pPr>
              <w:overflowPunct/>
              <w:autoSpaceDE/>
              <w:autoSpaceDN/>
              <w:adjustRightInd/>
              <w:spacing w:after="0"/>
              <w:jc w:val="left"/>
              <w:textAlignment w:val="auto"/>
            </w:pPr>
            <w:r>
              <w:t>Registered Office; and</w:t>
            </w:r>
          </w:p>
          <w:p w:rsidR="000E0061" w:rsidRDefault="000E0061" w:rsidP="00AE2E2D">
            <w:pPr>
              <w:overflowPunct/>
              <w:autoSpaceDE/>
              <w:autoSpaceDN/>
              <w:adjustRightInd/>
              <w:spacing w:after="0"/>
              <w:jc w:val="left"/>
              <w:textAlignment w:val="auto"/>
            </w:pPr>
            <w:r>
              <w:t>Registration Number.</w:t>
            </w:r>
          </w:p>
        </w:tc>
        <w:tc>
          <w:tcPr>
            <w:tcW w:w="1559" w:type="dxa"/>
            <w:shd w:val="clear" w:color="auto" w:fill="FFFFFF"/>
          </w:tcPr>
          <w:p w:rsidR="000E0061" w:rsidRPr="00D12C54" w:rsidRDefault="000E0061" w:rsidP="00AE2E2D">
            <w:pPr>
              <w:spacing w:after="120"/>
            </w:pPr>
            <w:r>
              <w:t>Scope / Description of Services to be provided.</w:t>
            </w:r>
          </w:p>
        </w:tc>
        <w:tc>
          <w:tcPr>
            <w:tcW w:w="1672" w:type="dxa"/>
            <w:shd w:val="clear" w:color="auto" w:fill="FFFFFF"/>
          </w:tcPr>
          <w:p w:rsidR="000E0061" w:rsidRPr="00D12C54" w:rsidRDefault="000E0061" w:rsidP="00AE2E2D">
            <w:pPr>
              <w:spacing w:after="120"/>
            </w:pPr>
            <w:r>
              <w:t>Is the Key Sub-Contractor an Affiliate (Y/N)</w:t>
            </w:r>
          </w:p>
        </w:tc>
        <w:tc>
          <w:tcPr>
            <w:tcW w:w="1672" w:type="dxa"/>
            <w:shd w:val="clear" w:color="auto" w:fill="FFFFFF"/>
          </w:tcPr>
          <w:p w:rsidR="000E0061" w:rsidRPr="00D12C54" w:rsidRDefault="000E0061" w:rsidP="00AE2E2D">
            <w:pPr>
              <w:spacing w:after="120"/>
            </w:pPr>
            <w:r>
              <w:t>Key Sub-Contract Price as a percentage of the total projected Framework Price</w:t>
            </w:r>
          </w:p>
        </w:tc>
        <w:tc>
          <w:tcPr>
            <w:tcW w:w="1672" w:type="dxa"/>
            <w:shd w:val="clear" w:color="auto" w:fill="FFFFFF"/>
          </w:tcPr>
          <w:p w:rsidR="000E0061" w:rsidRPr="00D12C54" w:rsidRDefault="00945F1B" w:rsidP="00AE2E2D">
            <w:pPr>
              <w:spacing w:after="120"/>
            </w:pPr>
            <w:r>
              <w:t>Not Used</w:t>
            </w:r>
          </w:p>
        </w:tc>
      </w:tr>
      <w:tr w:rsidR="00945F1B" w:rsidRPr="00D12C54" w:rsidTr="00AE2E2D">
        <w:trPr>
          <w:tblHeader/>
        </w:trPr>
        <w:tc>
          <w:tcPr>
            <w:tcW w:w="2660" w:type="dxa"/>
            <w:shd w:val="clear" w:color="auto" w:fill="FFFFFF"/>
          </w:tcPr>
          <w:p w:rsidR="00945F1B" w:rsidRPr="00D12C54" w:rsidRDefault="00945F1B" w:rsidP="00AE2E2D">
            <w:pPr>
              <w:spacing w:after="120"/>
            </w:pPr>
          </w:p>
        </w:tc>
        <w:tc>
          <w:tcPr>
            <w:tcW w:w="1559"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r w:rsidRPr="00D40F0F">
              <w:t>Not Used</w:t>
            </w:r>
          </w:p>
        </w:tc>
      </w:tr>
      <w:tr w:rsidR="00945F1B" w:rsidRPr="00D12C54" w:rsidTr="00AE2E2D">
        <w:trPr>
          <w:tblHeader/>
        </w:trPr>
        <w:tc>
          <w:tcPr>
            <w:tcW w:w="2660" w:type="dxa"/>
            <w:shd w:val="clear" w:color="auto" w:fill="FFFFFF"/>
          </w:tcPr>
          <w:p w:rsidR="00945F1B" w:rsidRPr="00D12C54" w:rsidRDefault="00945F1B" w:rsidP="00AE2E2D">
            <w:pPr>
              <w:spacing w:after="120"/>
            </w:pPr>
          </w:p>
        </w:tc>
        <w:tc>
          <w:tcPr>
            <w:tcW w:w="1559"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r w:rsidRPr="00D40F0F">
              <w:t>Not Used</w:t>
            </w:r>
          </w:p>
        </w:tc>
      </w:tr>
      <w:tr w:rsidR="00945F1B" w:rsidRPr="00D12C54" w:rsidTr="00AE2E2D">
        <w:trPr>
          <w:tblHeader/>
        </w:trPr>
        <w:tc>
          <w:tcPr>
            <w:tcW w:w="2660" w:type="dxa"/>
            <w:shd w:val="clear" w:color="auto" w:fill="FFFFFF"/>
          </w:tcPr>
          <w:p w:rsidR="00945F1B" w:rsidRPr="00D12C54" w:rsidRDefault="00945F1B" w:rsidP="00AE2E2D">
            <w:pPr>
              <w:spacing w:after="120"/>
            </w:pPr>
          </w:p>
        </w:tc>
        <w:tc>
          <w:tcPr>
            <w:tcW w:w="1559"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r w:rsidRPr="00D40F0F">
              <w:t>Not Used</w:t>
            </w:r>
          </w:p>
        </w:tc>
      </w:tr>
      <w:tr w:rsidR="00945F1B" w:rsidRPr="00D12C54" w:rsidTr="00AE2E2D">
        <w:trPr>
          <w:tblHeader/>
        </w:trPr>
        <w:tc>
          <w:tcPr>
            <w:tcW w:w="2660" w:type="dxa"/>
            <w:shd w:val="clear" w:color="auto" w:fill="FFFFFF"/>
          </w:tcPr>
          <w:p w:rsidR="00945F1B" w:rsidRPr="00D12C54" w:rsidRDefault="00945F1B" w:rsidP="00AE2E2D">
            <w:pPr>
              <w:spacing w:after="120"/>
            </w:pPr>
          </w:p>
        </w:tc>
        <w:tc>
          <w:tcPr>
            <w:tcW w:w="1559"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r w:rsidRPr="00D40F0F">
              <w:t>Not Used</w:t>
            </w:r>
          </w:p>
        </w:tc>
      </w:tr>
      <w:tr w:rsidR="00945F1B" w:rsidRPr="00D12C54" w:rsidTr="00AE2E2D">
        <w:trPr>
          <w:tblHeader/>
        </w:trPr>
        <w:tc>
          <w:tcPr>
            <w:tcW w:w="2660" w:type="dxa"/>
            <w:shd w:val="clear" w:color="auto" w:fill="FFFFFF"/>
          </w:tcPr>
          <w:p w:rsidR="00945F1B" w:rsidRPr="00D12C54" w:rsidRDefault="00945F1B" w:rsidP="00AE2E2D">
            <w:pPr>
              <w:spacing w:after="120"/>
            </w:pPr>
          </w:p>
        </w:tc>
        <w:tc>
          <w:tcPr>
            <w:tcW w:w="1559"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p>
        </w:tc>
        <w:tc>
          <w:tcPr>
            <w:tcW w:w="1672" w:type="dxa"/>
            <w:shd w:val="clear" w:color="auto" w:fill="FFFFFF"/>
          </w:tcPr>
          <w:p w:rsidR="00945F1B" w:rsidRPr="00D12C54" w:rsidRDefault="00945F1B" w:rsidP="00AE2E2D">
            <w:pPr>
              <w:spacing w:after="120"/>
            </w:pPr>
            <w:r w:rsidRPr="00D40F0F">
              <w:t>Not Used</w:t>
            </w:r>
          </w:p>
        </w:tc>
      </w:tr>
    </w:tbl>
    <w:p w:rsidR="000E0061" w:rsidRDefault="00F71B15" w:rsidP="000E0061">
      <w:pPr>
        <w:pStyle w:val="GPSmacrorestart"/>
      </w:pPr>
      <w:r w:rsidRPr="00850F42">
        <w:fldChar w:fldCharType="begin"/>
      </w:r>
      <w:r w:rsidR="000E0061" w:rsidRPr="00850F42">
        <w:instrText>LISTNUM \l 1 \s 0</w:instrText>
      </w:r>
      <w:r w:rsidRPr="00850F42">
        <w:fldChar w:fldCharType="separate"/>
      </w:r>
      <w:r w:rsidR="000E0061" w:rsidRPr="00850F42">
        <w:t xml:space="preserve"> </w:t>
      </w:r>
      <w:r w:rsidRPr="00850F42">
        <w:fldChar w:fldCharType="end">
          <w:numberingChange w:id="852" w:author="potterj" w:date="2014-08-28T12:26:00Z" w:original="0."/>
        </w:fldChar>
      </w:r>
    </w:p>
    <w:p w:rsidR="000E0061" w:rsidRDefault="000E0061" w:rsidP="000E0061">
      <w:pPr>
        <w:pStyle w:val="GPSSchTitleandNumber"/>
        <w:rPr>
          <w:rFonts w:ascii="Trebuchet MS" w:hAnsi="Trebuchet MS"/>
        </w:rPr>
      </w:pPr>
    </w:p>
    <w:p w:rsidR="000E0061" w:rsidRDefault="000E0061" w:rsidP="000E0061">
      <w:pPr>
        <w:pStyle w:val="GPSSchTitleandNumber"/>
        <w:rPr>
          <w:rFonts w:ascii="Trebuchet MS" w:hAnsi="Trebuchet MS"/>
        </w:rPr>
      </w:pPr>
    </w:p>
    <w:p w:rsidR="000E0061" w:rsidRDefault="000E0061" w:rsidP="000E0061">
      <w:pPr>
        <w:overflowPunct/>
        <w:autoSpaceDE/>
        <w:autoSpaceDN/>
        <w:adjustRightInd/>
        <w:spacing w:after="0"/>
        <w:jc w:val="left"/>
        <w:textAlignment w:val="auto"/>
        <w:rPr>
          <w:rFonts w:ascii="Trebuchet MS" w:eastAsia="STZhongsong" w:hAnsi="Trebuchet MS" w:cs="Times New Roman"/>
          <w:b/>
          <w:caps/>
          <w:lang w:eastAsia="zh-CN"/>
        </w:rPr>
      </w:pPr>
      <w:r>
        <w:rPr>
          <w:rFonts w:ascii="Trebuchet MS" w:hAnsi="Trebuchet MS"/>
        </w:rPr>
        <w:br w:type="page"/>
      </w:r>
    </w:p>
    <w:p w:rsidR="000E0061" w:rsidRDefault="000E0061" w:rsidP="000E0061">
      <w:pPr>
        <w:pStyle w:val="GPSSchAnnexname"/>
      </w:pPr>
      <w:bookmarkStart w:id="853" w:name="_Toc373851847"/>
      <w:bookmarkStart w:id="854" w:name="_Toc379488098"/>
      <w:bookmarkStart w:id="855" w:name="_Toc380052200"/>
      <w:bookmarkStart w:id="856" w:name="_Toc380052711"/>
      <w:bookmarkStart w:id="857" w:name="_Toc391545395"/>
      <w:r>
        <w:lastRenderedPageBreak/>
        <w:t xml:space="preserve">ANNEX 1: </w:t>
      </w:r>
      <w:r w:rsidR="00FB625A">
        <w:t>APPOINTMENT OF KEY SUBCONTRACTORS FORM</w:t>
      </w:r>
      <w:bookmarkEnd w:id="853"/>
      <w:bookmarkEnd w:id="854"/>
      <w:bookmarkEnd w:id="855"/>
      <w:bookmarkEnd w:id="856"/>
      <w:bookmarkEnd w:id="857"/>
    </w:p>
    <w:p w:rsidR="000E0061" w:rsidRDefault="000E0061" w:rsidP="000E0061">
      <w:pPr>
        <w:pStyle w:val="GPSSchTitleandNumber"/>
        <w:rPr>
          <w:rFonts w:ascii="Trebuchet MS" w:hAnsi="Trebuchet MS"/>
        </w:rPr>
      </w:pPr>
    </w:p>
    <w:p w:rsidR="000E0061" w:rsidRPr="00D03934" w:rsidRDefault="000E0061" w:rsidP="000E0061">
      <w:pPr>
        <w:pStyle w:val="TableNormal1"/>
      </w:pPr>
      <w:r>
        <w:t>Appointment of Key Sub-Contractor</w:t>
      </w:r>
      <w:r w:rsidRPr="00D03934">
        <w:t xml:space="preserve"> Form No:</w:t>
      </w:r>
    </w:p>
    <w:p w:rsidR="000E0061" w:rsidRPr="00D03934" w:rsidRDefault="000E0061" w:rsidP="000E0061">
      <w:pPr>
        <w:pStyle w:val="TableNormal1"/>
      </w:pPr>
      <w:r w:rsidRPr="00D03934">
        <w:t>……………………………………………………………………………………</w:t>
      </w:r>
    </w:p>
    <w:p w:rsidR="000E0061" w:rsidRPr="00D03934" w:rsidRDefault="000E0061" w:rsidP="000E0061">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E0061" w:rsidRPr="00D03934" w:rsidTr="00AE2E2D">
        <w:trPr>
          <w:cantSplit/>
        </w:trPr>
        <w:tc>
          <w:tcPr>
            <w:tcW w:w="9531" w:type="dxa"/>
            <w:tcBorders>
              <w:top w:val="nil"/>
              <w:left w:val="nil"/>
              <w:bottom w:val="nil"/>
              <w:right w:val="nil"/>
            </w:tcBorders>
          </w:tcPr>
          <w:p w:rsidR="000E0061" w:rsidRPr="00D03934" w:rsidRDefault="000E0061" w:rsidP="00AE2E2D">
            <w:pPr>
              <w:pStyle w:val="TableNormal1"/>
            </w:pPr>
            <w:r w:rsidRPr="00D03934">
              <w:rPr>
                <w:b/>
                <w:highlight w:val="yellow"/>
              </w:rPr>
              <w:t>[</w:t>
            </w:r>
            <w:r w:rsidRPr="00D03934">
              <w:rPr>
                <w:highlight w:val="yellow"/>
              </w:rPr>
              <w:t xml:space="preserve">insert name of </w:t>
            </w:r>
            <w:r>
              <w:rPr>
                <w:highlight w:val="yellow"/>
              </w:rPr>
              <w:t xml:space="preserve">Authority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rsidR="000E0061" w:rsidRPr="00D03934" w:rsidRDefault="000E0061" w:rsidP="00AE2E2D">
            <w:pPr>
              <w:pStyle w:val="TableNormal1"/>
            </w:pPr>
            <w:r w:rsidRPr="00D03934">
              <w:t>and</w:t>
            </w:r>
          </w:p>
          <w:p w:rsidR="000E0061" w:rsidRPr="00D03934" w:rsidRDefault="000E0061" w:rsidP="00AE2E2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0E0061" w:rsidRDefault="000E0061" w:rsidP="000E0061">
      <w:pPr>
        <w:pStyle w:val="MarginText"/>
        <w:numPr>
          <w:ilvl w:val="0"/>
          <w:numId w:val="385"/>
        </w:numPr>
        <w:ind w:left="567" w:hanging="425"/>
        <w:rPr>
          <w:rFonts w:cs="Arial"/>
          <w:szCs w:val="22"/>
        </w:rPr>
      </w:pPr>
      <w:r w:rsidRPr="00D03934">
        <w:rPr>
          <w:rFonts w:cs="Arial"/>
          <w:szCs w:val="22"/>
        </w:rPr>
        <w:t>Th</w:t>
      </w:r>
      <w:r>
        <w:rPr>
          <w:rFonts w:cs="Arial"/>
          <w:szCs w:val="22"/>
        </w:rPr>
        <w:t>e Supplier hereby appoints the following Key Sub-Contractors to the Framework Agreement</w:t>
      </w:r>
      <w:r w:rsidRPr="00D03934">
        <w:rPr>
          <w:rFonts w:cs="Arial"/>
          <w:szCs w:val="22"/>
        </w:rPr>
        <w:t xml:space="preserve">  and shall take effect on the date signed by both Parties: </w:t>
      </w:r>
    </w:p>
    <w:p w:rsidR="000E0061" w:rsidRDefault="000E0061" w:rsidP="000E0061">
      <w:pPr>
        <w:pStyle w:val="MarginText"/>
        <w:ind w:left="567"/>
        <w:rPr>
          <w:rFonts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2126"/>
        <w:gridCol w:w="1701"/>
      </w:tblGrid>
      <w:tr w:rsidR="000E0061" w:rsidRPr="00D12C54" w:rsidTr="00AE2E2D">
        <w:trPr>
          <w:tblHeader/>
        </w:trPr>
        <w:tc>
          <w:tcPr>
            <w:tcW w:w="2376" w:type="dxa"/>
            <w:shd w:val="clear" w:color="auto" w:fill="FFFFFF"/>
          </w:tcPr>
          <w:p w:rsidR="000E0061" w:rsidRDefault="000E0061" w:rsidP="00AE2E2D">
            <w:pPr>
              <w:overflowPunct/>
              <w:autoSpaceDE/>
              <w:autoSpaceDN/>
              <w:adjustRightInd/>
              <w:spacing w:after="0"/>
              <w:jc w:val="left"/>
              <w:textAlignment w:val="auto"/>
            </w:pPr>
            <w:r>
              <w:t>Key Sub-Contractor’s: Name;</w:t>
            </w:r>
          </w:p>
          <w:p w:rsidR="000E0061" w:rsidRDefault="000E0061" w:rsidP="00AE2E2D">
            <w:pPr>
              <w:overflowPunct/>
              <w:autoSpaceDE/>
              <w:autoSpaceDN/>
              <w:adjustRightInd/>
              <w:spacing w:after="0"/>
              <w:jc w:val="left"/>
              <w:textAlignment w:val="auto"/>
            </w:pPr>
            <w:r>
              <w:t>Registered Office; and</w:t>
            </w:r>
          </w:p>
          <w:p w:rsidR="000E0061" w:rsidRDefault="000E0061" w:rsidP="00AE2E2D">
            <w:pPr>
              <w:overflowPunct/>
              <w:autoSpaceDE/>
              <w:autoSpaceDN/>
              <w:adjustRightInd/>
              <w:spacing w:after="0"/>
              <w:jc w:val="left"/>
              <w:textAlignment w:val="auto"/>
            </w:pPr>
            <w:r>
              <w:t>Registration Number.</w:t>
            </w:r>
          </w:p>
        </w:tc>
        <w:tc>
          <w:tcPr>
            <w:tcW w:w="3119" w:type="dxa"/>
            <w:shd w:val="clear" w:color="auto" w:fill="FFFFFF"/>
          </w:tcPr>
          <w:p w:rsidR="000E0061" w:rsidRPr="00D12C54" w:rsidRDefault="000E0061" w:rsidP="00AE2E2D">
            <w:pPr>
              <w:spacing w:after="120"/>
            </w:pPr>
            <w:r>
              <w:t>Scope / Description of Services to be provided.</w:t>
            </w:r>
          </w:p>
        </w:tc>
        <w:tc>
          <w:tcPr>
            <w:tcW w:w="2126" w:type="dxa"/>
            <w:shd w:val="clear" w:color="auto" w:fill="FFFFFF"/>
          </w:tcPr>
          <w:p w:rsidR="000E0061" w:rsidRPr="00D12C54" w:rsidRDefault="000E0061" w:rsidP="00AE2E2D">
            <w:pPr>
              <w:spacing w:after="120"/>
            </w:pPr>
            <w:r>
              <w:t>Is the Key Sub-Contractor an Affiliate (Y/N)</w:t>
            </w:r>
          </w:p>
        </w:tc>
        <w:tc>
          <w:tcPr>
            <w:tcW w:w="1701" w:type="dxa"/>
            <w:shd w:val="clear" w:color="auto" w:fill="FFFFFF"/>
          </w:tcPr>
          <w:p w:rsidR="000E0061" w:rsidRPr="00D12C54" w:rsidRDefault="000E0061" w:rsidP="00AE2E2D">
            <w:pPr>
              <w:spacing w:after="120"/>
            </w:pPr>
            <w:r>
              <w:t>Key Sub-Contract Price as a percentage of the total projected Call Off Charges</w:t>
            </w:r>
          </w:p>
        </w:tc>
      </w:tr>
      <w:tr w:rsidR="000E0061" w:rsidRPr="00D12C54" w:rsidTr="00AE2E2D">
        <w:trPr>
          <w:tblHeader/>
        </w:trPr>
        <w:tc>
          <w:tcPr>
            <w:tcW w:w="2376" w:type="dxa"/>
            <w:shd w:val="clear" w:color="auto" w:fill="FFFFFF"/>
          </w:tcPr>
          <w:p w:rsidR="000E0061" w:rsidRPr="00D12C54" w:rsidRDefault="000E0061" w:rsidP="00AE2E2D">
            <w:pPr>
              <w:spacing w:after="120"/>
            </w:pPr>
          </w:p>
        </w:tc>
        <w:tc>
          <w:tcPr>
            <w:tcW w:w="3119" w:type="dxa"/>
            <w:shd w:val="clear" w:color="auto" w:fill="FFFFFF"/>
          </w:tcPr>
          <w:p w:rsidR="000E0061" w:rsidRPr="00D12C54" w:rsidRDefault="000E0061" w:rsidP="00AE2E2D">
            <w:pPr>
              <w:spacing w:after="120"/>
            </w:pPr>
          </w:p>
        </w:tc>
        <w:tc>
          <w:tcPr>
            <w:tcW w:w="2126" w:type="dxa"/>
            <w:shd w:val="clear" w:color="auto" w:fill="FFFFFF"/>
          </w:tcPr>
          <w:p w:rsidR="000E0061" w:rsidRPr="00D12C54" w:rsidRDefault="000E0061" w:rsidP="00AE2E2D">
            <w:pPr>
              <w:spacing w:after="120"/>
            </w:pPr>
          </w:p>
        </w:tc>
        <w:tc>
          <w:tcPr>
            <w:tcW w:w="1701" w:type="dxa"/>
            <w:shd w:val="clear" w:color="auto" w:fill="FFFFFF"/>
          </w:tcPr>
          <w:p w:rsidR="000E0061" w:rsidRPr="00D12C54" w:rsidRDefault="000E0061" w:rsidP="00AE2E2D">
            <w:pPr>
              <w:spacing w:after="120"/>
            </w:pPr>
          </w:p>
        </w:tc>
      </w:tr>
      <w:tr w:rsidR="000E0061" w:rsidRPr="00D12C54" w:rsidTr="00AE2E2D">
        <w:trPr>
          <w:tblHeader/>
        </w:trPr>
        <w:tc>
          <w:tcPr>
            <w:tcW w:w="2376" w:type="dxa"/>
            <w:shd w:val="clear" w:color="auto" w:fill="FFFFFF"/>
          </w:tcPr>
          <w:p w:rsidR="000E0061" w:rsidRPr="00D12C54" w:rsidRDefault="000E0061" w:rsidP="00AE2E2D">
            <w:pPr>
              <w:spacing w:after="120"/>
            </w:pPr>
          </w:p>
        </w:tc>
        <w:tc>
          <w:tcPr>
            <w:tcW w:w="3119" w:type="dxa"/>
            <w:shd w:val="clear" w:color="auto" w:fill="FFFFFF"/>
          </w:tcPr>
          <w:p w:rsidR="000E0061" w:rsidRPr="00D12C54" w:rsidRDefault="000E0061" w:rsidP="00AE2E2D">
            <w:pPr>
              <w:spacing w:after="120"/>
            </w:pPr>
          </w:p>
        </w:tc>
        <w:tc>
          <w:tcPr>
            <w:tcW w:w="2126" w:type="dxa"/>
            <w:shd w:val="clear" w:color="auto" w:fill="FFFFFF"/>
          </w:tcPr>
          <w:p w:rsidR="000E0061" w:rsidRPr="00D12C54" w:rsidRDefault="000E0061" w:rsidP="00AE2E2D">
            <w:pPr>
              <w:spacing w:after="120"/>
            </w:pPr>
          </w:p>
        </w:tc>
        <w:tc>
          <w:tcPr>
            <w:tcW w:w="1701" w:type="dxa"/>
            <w:shd w:val="clear" w:color="auto" w:fill="FFFFFF"/>
          </w:tcPr>
          <w:p w:rsidR="000E0061" w:rsidRPr="00D12C54" w:rsidRDefault="000E0061" w:rsidP="00AE2E2D">
            <w:pPr>
              <w:spacing w:after="120"/>
            </w:pPr>
          </w:p>
        </w:tc>
      </w:tr>
      <w:tr w:rsidR="000E0061" w:rsidRPr="00D12C54" w:rsidTr="00AE2E2D">
        <w:trPr>
          <w:tblHeader/>
        </w:trPr>
        <w:tc>
          <w:tcPr>
            <w:tcW w:w="2376" w:type="dxa"/>
            <w:shd w:val="clear" w:color="auto" w:fill="FFFFFF"/>
          </w:tcPr>
          <w:p w:rsidR="000E0061" w:rsidRPr="00D12C54" w:rsidRDefault="000E0061" w:rsidP="00AE2E2D">
            <w:pPr>
              <w:spacing w:after="120"/>
            </w:pPr>
          </w:p>
        </w:tc>
        <w:tc>
          <w:tcPr>
            <w:tcW w:w="3119" w:type="dxa"/>
            <w:shd w:val="clear" w:color="auto" w:fill="FFFFFF"/>
          </w:tcPr>
          <w:p w:rsidR="000E0061" w:rsidRPr="00D12C54" w:rsidRDefault="000E0061" w:rsidP="00AE2E2D">
            <w:pPr>
              <w:spacing w:after="120"/>
            </w:pPr>
          </w:p>
        </w:tc>
        <w:tc>
          <w:tcPr>
            <w:tcW w:w="2126" w:type="dxa"/>
            <w:shd w:val="clear" w:color="auto" w:fill="FFFFFF"/>
          </w:tcPr>
          <w:p w:rsidR="000E0061" w:rsidRPr="00D12C54" w:rsidRDefault="000E0061" w:rsidP="00AE2E2D">
            <w:pPr>
              <w:spacing w:after="120"/>
            </w:pPr>
          </w:p>
        </w:tc>
        <w:tc>
          <w:tcPr>
            <w:tcW w:w="1701" w:type="dxa"/>
            <w:shd w:val="clear" w:color="auto" w:fill="FFFFFF"/>
          </w:tcPr>
          <w:p w:rsidR="000E0061" w:rsidRPr="00D12C54" w:rsidRDefault="000E0061" w:rsidP="00AE2E2D">
            <w:pPr>
              <w:spacing w:after="120"/>
            </w:pPr>
          </w:p>
        </w:tc>
      </w:tr>
      <w:tr w:rsidR="000E0061" w:rsidRPr="00D12C54" w:rsidTr="00AE2E2D">
        <w:trPr>
          <w:tblHeader/>
        </w:trPr>
        <w:tc>
          <w:tcPr>
            <w:tcW w:w="2376" w:type="dxa"/>
            <w:shd w:val="clear" w:color="auto" w:fill="FFFFFF"/>
          </w:tcPr>
          <w:p w:rsidR="000E0061" w:rsidRPr="00D12C54" w:rsidRDefault="000E0061" w:rsidP="00AE2E2D">
            <w:pPr>
              <w:spacing w:after="120"/>
            </w:pPr>
          </w:p>
        </w:tc>
        <w:tc>
          <w:tcPr>
            <w:tcW w:w="3119" w:type="dxa"/>
            <w:shd w:val="clear" w:color="auto" w:fill="FFFFFF"/>
          </w:tcPr>
          <w:p w:rsidR="000E0061" w:rsidRPr="00D12C54" w:rsidRDefault="000E0061" w:rsidP="00AE2E2D">
            <w:pPr>
              <w:spacing w:after="120"/>
            </w:pPr>
          </w:p>
        </w:tc>
        <w:tc>
          <w:tcPr>
            <w:tcW w:w="2126" w:type="dxa"/>
            <w:shd w:val="clear" w:color="auto" w:fill="FFFFFF"/>
          </w:tcPr>
          <w:p w:rsidR="000E0061" w:rsidRPr="00D12C54" w:rsidRDefault="000E0061" w:rsidP="00AE2E2D">
            <w:pPr>
              <w:spacing w:after="120"/>
            </w:pPr>
          </w:p>
        </w:tc>
        <w:tc>
          <w:tcPr>
            <w:tcW w:w="1701" w:type="dxa"/>
            <w:shd w:val="clear" w:color="auto" w:fill="FFFFFF"/>
          </w:tcPr>
          <w:p w:rsidR="000E0061" w:rsidRPr="00D12C54" w:rsidRDefault="000E0061" w:rsidP="00AE2E2D">
            <w:pPr>
              <w:spacing w:after="120"/>
            </w:pPr>
          </w:p>
        </w:tc>
      </w:tr>
    </w:tbl>
    <w:p w:rsidR="000E0061" w:rsidRDefault="000E0061" w:rsidP="000E0061">
      <w:pPr>
        <w:pStyle w:val="MarginText"/>
        <w:ind w:left="567"/>
        <w:rPr>
          <w:szCs w:val="22"/>
        </w:rPr>
      </w:pPr>
    </w:p>
    <w:p w:rsidR="000E0061" w:rsidRDefault="000E0061" w:rsidP="000E0061">
      <w:pPr>
        <w:pStyle w:val="MarginText"/>
        <w:numPr>
          <w:ilvl w:val="0"/>
          <w:numId w:val="385"/>
        </w:numPr>
        <w:ind w:left="567" w:hanging="425"/>
        <w:rPr>
          <w:bCs/>
        </w:rPr>
      </w:pPr>
      <w:r>
        <w:rPr>
          <w:bCs/>
        </w:rPr>
        <w:t>For each Key Sub-Contractor listed above please provide a comprehensive description of their capability to meet the Services to be provided.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E0061" w:rsidTr="00B370C4">
        <w:tc>
          <w:tcPr>
            <w:tcW w:w="9356" w:type="dxa"/>
          </w:tcPr>
          <w:p w:rsidR="000E0061" w:rsidRPr="00F93323" w:rsidRDefault="000E0061" w:rsidP="00B370C4">
            <w:pPr>
              <w:spacing w:after="120"/>
            </w:pPr>
          </w:p>
        </w:tc>
      </w:tr>
      <w:tr w:rsidR="000E0061" w:rsidTr="00B370C4">
        <w:tc>
          <w:tcPr>
            <w:tcW w:w="9356" w:type="dxa"/>
          </w:tcPr>
          <w:p w:rsidR="000E0061" w:rsidRPr="00F93323" w:rsidRDefault="000E0061" w:rsidP="00B370C4">
            <w:pPr>
              <w:spacing w:after="120"/>
            </w:pPr>
          </w:p>
        </w:tc>
      </w:tr>
      <w:tr w:rsidR="000E0061" w:rsidTr="00B370C4">
        <w:tc>
          <w:tcPr>
            <w:tcW w:w="9356" w:type="dxa"/>
          </w:tcPr>
          <w:p w:rsidR="000E0061" w:rsidRPr="00F93323" w:rsidRDefault="000E0061" w:rsidP="00B370C4">
            <w:pPr>
              <w:spacing w:after="120"/>
            </w:pPr>
          </w:p>
        </w:tc>
      </w:tr>
      <w:tr w:rsidR="000E0061" w:rsidTr="00B370C4">
        <w:tc>
          <w:tcPr>
            <w:tcW w:w="9356" w:type="dxa"/>
          </w:tcPr>
          <w:p w:rsidR="000E0061" w:rsidRPr="00F93323" w:rsidRDefault="000E0061" w:rsidP="00B370C4">
            <w:pPr>
              <w:spacing w:after="120"/>
            </w:pPr>
          </w:p>
        </w:tc>
      </w:tr>
    </w:tbl>
    <w:p w:rsidR="000E0061" w:rsidRPr="00F93323" w:rsidRDefault="000E0061" w:rsidP="000E0061">
      <w:pPr>
        <w:pStyle w:val="MarginText"/>
        <w:ind w:left="567"/>
        <w:rPr>
          <w:bCs/>
        </w:rPr>
      </w:pPr>
    </w:p>
    <w:p w:rsidR="000E0061" w:rsidRDefault="000E0061" w:rsidP="000E0061">
      <w:pPr>
        <w:pStyle w:val="MarginText"/>
        <w:numPr>
          <w:ilvl w:val="0"/>
          <w:numId w:val="385"/>
        </w:numPr>
        <w:ind w:left="567" w:hanging="425"/>
        <w:rPr>
          <w:bCs/>
        </w:rPr>
      </w:pPr>
      <w:r>
        <w:t>Where the proposed Key Sub-C</w:t>
      </w:r>
      <w:r w:rsidRPr="00A02D3F">
        <w:t>ontractor is an Affiliate of the Supplier,</w:t>
      </w:r>
      <w:r>
        <w:t xml:space="preserve"> please provide in the space below or as a separate appendix to this Appointment of Key Sub-Contractor</w:t>
      </w:r>
      <w:r w:rsidRPr="00D03934">
        <w:t xml:space="preserve"> Form </w:t>
      </w:r>
      <w:r w:rsidRPr="00A02D3F">
        <w:t xml:space="preserve">evidence that demonstrates </w:t>
      </w:r>
      <w:r>
        <w:t>that the proposed Key Sub-C</w:t>
      </w:r>
      <w:r w:rsidRPr="00A02D3F">
        <w:t>ontract has been agreed on "arm</w:t>
      </w:r>
      <w:r>
        <w:t>’</w:t>
      </w:r>
      <w:r w:rsidRPr="00A02D3F">
        <w:t>s-length" terms</w:t>
      </w:r>
      <w:r>
        <w:t xml:space="preserve"> </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5"/>
      </w:tblGrid>
      <w:tr w:rsidR="000E0061" w:rsidRPr="00D12C54" w:rsidTr="00AE2E2D">
        <w:trPr>
          <w:tblHeader/>
        </w:trPr>
        <w:tc>
          <w:tcPr>
            <w:tcW w:w="9235" w:type="dxa"/>
            <w:shd w:val="clear" w:color="auto" w:fill="FFFFFF"/>
          </w:tcPr>
          <w:p w:rsidR="000E0061" w:rsidRPr="00D12C54" w:rsidRDefault="000E0061" w:rsidP="00AE2E2D">
            <w:pPr>
              <w:spacing w:after="120"/>
            </w:pPr>
          </w:p>
        </w:tc>
      </w:tr>
      <w:tr w:rsidR="000E0061" w:rsidRPr="00D12C54" w:rsidTr="00AE2E2D">
        <w:trPr>
          <w:tblHeader/>
        </w:trPr>
        <w:tc>
          <w:tcPr>
            <w:tcW w:w="9235" w:type="dxa"/>
            <w:shd w:val="clear" w:color="auto" w:fill="FFFFFF"/>
          </w:tcPr>
          <w:p w:rsidR="000E0061" w:rsidDel="00F93323" w:rsidRDefault="000E0061" w:rsidP="00AE2E2D">
            <w:pPr>
              <w:spacing w:after="120"/>
            </w:pPr>
          </w:p>
        </w:tc>
      </w:tr>
      <w:tr w:rsidR="000E0061" w:rsidRPr="00D12C54" w:rsidTr="00AE2E2D">
        <w:trPr>
          <w:tblHeader/>
        </w:trPr>
        <w:tc>
          <w:tcPr>
            <w:tcW w:w="9235" w:type="dxa"/>
            <w:shd w:val="clear" w:color="auto" w:fill="FFFFFF"/>
          </w:tcPr>
          <w:p w:rsidR="000E0061" w:rsidDel="00F93323" w:rsidRDefault="000E0061" w:rsidP="00AE2E2D">
            <w:pPr>
              <w:spacing w:after="120"/>
            </w:pPr>
          </w:p>
        </w:tc>
      </w:tr>
      <w:tr w:rsidR="000E0061" w:rsidRPr="00D12C54" w:rsidTr="00AE2E2D">
        <w:trPr>
          <w:tblHeader/>
        </w:trPr>
        <w:tc>
          <w:tcPr>
            <w:tcW w:w="9235" w:type="dxa"/>
            <w:shd w:val="clear" w:color="auto" w:fill="FFFFFF"/>
          </w:tcPr>
          <w:p w:rsidR="000E0061" w:rsidDel="00F93323" w:rsidRDefault="000E0061" w:rsidP="00AE2E2D">
            <w:pPr>
              <w:spacing w:after="120"/>
            </w:pPr>
          </w:p>
        </w:tc>
      </w:tr>
    </w:tbl>
    <w:p w:rsidR="000E0061" w:rsidRDefault="000E0061" w:rsidP="000E0061">
      <w:pPr>
        <w:pStyle w:val="MarginText"/>
        <w:ind w:left="0"/>
        <w:rPr>
          <w:bCs/>
        </w:rPr>
      </w:pPr>
    </w:p>
    <w:p w:rsidR="000E0061" w:rsidRDefault="000E0061" w:rsidP="000E0061">
      <w:pPr>
        <w:pStyle w:val="MarginText"/>
        <w:ind w:left="567"/>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E0061" w:rsidRPr="00D03934" w:rsidTr="00AE2E2D">
        <w:tc>
          <w:tcPr>
            <w:tcW w:w="2210" w:type="dxa"/>
            <w:tcBorders>
              <w:bottom w:val="nil"/>
            </w:tcBorders>
          </w:tcPr>
          <w:p w:rsidR="000E0061" w:rsidRPr="00D03934" w:rsidRDefault="000E0061" w:rsidP="00AE2E2D">
            <w:pPr>
              <w:pStyle w:val="TableNormal1"/>
            </w:pPr>
            <w:r w:rsidRPr="00D03934">
              <w:t>Signature</w:t>
            </w:r>
          </w:p>
        </w:tc>
        <w:tc>
          <w:tcPr>
            <w:tcW w:w="5940" w:type="dxa"/>
          </w:tcPr>
          <w:p w:rsidR="000E0061" w:rsidRPr="00D03934" w:rsidRDefault="000E0061" w:rsidP="00AE2E2D">
            <w:pPr>
              <w:pStyle w:val="TSOLScheduleNormalLeft"/>
            </w:pPr>
          </w:p>
        </w:tc>
      </w:tr>
      <w:tr w:rsidR="000E0061" w:rsidRPr="00D03934" w:rsidTr="00AE2E2D">
        <w:tc>
          <w:tcPr>
            <w:tcW w:w="2210" w:type="dxa"/>
            <w:tcBorders>
              <w:top w:val="nil"/>
              <w:bottom w:val="nil"/>
            </w:tcBorders>
          </w:tcPr>
          <w:p w:rsidR="000E0061" w:rsidRPr="00D03934" w:rsidRDefault="000E0061" w:rsidP="00AE2E2D">
            <w:pPr>
              <w:pStyle w:val="TableNormal1"/>
            </w:pPr>
            <w:r w:rsidRPr="00D03934">
              <w:t>Date</w:t>
            </w:r>
          </w:p>
        </w:tc>
        <w:tc>
          <w:tcPr>
            <w:tcW w:w="5940" w:type="dxa"/>
          </w:tcPr>
          <w:p w:rsidR="000E0061" w:rsidRPr="00D03934" w:rsidRDefault="000E0061" w:rsidP="00AE2E2D">
            <w:pPr>
              <w:pStyle w:val="TSOLScheduleNormalLeft"/>
            </w:pPr>
          </w:p>
        </w:tc>
      </w:tr>
      <w:tr w:rsidR="000E0061" w:rsidRPr="00D03934" w:rsidTr="00AE2E2D">
        <w:tc>
          <w:tcPr>
            <w:tcW w:w="2210" w:type="dxa"/>
            <w:tcBorders>
              <w:top w:val="nil"/>
              <w:bottom w:val="nil"/>
            </w:tcBorders>
          </w:tcPr>
          <w:p w:rsidR="000E0061" w:rsidRPr="00D03934" w:rsidRDefault="000E0061" w:rsidP="00AE2E2D">
            <w:pPr>
              <w:pStyle w:val="TableNormal1"/>
            </w:pPr>
            <w:r w:rsidRPr="00D03934">
              <w:t>Name (in Capitals)</w:t>
            </w:r>
          </w:p>
        </w:tc>
        <w:tc>
          <w:tcPr>
            <w:tcW w:w="5940" w:type="dxa"/>
          </w:tcPr>
          <w:p w:rsidR="000E0061" w:rsidRPr="00D03934" w:rsidRDefault="000E0061" w:rsidP="00AE2E2D">
            <w:pPr>
              <w:pStyle w:val="TSOLScheduleNormalLeft"/>
            </w:pPr>
          </w:p>
        </w:tc>
      </w:tr>
      <w:tr w:rsidR="000E0061" w:rsidRPr="00D03934" w:rsidTr="00AE2E2D">
        <w:tc>
          <w:tcPr>
            <w:tcW w:w="2210" w:type="dxa"/>
            <w:tcBorders>
              <w:top w:val="nil"/>
              <w:bottom w:val="nil"/>
            </w:tcBorders>
          </w:tcPr>
          <w:p w:rsidR="000E0061" w:rsidRPr="00D03934" w:rsidRDefault="000E0061" w:rsidP="00AE2E2D">
            <w:pPr>
              <w:pStyle w:val="TableNormal1"/>
            </w:pPr>
            <w:r w:rsidRPr="00D03934">
              <w:t>Address</w:t>
            </w:r>
          </w:p>
        </w:tc>
        <w:tc>
          <w:tcPr>
            <w:tcW w:w="5940" w:type="dxa"/>
          </w:tcPr>
          <w:p w:rsidR="000E0061" w:rsidRPr="00D03934" w:rsidRDefault="000E0061" w:rsidP="00AE2E2D">
            <w:pPr>
              <w:pStyle w:val="TSOLScheduleNormalLeft"/>
            </w:pPr>
          </w:p>
        </w:tc>
      </w:tr>
      <w:tr w:rsidR="000E0061" w:rsidRPr="00D03934" w:rsidTr="00AE2E2D">
        <w:tc>
          <w:tcPr>
            <w:tcW w:w="2210" w:type="dxa"/>
            <w:tcBorders>
              <w:top w:val="nil"/>
              <w:bottom w:val="dotted" w:sz="4" w:space="0" w:color="auto"/>
            </w:tcBorders>
          </w:tcPr>
          <w:p w:rsidR="000E0061" w:rsidRPr="00D03934" w:rsidRDefault="000E0061" w:rsidP="00AE2E2D">
            <w:pPr>
              <w:pStyle w:val="TSOLScheduleNormalLeft"/>
            </w:pPr>
          </w:p>
        </w:tc>
        <w:tc>
          <w:tcPr>
            <w:tcW w:w="5940" w:type="dxa"/>
          </w:tcPr>
          <w:p w:rsidR="000E0061" w:rsidRPr="00D03934" w:rsidRDefault="000E0061" w:rsidP="00AE2E2D">
            <w:pPr>
              <w:pStyle w:val="TSOLScheduleNormalLeft"/>
            </w:pPr>
          </w:p>
        </w:tc>
      </w:tr>
    </w:tbl>
    <w:p w:rsidR="000E0061" w:rsidRPr="00D03934" w:rsidRDefault="000E0061" w:rsidP="000E0061">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E0061" w:rsidRPr="00D03934" w:rsidTr="00AE2E2D">
        <w:tc>
          <w:tcPr>
            <w:tcW w:w="2208" w:type="dxa"/>
            <w:tcBorders>
              <w:bottom w:val="nil"/>
            </w:tcBorders>
          </w:tcPr>
          <w:p w:rsidR="000E0061" w:rsidRPr="00D03934" w:rsidRDefault="000E0061" w:rsidP="00AE2E2D">
            <w:pPr>
              <w:pStyle w:val="TableNormal1"/>
            </w:pPr>
            <w:r w:rsidRPr="00D03934">
              <w:t>Signature</w:t>
            </w:r>
          </w:p>
        </w:tc>
        <w:tc>
          <w:tcPr>
            <w:tcW w:w="5980" w:type="dxa"/>
          </w:tcPr>
          <w:p w:rsidR="000E0061" w:rsidRPr="00D03934" w:rsidRDefault="000E0061" w:rsidP="00AE2E2D">
            <w:pPr>
              <w:pStyle w:val="TSOLScheduleNormalLeft"/>
            </w:pPr>
          </w:p>
        </w:tc>
      </w:tr>
      <w:tr w:rsidR="000E0061" w:rsidRPr="00D03934" w:rsidTr="00AE2E2D">
        <w:tc>
          <w:tcPr>
            <w:tcW w:w="2208" w:type="dxa"/>
            <w:tcBorders>
              <w:top w:val="nil"/>
              <w:bottom w:val="nil"/>
            </w:tcBorders>
          </w:tcPr>
          <w:p w:rsidR="000E0061" w:rsidRPr="00D03934" w:rsidRDefault="000E0061" w:rsidP="00AE2E2D">
            <w:pPr>
              <w:pStyle w:val="TableNormal1"/>
            </w:pPr>
            <w:r w:rsidRPr="00D03934">
              <w:t>Date</w:t>
            </w:r>
          </w:p>
        </w:tc>
        <w:tc>
          <w:tcPr>
            <w:tcW w:w="5980" w:type="dxa"/>
          </w:tcPr>
          <w:p w:rsidR="000E0061" w:rsidRPr="00D03934" w:rsidRDefault="000E0061" w:rsidP="00AE2E2D">
            <w:pPr>
              <w:pStyle w:val="TSOLScheduleNormalLeft"/>
            </w:pPr>
          </w:p>
        </w:tc>
      </w:tr>
      <w:tr w:rsidR="000E0061" w:rsidRPr="00D03934" w:rsidTr="00AE2E2D">
        <w:tc>
          <w:tcPr>
            <w:tcW w:w="2208" w:type="dxa"/>
            <w:tcBorders>
              <w:top w:val="nil"/>
              <w:bottom w:val="nil"/>
            </w:tcBorders>
          </w:tcPr>
          <w:p w:rsidR="000E0061" w:rsidRPr="00D03934" w:rsidRDefault="000E0061" w:rsidP="00AE2E2D">
            <w:pPr>
              <w:pStyle w:val="TableNormal1"/>
            </w:pPr>
            <w:r w:rsidRPr="00D03934">
              <w:t>Name (in Capitals)</w:t>
            </w:r>
          </w:p>
        </w:tc>
        <w:tc>
          <w:tcPr>
            <w:tcW w:w="5980" w:type="dxa"/>
          </w:tcPr>
          <w:p w:rsidR="000E0061" w:rsidRPr="00D03934" w:rsidRDefault="000E0061" w:rsidP="00AE2E2D">
            <w:pPr>
              <w:pStyle w:val="TSOLScheduleNormalLeft"/>
            </w:pPr>
          </w:p>
        </w:tc>
      </w:tr>
      <w:tr w:rsidR="000E0061" w:rsidRPr="00D03934" w:rsidTr="00AE2E2D">
        <w:tc>
          <w:tcPr>
            <w:tcW w:w="2208" w:type="dxa"/>
            <w:tcBorders>
              <w:top w:val="nil"/>
              <w:bottom w:val="nil"/>
            </w:tcBorders>
          </w:tcPr>
          <w:p w:rsidR="000E0061" w:rsidRPr="00D03934" w:rsidRDefault="000E0061" w:rsidP="00AE2E2D">
            <w:pPr>
              <w:pStyle w:val="TableNormal1"/>
            </w:pPr>
            <w:r w:rsidRPr="00D03934">
              <w:t>Address</w:t>
            </w:r>
          </w:p>
        </w:tc>
        <w:tc>
          <w:tcPr>
            <w:tcW w:w="5980" w:type="dxa"/>
          </w:tcPr>
          <w:p w:rsidR="000E0061" w:rsidRPr="00D03934" w:rsidRDefault="000E0061" w:rsidP="00AE2E2D">
            <w:pPr>
              <w:pStyle w:val="TSOLScheduleNormalLeft"/>
            </w:pPr>
          </w:p>
        </w:tc>
      </w:tr>
      <w:tr w:rsidR="000E0061" w:rsidRPr="00D03934" w:rsidTr="00AE2E2D">
        <w:tc>
          <w:tcPr>
            <w:tcW w:w="2208" w:type="dxa"/>
            <w:tcBorders>
              <w:top w:val="nil"/>
              <w:bottom w:val="dotted" w:sz="4" w:space="0" w:color="auto"/>
            </w:tcBorders>
          </w:tcPr>
          <w:p w:rsidR="000E0061" w:rsidRPr="00D03934" w:rsidRDefault="000E0061" w:rsidP="00AE2E2D">
            <w:pPr>
              <w:pStyle w:val="TSOLScheduleNormalLeft"/>
            </w:pPr>
          </w:p>
        </w:tc>
        <w:tc>
          <w:tcPr>
            <w:tcW w:w="5980" w:type="dxa"/>
          </w:tcPr>
          <w:p w:rsidR="000E0061" w:rsidRPr="00D03934" w:rsidRDefault="000E0061" w:rsidP="00AE2E2D">
            <w:pPr>
              <w:pStyle w:val="TSOLScheduleNormalLeft"/>
            </w:pPr>
          </w:p>
        </w:tc>
      </w:tr>
    </w:tbl>
    <w:p w:rsidR="00891B59" w:rsidRPr="00903609" w:rsidRDefault="000B1994" w:rsidP="00903609">
      <w:pPr>
        <w:pStyle w:val="GPSSchTitleandNumber"/>
      </w:pPr>
      <w:r>
        <w:rPr>
          <w:rFonts w:ascii="Trebuchet MS" w:hAnsi="Trebuchet MS"/>
        </w:rPr>
        <w:br w:type="page"/>
      </w:r>
      <w:bookmarkStart w:id="858" w:name="_Toc365027626"/>
      <w:bookmarkStart w:id="859" w:name="_Toc366085192"/>
      <w:bookmarkStart w:id="860" w:name="_Toc391545396"/>
      <w:bookmarkStart w:id="861" w:name="_Toc365027620"/>
      <w:r w:rsidRPr="00903609">
        <w:lastRenderedPageBreak/>
        <w:t>FRAMEWORK SCHEDULE 8: FRAMEWORK MANAGEMENT</w:t>
      </w:r>
      <w:bookmarkEnd w:id="858"/>
      <w:bookmarkEnd w:id="859"/>
      <w:bookmarkEnd w:id="860"/>
    </w:p>
    <w:p w:rsidR="00F20C99" w:rsidRDefault="000B1994" w:rsidP="002E61F2">
      <w:pPr>
        <w:pStyle w:val="GPSL1SCHEDULEHeading"/>
      </w:pPr>
      <w:r w:rsidRPr="006875AD">
        <w:t>INTRODUCTION</w:t>
      </w:r>
    </w:p>
    <w:p w:rsidR="00F20C99" w:rsidRDefault="000B1994" w:rsidP="002E61F2">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F20C99">
        <w:tc>
          <w:tcPr>
            <w:tcW w:w="2410" w:type="dxa"/>
            <w:shd w:val="clear" w:color="auto" w:fill="auto"/>
          </w:tcPr>
          <w:p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F71B15">
              <w:fldChar w:fldCharType="begin"/>
            </w:r>
            <w:r w:rsidR="00751E2A">
              <w:instrText xml:space="preserve"> REF _Ref365981152 \r \h </w:instrText>
            </w:r>
            <w:r w:rsidR="00F71B15">
              <w:fldChar w:fldCharType="separate"/>
            </w:r>
            <w:r w:rsidR="00B3040B">
              <w:t>2.1.1</w:t>
            </w:r>
            <w:r w:rsidR="00F71B15">
              <w:fldChar w:fldCharType="end"/>
            </w:r>
            <w:r w:rsidRPr="006303DF">
              <w:t xml:space="preserve"> of this Framework Schedule</w:t>
            </w:r>
            <w:r w:rsidR="00751E2A">
              <w:t xml:space="preserve"> 8</w:t>
            </w:r>
          </w:p>
        </w:tc>
      </w:tr>
      <w:tr w:rsidR="00FC2CB8" w:rsidRPr="006875AD" w:rsidTr="00F20C99">
        <w:tc>
          <w:tcPr>
            <w:tcW w:w="2410" w:type="dxa"/>
            <w:shd w:val="clear" w:color="auto" w:fill="auto"/>
          </w:tcPr>
          <w:p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F71B15">
              <w:fldChar w:fldCharType="begin"/>
            </w:r>
            <w:r w:rsidR="00751E2A">
              <w:instrText xml:space="preserve"> REF _Ref365981180 \r \h </w:instrText>
            </w:r>
            <w:r w:rsidR="00F71B15">
              <w:fldChar w:fldCharType="separate"/>
            </w:r>
            <w:r w:rsidR="00B3040B">
              <w:t>2.2.1</w:t>
            </w:r>
            <w:r w:rsidR="00F71B15">
              <w:fldChar w:fldCharType="end"/>
            </w:r>
            <w:r w:rsidRPr="006303DF">
              <w:t>. of this Framework Schedule</w:t>
            </w:r>
            <w:r w:rsidR="00C5564B">
              <w:t xml:space="preserve"> 8</w:t>
            </w:r>
          </w:p>
        </w:tc>
      </w:tr>
    </w:tbl>
    <w:p w:rsidR="00F20C99" w:rsidRDefault="000B1994" w:rsidP="002E61F2">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2E61F2">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rsidR="00F20C99" w:rsidRDefault="000B1994" w:rsidP="002E61F2">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2E61F2">
      <w:pPr>
        <w:pStyle w:val="GPSL1SCHEDULEHeading"/>
      </w:pPr>
      <w:r w:rsidRPr="006875AD">
        <w:t>FRAMEWORK MANAGEMENT</w:t>
      </w:r>
    </w:p>
    <w:p w:rsidR="00F20C99" w:rsidRDefault="000B1994" w:rsidP="002E61F2">
      <w:pPr>
        <w:pStyle w:val="GPSL2NumberedBoldHeading"/>
      </w:pPr>
      <w:r w:rsidRPr="006875AD">
        <w:t>Framework Management Structure:</w:t>
      </w:r>
    </w:p>
    <w:p w:rsidR="00F20C99" w:rsidRDefault="000B1994" w:rsidP="002E61F2">
      <w:pPr>
        <w:pStyle w:val="GPSL3numberedclause"/>
      </w:pPr>
      <w:bookmarkStart w:id="862"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Services required within this Framework Agreement, as well as a suitably qualified deputy to act in their absence.</w:t>
      </w:r>
      <w:bookmarkEnd w:id="862"/>
      <w:r w:rsidRPr="006875AD">
        <w:t xml:space="preserve"> </w:t>
      </w:r>
    </w:p>
    <w:p w:rsidR="00F20C99" w:rsidRDefault="000B1994" w:rsidP="002E61F2">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(Services and Key Performance Indicators). </w:t>
      </w:r>
    </w:p>
    <w:p w:rsidR="00F20C99" w:rsidRDefault="000B1994" w:rsidP="002E61F2">
      <w:pPr>
        <w:pStyle w:val="GPSL3numberedclause"/>
      </w:pPr>
      <w:r w:rsidRPr="006875AD">
        <w:t>A full governance structure for the Framework will be agreed between the Parties during the Framework Agreement implementation stage.</w:t>
      </w:r>
    </w:p>
    <w:p w:rsidR="00F20C99" w:rsidRDefault="000B1994" w:rsidP="002E61F2">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rsidR="00F20C99" w:rsidRDefault="000B1994" w:rsidP="002E61F2">
      <w:pPr>
        <w:pStyle w:val="GPSL3numberedclause"/>
      </w:pPr>
      <w:r>
        <w:t>The Supplier Action</w:t>
      </w:r>
      <w:r w:rsidRPr="00D21917">
        <w:t xml:space="preserve"> Plan shall be maintained and updated on an </w:t>
      </w:r>
      <w:proofErr w:type="spellStart"/>
      <w:r w:rsidRPr="00D21917">
        <w:t>ong</w:t>
      </w:r>
      <w:r>
        <w:t>oing</w:t>
      </w:r>
      <w:proofErr w:type="spellEnd"/>
      <w:r>
        <w:t xml:space="preserve">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w:t>
      </w:r>
      <w:r>
        <w:lastRenderedPageBreak/>
        <w:t>effect within two weeks from receipt by the Supplier of the Authority’s notification.</w:t>
      </w:r>
    </w:p>
    <w:p w:rsidR="00F20C99" w:rsidRDefault="000B1994" w:rsidP="002E61F2">
      <w:pPr>
        <w:pStyle w:val="GPSL2NumberedBoldHeading"/>
      </w:pPr>
      <w:bookmarkStart w:id="863" w:name="_Ref365982216"/>
      <w:r>
        <w:t>Supplier</w:t>
      </w:r>
      <w:r w:rsidRPr="006875AD">
        <w:t xml:space="preserve"> Review Meetings</w:t>
      </w:r>
      <w:bookmarkEnd w:id="863"/>
    </w:p>
    <w:p w:rsidR="00F20C99" w:rsidRDefault="000B1994" w:rsidP="002E61F2">
      <w:pPr>
        <w:pStyle w:val="GPSL3numberedclause"/>
      </w:pPr>
      <w:bookmarkStart w:id="864"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864"/>
      <w:r w:rsidRPr="006875AD">
        <w:t xml:space="preserve"> </w:t>
      </w:r>
    </w:p>
    <w:p w:rsidR="00F20C99" w:rsidRDefault="000B1994" w:rsidP="002E61F2">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F20C99" w:rsidRDefault="000B1994" w:rsidP="002E61F2">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rsidR="00F20C99" w:rsidRDefault="000B1994" w:rsidP="002E61F2">
      <w:pPr>
        <w:pStyle w:val="GPSL3numberedclause"/>
      </w:pPr>
      <w:r>
        <w:t>The Supplier Review Meetings shall be attended, as a minimum, by the Authority Representative(s) and the Supplier Framework Manager.</w:t>
      </w:r>
    </w:p>
    <w:p w:rsidR="00F20C99" w:rsidRDefault="000B1994" w:rsidP="002E61F2">
      <w:pPr>
        <w:pStyle w:val="GPSL1SCHEDULEHeading"/>
      </w:pPr>
      <w:r w:rsidRPr="006875AD">
        <w:t>KEY PERFORMANCE INDICATORS</w:t>
      </w:r>
    </w:p>
    <w:p w:rsidR="00F20C99" w:rsidRDefault="000B1994" w:rsidP="002E61F2">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(Services and Key Performance Indicators).</w:t>
      </w:r>
    </w:p>
    <w:p w:rsidR="00F20C99" w:rsidRDefault="000B1994" w:rsidP="002E61F2">
      <w:pPr>
        <w:pStyle w:val="GPSL2Numbered"/>
      </w:pPr>
      <w:r w:rsidRPr="006875AD">
        <w:t>The Supplier shall establish processes to monitor its performance against the agreed KPIs. The Supplier shall at all times ensure compliance with the standards set by the KPIs.</w:t>
      </w:r>
    </w:p>
    <w:p w:rsidR="00F20C99" w:rsidRDefault="000B1994" w:rsidP="002E61F2">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rsidR="00F20C99" w:rsidRDefault="000B1994" w:rsidP="002E61F2">
      <w:pPr>
        <w:pStyle w:val="GPSL2Numbered"/>
      </w:pPr>
      <w:r w:rsidRPr="006875AD">
        <w:t xml:space="preserve">The Supplier’s achievement of KPIs shall be reviewed during </w:t>
      </w:r>
      <w:r>
        <w:t>the Supplier</w:t>
      </w:r>
      <w:r w:rsidRPr="006875AD">
        <w:t xml:space="preserve"> Review Meetings, in accordance with paragraph </w:t>
      </w:r>
      <w:r w:rsidR="00F71B15">
        <w:fldChar w:fldCharType="begin"/>
      </w:r>
      <w:r w:rsidR="00C5564B">
        <w:instrText xml:space="preserve"> REF _Ref365982216 \r \h </w:instrText>
      </w:r>
      <w:r w:rsidR="00F71B15">
        <w:fldChar w:fldCharType="separate"/>
      </w:r>
      <w:r w:rsidR="00B3040B">
        <w:t>2.2</w:t>
      </w:r>
      <w:r w:rsidR="00F71B15">
        <w:fldChar w:fldCharType="end"/>
      </w:r>
      <w:r w:rsidRPr="006875AD">
        <w:t xml:space="preserve"> above, and the review and </w:t>
      </w:r>
      <w:proofErr w:type="spellStart"/>
      <w:r w:rsidRPr="006875AD">
        <w:t>ongoing</w:t>
      </w:r>
      <w:proofErr w:type="spellEnd"/>
      <w:r w:rsidRPr="006875AD">
        <w:t xml:space="preserve"> monitoring of KPIs will form a key part of the framework management process as outlined in this Framework Schedule </w:t>
      </w:r>
      <w:r w:rsidR="00C5564B">
        <w:t>8</w:t>
      </w:r>
      <w:r w:rsidRPr="006875AD">
        <w:t xml:space="preserve">. </w:t>
      </w:r>
    </w:p>
    <w:p w:rsidR="00F20C99" w:rsidRDefault="000B1994" w:rsidP="002E61F2">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rsidR="00F20C99" w:rsidRDefault="000B1994" w:rsidP="002E61F2">
      <w:pPr>
        <w:pStyle w:val="GPSL2Numbered"/>
        <w:rPr>
          <w:bCs/>
          <w:iCs/>
        </w:rPr>
      </w:pPr>
      <w:r w:rsidRPr="009575CE">
        <w:t>The Authority reserves the right to use and pub</w:t>
      </w:r>
      <w:r>
        <w:t>lish the performance of the Supplier against the KPIs without restriction.</w:t>
      </w:r>
    </w:p>
    <w:p w:rsidR="00F20C99" w:rsidRDefault="000B1994" w:rsidP="002E61F2">
      <w:pPr>
        <w:pStyle w:val="GPSL1SCHEDULEHeading"/>
        <w:rPr>
          <w:color w:val="000000"/>
        </w:rPr>
      </w:pPr>
      <w:r w:rsidRPr="006875AD">
        <w:t>EFFICIENCY TRACKING PERFORMANCE MEASURES</w:t>
      </w:r>
    </w:p>
    <w:p w:rsidR="00F20C99" w:rsidRDefault="000B1994" w:rsidP="002E61F2">
      <w:pPr>
        <w:pStyle w:val="GPSL2Numbered"/>
      </w:pPr>
      <w:bookmarkStart w:id="865"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865"/>
      <w:r w:rsidRPr="006875AD">
        <w:t xml:space="preserve"> </w:t>
      </w:r>
    </w:p>
    <w:p w:rsidR="00F20C99" w:rsidRDefault="000B1994" w:rsidP="002E61F2">
      <w:pPr>
        <w:pStyle w:val="GPSL3numberedclause"/>
      </w:pPr>
      <w:r w:rsidRPr="006875AD">
        <w:t xml:space="preserve">tracking reductions in product volumes and product costs, in order to demonstrate that Contracting Bodies are consuming less and buying more smartly; </w:t>
      </w:r>
    </w:p>
    <w:p w:rsidR="00F20C99" w:rsidRDefault="000B1994" w:rsidP="002E61F2">
      <w:pPr>
        <w:pStyle w:val="GPSL3numberedclause"/>
      </w:pPr>
      <w:r w:rsidRPr="006875AD">
        <w:lastRenderedPageBreak/>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Default="000B1994" w:rsidP="002E61F2">
      <w:pPr>
        <w:pStyle w:val="GPSL2Numbered"/>
      </w:pPr>
      <w:r w:rsidRPr="006875AD">
        <w:t>Th</w:t>
      </w:r>
      <w:r w:rsidR="00BD2D84">
        <w:t>e</w:t>
      </w:r>
      <w:r w:rsidRPr="006875AD">
        <w:t xml:space="preserve"> list</w:t>
      </w:r>
      <w:r w:rsidR="00BD2D84">
        <w:t xml:space="preserve"> in paragraph </w:t>
      </w:r>
      <w:r w:rsidR="00F71B15">
        <w:fldChar w:fldCharType="begin"/>
      </w:r>
      <w:r w:rsidR="00BD2D84">
        <w:instrText xml:space="preserve"> REF _Ref366072792 \r \h </w:instrText>
      </w:r>
      <w:r w:rsidR="00F71B15">
        <w:fldChar w:fldCharType="separate"/>
      </w:r>
      <w:r w:rsidR="00B3040B">
        <w:t>4.1</w:t>
      </w:r>
      <w:r w:rsidR="00F71B15">
        <w:fldChar w:fldCharType="end"/>
      </w:r>
      <w:r w:rsidRPr="006875AD">
        <w:t xml:space="preserve"> is not exhaustive and may be developed during the Framework </w:t>
      </w:r>
      <w:r w:rsidR="00F7417A">
        <w:t>Period</w:t>
      </w:r>
      <w:r w:rsidRPr="006875AD">
        <w:t xml:space="preserve">. </w:t>
      </w:r>
    </w:p>
    <w:p w:rsidR="00F20C99" w:rsidRDefault="000B1994" w:rsidP="002E61F2">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(Services and Key Performance Indicators).</w:t>
      </w:r>
    </w:p>
    <w:p w:rsidR="00F20C99" w:rsidRDefault="000B1994" w:rsidP="002E61F2">
      <w:pPr>
        <w:pStyle w:val="GPSL2Numbered"/>
        <w:rPr>
          <w:bCs/>
          <w:iCs/>
        </w:rPr>
      </w:pPr>
      <w:r w:rsidRPr="006875AD">
        <w:t xml:space="preserve">The </w:t>
      </w:r>
      <w:proofErr w:type="spellStart"/>
      <w:r w:rsidRPr="006875AD">
        <w:t>ongoing</w:t>
      </w:r>
      <w:proofErr w:type="spellEnd"/>
      <w:r w:rsidRPr="006875AD">
        <w:t xml:space="preserve"> progress and development of the efficiency tracking performance measures shall be reported through framework management activities as outlined in this Framework Schedule </w:t>
      </w:r>
      <w:r w:rsidR="00C5564B">
        <w:t>8</w:t>
      </w:r>
      <w:r w:rsidRPr="006875AD">
        <w:t>.</w:t>
      </w:r>
    </w:p>
    <w:p w:rsidR="00F20C99" w:rsidRDefault="000B1994" w:rsidP="002E61F2">
      <w:pPr>
        <w:pStyle w:val="GPSL1SCHEDULEHeading"/>
      </w:pPr>
      <w:r w:rsidRPr="006875AD">
        <w:t>ESCALATION PROCEDURE</w:t>
      </w:r>
    </w:p>
    <w:p w:rsidR="00F20C99" w:rsidRDefault="000B1994" w:rsidP="002E61F2">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Default="000B1994" w:rsidP="002E61F2">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F71B15">
        <w:fldChar w:fldCharType="begin"/>
      </w:r>
      <w:r>
        <w:instrText xml:space="preserve"> REF _Ref335384030 \r \h </w:instrText>
      </w:r>
      <w:r w:rsidR="00F71B15">
        <w:fldChar w:fldCharType="separate"/>
      </w:r>
      <w:r w:rsidR="00B3040B">
        <w:t>45</w:t>
      </w:r>
      <w:r w:rsidR="00F71B15">
        <w:fldChar w:fldCharType="end"/>
      </w:r>
      <w:r w:rsidRPr="006875AD">
        <w:rPr>
          <w:color w:val="FF0000"/>
        </w:rPr>
        <w:t xml:space="preserve"> </w:t>
      </w:r>
      <w:r w:rsidRPr="006875AD">
        <w:t>(Dispute Resolution).</w:t>
      </w:r>
    </w:p>
    <w:p w:rsidR="00F20C99" w:rsidRDefault="00F71B15">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866" w:author="potterj" w:date="2014-08-28T12:26:00Z" w:original="0."/>
        </w:fldChar>
      </w:r>
    </w:p>
    <w:p w:rsidR="00F20C99" w:rsidRDefault="000B1994" w:rsidP="007E2634">
      <w:pPr>
        <w:pStyle w:val="GPSSchTitleandNumber"/>
      </w:pPr>
      <w:r>
        <w:rPr>
          <w:sz w:val="16"/>
        </w:rPr>
        <w:br w:type="page"/>
      </w:r>
      <w:bookmarkStart w:id="867" w:name="_Toc366085193"/>
      <w:bookmarkStart w:id="868" w:name="_Toc379488099"/>
      <w:bookmarkStart w:id="869" w:name="_Toc380052201"/>
      <w:bookmarkStart w:id="870" w:name="_Toc380052712"/>
      <w:bookmarkStart w:id="871" w:name="_Toc391545397"/>
      <w:r w:rsidRPr="006875AD">
        <w:lastRenderedPageBreak/>
        <w:t xml:space="preserve">FRAMEWORK SCHEDULE </w:t>
      </w:r>
      <w:r w:rsidR="00A31A70">
        <w:t>9</w:t>
      </w:r>
      <w:r w:rsidRPr="006875AD">
        <w:t>: MANAGEMENT INFORMATION</w:t>
      </w:r>
      <w:bookmarkEnd w:id="861"/>
      <w:bookmarkEnd w:id="867"/>
      <w:bookmarkEnd w:id="868"/>
      <w:bookmarkEnd w:id="869"/>
      <w:bookmarkEnd w:id="870"/>
      <w:bookmarkEnd w:id="871"/>
      <w:r w:rsidRPr="006875AD">
        <w:t xml:space="preserve"> </w:t>
      </w:r>
    </w:p>
    <w:p w:rsidR="00F20C99" w:rsidRDefault="000B1994" w:rsidP="002E61F2">
      <w:pPr>
        <w:pStyle w:val="GPSL1SCHEDULEHeading"/>
      </w:pPr>
      <w:r w:rsidRPr="006875AD">
        <w:t>GENERAL REQUIREMENTS</w:t>
      </w:r>
    </w:p>
    <w:p w:rsidR="00F20C99" w:rsidRDefault="000B1994" w:rsidP="002E61F2">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rsidR="00F20C99" w:rsidRDefault="000B1994" w:rsidP="002E61F2">
      <w:pPr>
        <w:pStyle w:val="GPSL2Numbered"/>
      </w:pPr>
      <w:r w:rsidRPr="006875AD">
        <w:t>The Supplier shall also supply such Management Information as may be required by a Contracting Body in accordance with the terms of a Call</w:t>
      </w:r>
      <w:r>
        <w:t xml:space="preserve"> </w:t>
      </w:r>
      <w:r w:rsidRPr="006875AD">
        <w:t>Off Agreement.</w:t>
      </w:r>
    </w:p>
    <w:p w:rsidR="00F20C99" w:rsidRDefault="000B1994" w:rsidP="002E61F2">
      <w:pPr>
        <w:pStyle w:val="GPSL1SCHEDULEHeading"/>
      </w:pPr>
      <w:r w:rsidRPr="006875AD">
        <w:t>MANAGEMENT INFORMATION AND FORMAT</w:t>
      </w:r>
    </w:p>
    <w:p w:rsidR="00F20C99" w:rsidRDefault="000B1994" w:rsidP="002E61F2">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rsidR="00F20C99" w:rsidRDefault="000B1994" w:rsidP="002E61F2">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Default="000B1994" w:rsidP="002E61F2">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rsidR="00F20C99" w:rsidRDefault="000B1994" w:rsidP="002E61F2">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Default="000B1994" w:rsidP="002E61F2">
      <w:pPr>
        <w:pStyle w:val="GPSL2Numbered"/>
      </w:pPr>
      <w:r w:rsidRPr="006875AD">
        <w:t>The Supplier may not make any amendment to the current MI Reporting Template without the prior Approval of the Authority.</w:t>
      </w:r>
    </w:p>
    <w:p w:rsidR="00F20C99" w:rsidRDefault="000B1994" w:rsidP="002E61F2">
      <w:pPr>
        <w:pStyle w:val="GPSL2Numbered"/>
      </w:pPr>
      <w:r w:rsidRPr="006875AD">
        <w:t>The Authority shall have the right from time to time (on reasonable written notice) to amend the nature of the Management Information which the Supplier is required to supply to the Authority.</w:t>
      </w:r>
    </w:p>
    <w:p w:rsidR="00F20C99" w:rsidRDefault="000B1994" w:rsidP="002E61F2">
      <w:pPr>
        <w:pStyle w:val="GPSL1SCHEDULEHeading"/>
      </w:pPr>
      <w:r w:rsidRPr="006875AD">
        <w:t>FREQUENCY AND COVERAGE</w:t>
      </w:r>
    </w:p>
    <w:p w:rsidR="00F20C99" w:rsidRDefault="000B1994" w:rsidP="002E61F2">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rsidR="00F20C99" w:rsidRDefault="000B1994" w:rsidP="002E61F2">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Default="000B1994" w:rsidP="002E61F2">
      <w:pPr>
        <w:pStyle w:val="GPSL2Numbered"/>
      </w:pPr>
      <w:r w:rsidRPr="006875AD">
        <w:lastRenderedPageBreak/>
        <w:t>The Supplier must return the MI Report for each Month even where there are no transactions to report in the relevant Month (a "</w:t>
      </w:r>
      <w:r w:rsidRPr="006875AD">
        <w:rPr>
          <w:b/>
        </w:rPr>
        <w:t>Nil Return</w:t>
      </w:r>
      <w:r w:rsidR="00C34A36">
        <w:t>").</w:t>
      </w:r>
    </w:p>
    <w:p w:rsidR="00F20C99" w:rsidRDefault="000B1994" w:rsidP="002E61F2">
      <w:pPr>
        <w:pStyle w:val="GPSL2Numbered"/>
      </w:pPr>
      <w:r w:rsidRPr="006875AD">
        <w:t>The Supplier must inform the Authority of any errors or corrections to the Management Information:</w:t>
      </w:r>
    </w:p>
    <w:p w:rsidR="00F20C99" w:rsidRDefault="000B1994" w:rsidP="002E61F2">
      <w:pPr>
        <w:pStyle w:val="GPSL3numberedclause"/>
      </w:pPr>
      <w:r w:rsidRPr="006875AD">
        <w:t xml:space="preserve">in the next MI Report due immediately following discovery of the error by the Supplier; or </w:t>
      </w:r>
    </w:p>
    <w:p w:rsidR="00F20C99" w:rsidRDefault="000B1994" w:rsidP="002E61F2">
      <w:pPr>
        <w:pStyle w:val="GPSL3numberedclause"/>
      </w:pPr>
      <w:r w:rsidRPr="006875AD">
        <w:t>as a result of the Authority querying any data contained in an MI Report.</w:t>
      </w:r>
    </w:p>
    <w:p w:rsidR="00F20C99" w:rsidRDefault="000B1994" w:rsidP="002E61F2">
      <w:pPr>
        <w:pStyle w:val="GPSL1SCHEDULEHeading"/>
      </w:pPr>
      <w:r w:rsidRPr="006875AD">
        <w:t>SUBMISSION OF THE MONTHLY MI REPORT</w:t>
      </w:r>
    </w:p>
    <w:p w:rsidR="00F20C99" w:rsidRDefault="000B1994" w:rsidP="002E61F2">
      <w:pPr>
        <w:pStyle w:val="GPSL2Numbered"/>
      </w:pPr>
      <w:bookmarkStart w:id="87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872"/>
    </w:p>
    <w:p w:rsidR="00F20C99" w:rsidRDefault="000B1994" w:rsidP="002E61F2">
      <w:pPr>
        <w:pStyle w:val="GPSL2Numbered"/>
      </w:pPr>
      <w:r w:rsidRPr="006875AD">
        <w:t xml:space="preserve">The Authority reserves the right (acting reasonably) to specify that the MI Report be submitted by the Supplier using an alternative communication to that specified in paragraph </w:t>
      </w:r>
      <w:r w:rsidR="00F71B15">
        <w:fldChar w:fldCharType="begin"/>
      </w:r>
      <w:r w:rsidR="00213F6B">
        <w:instrText xml:space="preserve"> REF _Ref365983722 \r \h </w:instrText>
      </w:r>
      <w:r w:rsidR="00F71B15">
        <w:fldChar w:fldCharType="separate"/>
      </w:r>
      <w:r w:rsidR="00B3040B">
        <w:t>4.1</w:t>
      </w:r>
      <w:r w:rsidR="00F71B15">
        <w:fldChar w:fldCharType="end"/>
      </w:r>
      <w:r w:rsidRPr="006875AD">
        <w:t xml:space="preserve"> above such as email.  The Supplier agrees to comply with any such instructions provided they do not materially increase the burden on the Supplier.</w:t>
      </w:r>
    </w:p>
    <w:p w:rsidR="00F20C99" w:rsidRDefault="000B1994" w:rsidP="002E61F2">
      <w:pPr>
        <w:pStyle w:val="GPSL1SCHEDULEHeading"/>
      </w:pPr>
      <w:r w:rsidRPr="006875AD">
        <w:t>DEFECTIVE MANAGEMENT INFORMATION</w:t>
      </w:r>
    </w:p>
    <w:p w:rsidR="00F20C99" w:rsidRDefault="000B1994" w:rsidP="002E61F2">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20C99" w:rsidRDefault="000B1994" w:rsidP="002E61F2">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F20C99" w:rsidRDefault="000B1994" w:rsidP="002E61F2">
      <w:pPr>
        <w:pStyle w:val="GPSL2non-numberboldheading"/>
      </w:pPr>
      <w:r w:rsidRPr="00F46867">
        <w:t>Meetings</w:t>
      </w:r>
    </w:p>
    <w:p w:rsidR="00F20C99" w:rsidRDefault="000B1994" w:rsidP="002E61F2">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F20C99" w:rsidRDefault="000B1994" w:rsidP="002E61F2">
      <w:pPr>
        <w:pStyle w:val="GPSL2non-numberboldheading"/>
      </w:pPr>
      <w:r w:rsidRPr="006875AD">
        <w:t xml:space="preserve">Admin Fees </w:t>
      </w:r>
    </w:p>
    <w:p w:rsidR="00F20C99" w:rsidRDefault="000B1994" w:rsidP="002E61F2">
      <w:pPr>
        <w:pStyle w:val="GPSL2Numbered"/>
      </w:pPr>
      <w:bookmarkStart w:id="87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F71B15">
        <w:fldChar w:fldCharType="begin"/>
      </w:r>
      <w:r w:rsidR="00213F6B">
        <w:instrText xml:space="preserve"> REF _Ref365984059 \r \h </w:instrText>
      </w:r>
      <w:r w:rsidR="00F71B15">
        <w:fldChar w:fldCharType="separate"/>
      </w:r>
      <w:r w:rsidR="00B3040B">
        <w:t>5.5</w:t>
      </w:r>
      <w:r w:rsidR="00F71B15">
        <w:fldChar w:fldCharType="end"/>
      </w:r>
      <w:r w:rsidRPr="006875AD">
        <w:t>) in respect of any MI Failures as they arise in subsequent Months.</w:t>
      </w:r>
      <w:bookmarkEnd w:id="873"/>
    </w:p>
    <w:p w:rsidR="00F20C99" w:rsidRDefault="000B1994" w:rsidP="002E61F2">
      <w:pPr>
        <w:pStyle w:val="GPSL2Numbered"/>
      </w:pPr>
      <w:bookmarkStart w:id="874" w:name="_Ref365984059"/>
      <w:r w:rsidRPr="006875AD">
        <w:t xml:space="preserve">If, following activation of the Authority's right to charge Admin Fee(s) in respect of MI Failures pursuant to paragraph </w:t>
      </w:r>
      <w:r w:rsidR="00F71B15">
        <w:fldChar w:fldCharType="begin"/>
      </w:r>
      <w:r w:rsidR="00213F6B">
        <w:instrText xml:space="preserve"> REF _Ref365984073 \r \h </w:instrText>
      </w:r>
      <w:r w:rsidR="00F71B15">
        <w:fldChar w:fldCharType="separate"/>
      </w:r>
      <w:r w:rsidR="00B3040B">
        <w:t>5.4</w:t>
      </w:r>
      <w:r w:rsidR="00F71B15">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F71B15">
        <w:fldChar w:fldCharType="begin"/>
      </w:r>
      <w:r w:rsidR="00213F6B">
        <w:instrText xml:space="preserve"> REF _Ref365984073 \r \h </w:instrText>
      </w:r>
      <w:r w:rsidR="00F71B15">
        <w:fldChar w:fldCharType="separate"/>
      </w:r>
      <w:r w:rsidR="00B3040B">
        <w:t>5.4</w:t>
      </w:r>
      <w:r w:rsidR="00F71B15">
        <w:fldChar w:fldCharType="end"/>
      </w:r>
      <w:r w:rsidRPr="006875AD">
        <w:t xml:space="preserve"> are met.</w:t>
      </w:r>
      <w:bookmarkEnd w:id="874"/>
    </w:p>
    <w:p w:rsidR="00F20C99" w:rsidRDefault="000B1994" w:rsidP="002E61F2">
      <w:pPr>
        <w:pStyle w:val="GPSL2Numbered"/>
      </w:pPr>
      <w:r w:rsidRPr="006875AD">
        <w:lastRenderedPageBreak/>
        <w:t>The Supplier acknowledges and agrees that the Admin Fees are a fair reflection of the additional costs incurred by the Authority as a result of the Supplier failing to supply Management Information as required by this Framework Agreement.</w:t>
      </w:r>
    </w:p>
    <w:p w:rsidR="00F20C99" w:rsidRDefault="000B1994" w:rsidP="002E61F2">
      <w:pPr>
        <w:pStyle w:val="GPSL2Numbered"/>
      </w:pPr>
      <w:bookmarkStart w:id="875" w:name="_Ref366090069"/>
      <w:r w:rsidRPr="006875AD">
        <w:t>The Authority shall notify the Supplier if any Admin Fees arise pursuant to paragraph</w:t>
      </w:r>
      <w:r>
        <w:t xml:space="preserve"> </w:t>
      </w:r>
      <w:r w:rsidR="00F71B15">
        <w:fldChar w:fldCharType="begin"/>
      </w:r>
      <w:r w:rsidR="00213F6B">
        <w:instrText xml:space="preserve"> REF _Ref365984073 \r \h </w:instrText>
      </w:r>
      <w:r w:rsidR="00F71B15">
        <w:fldChar w:fldCharType="separate"/>
      </w:r>
      <w:r w:rsidR="00B3040B">
        <w:t>5.4</w:t>
      </w:r>
      <w:r w:rsidR="00F71B15">
        <w:fldChar w:fldCharType="end"/>
      </w:r>
      <w:r w:rsidRPr="006875AD">
        <w:t xml:space="preserve"> above and shall be entitled to invoice the Supplier for such Admin Fees which shall be payable in accordance with Clause</w:t>
      </w:r>
      <w:r>
        <w:t xml:space="preserve"> </w:t>
      </w:r>
      <w:r w:rsidR="00F71B15">
        <w:fldChar w:fldCharType="begin"/>
      </w:r>
      <w:r w:rsidR="00213F6B">
        <w:instrText xml:space="preserve"> REF _Ref365013560 \r \h </w:instrText>
      </w:r>
      <w:r w:rsidR="00F71B15">
        <w:fldChar w:fldCharType="separate"/>
      </w:r>
      <w:r w:rsidR="00B3040B">
        <w:t>17</w:t>
      </w:r>
      <w:r w:rsidR="00F71B15">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875"/>
    </w:p>
    <w:p w:rsidR="00F20C99" w:rsidRDefault="000B1994" w:rsidP="002E61F2">
      <w:pPr>
        <w:pStyle w:val="GPSL1SCHEDULEHeading"/>
      </w:pPr>
      <w:bookmarkStart w:id="876" w:name="_Ref366090287"/>
      <w:r w:rsidRPr="006875AD">
        <w:t>DEFAULT MANAGEMENT CHARGE</w:t>
      </w:r>
      <w:bookmarkEnd w:id="876"/>
    </w:p>
    <w:p w:rsidR="00F20C99" w:rsidRDefault="000B1994" w:rsidP="002E61F2">
      <w:pPr>
        <w:pStyle w:val="GPSL2Numbered"/>
      </w:pPr>
      <w:r w:rsidRPr="006875AD">
        <w:t>If:</w:t>
      </w:r>
    </w:p>
    <w:p w:rsidR="00F20C99" w:rsidRDefault="000B1994" w:rsidP="002E61F2">
      <w:pPr>
        <w:pStyle w:val="GPSL3numberedclause"/>
      </w:pPr>
      <w:r w:rsidRPr="006875AD">
        <w:t>Two (2) MI Failures occur in any rolling six (6) Month period;</w:t>
      </w:r>
    </w:p>
    <w:p w:rsidR="00F20C99" w:rsidRDefault="000B1994" w:rsidP="002E61F2">
      <w:pPr>
        <w:pStyle w:val="GPSL3numberedclause"/>
      </w:pPr>
      <w:r w:rsidRPr="006875AD">
        <w:t xml:space="preserve">Two (2)  consecutive MI Failures occur; </w:t>
      </w:r>
    </w:p>
    <w:p w:rsidR="00F20C99" w:rsidRDefault="000B1994">
      <w:pPr>
        <w:pStyle w:val="GPSL2Indent"/>
      </w:pPr>
      <w:r w:rsidRPr="006875AD">
        <w:t>then a "</w:t>
      </w:r>
      <w:r w:rsidRPr="006875AD">
        <w:rPr>
          <w:b/>
        </w:rPr>
        <w:t>MI Default</w:t>
      </w:r>
      <w:r w:rsidRPr="006875AD">
        <w:t>" shall be deemed to have occurred.</w:t>
      </w:r>
    </w:p>
    <w:p w:rsidR="00F20C99" w:rsidRDefault="000B1994" w:rsidP="002E61F2">
      <w:pPr>
        <w:pStyle w:val="GPSL2Numbered"/>
      </w:pPr>
      <w:bookmarkStart w:id="87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F71B15">
        <w:fldChar w:fldCharType="begin"/>
      </w:r>
      <w:r w:rsidR="00DF018B">
        <w:instrText xml:space="preserve"> REF _Ref365985535 \r \h </w:instrText>
      </w:r>
      <w:r w:rsidR="00F71B15">
        <w:fldChar w:fldCharType="separate"/>
      </w:r>
      <w:r w:rsidR="00B3040B">
        <w:t>6.3</w:t>
      </w:r>
      <w:r w:rsidR="00F71B15">
        <w:fldChar w:fldCharType="end"/>
      </w:r>
      <w:r w:rsidRPr="006875AD">
        <w:t>, which the Supplier shall be required to pay to the Authority (</w:t>
      </w:r>
      <w:r w:rsidRPr="006875AD">
        <w:rPr>
          <w:b/>
        </w:rPr>
        <w:t>"Default Management Charge"</w:t>
      </w:r>
      <w:r w:rsidRPr="006875AD">
        <w:t>) and/or to terminate this Framework Agreement</w:t>
      </w:r>
      <w:r w:rsidR="00F665F8">
        <w:t xml:space="preserve"> for material Default</w:t>
      </w:r>
      <w:r w:rsidRPr="006875AD">
        <w:t>.</w:t>
      </w:r>
      <w:bookmarkEnd w:id="877"/>
      <w:r w:rsidRPr="006875AD">
        <w:t xml:space="preserve">  </w:t>
      </w:r>
    </w:p>
    <w:p w:rsidR="00F20C99" w:rsidRDefault="000B1994" w:rsidP="002E61F2">
      <w:pPr>
        <w:pStyle w:val="GPSL2Numbered"/>
      </w:pPr>
      <w:bookmarkStart w:id="878" w:name="_Ref365985535"/>
      <w:r w:rsidRPr="006875AD">
        <w:t>The Default Management Charge shall be calculated as the higher of:</w:t>
      </w:r>
      <w:bookmarkEnd w:id="878"/>
    </w:p>
    <w:p w:rsidR="00F20C99" w:rsidRDefault="000B1994" w:rsidP="002E61F2">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rsidR="00F20C99" w:rsidRDefault="000B1994" w:rsidP="002E61F2">
      <w:pPr>
        <w:pStyle w:val="GPSL3numberedclause"/>
      </w:pPr>
      <w:r w:rsidRPr="006875AD">
        <w:t>the sum of five hundred pounds (£500).</w:t>
      </w:r>
    </w:p>
    <w:p w:rsidR="00F20C99" w:rsidRDefault="000B1994" w:rsidP="002E61F2">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F71B15">
        <w:fldChar w:fldCharType="begin"/>
      </w:r>
      <w:r w:rsidR="00DF018B">
        <w:instrText xml:space="preserve"> REF _Ref365013560 \r \h </w:instrText>
      </w:r>
      <w:r w:rsidR="00F71B15">
        <w:fldChar w:fldCharType="separate"/>
      </w:r>
      <w:r w:rsidR="00B3040B">
        <w:t>17</w:t>
      </w:r>
      <w:r w:rsidR="00F71B15">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F71B15">
        <w:fldChar w:fldCharType="begin"/>
      </w:r>
      <w:r w:rsidR="00DF018B">
        <w:instrText xml:space="preserve"> REF _Ref365985535 \r \h </w:instrText>
      </w:r>
      <w:r w:rsidR="00F71B15">
        <w:fldChar w:fldCharType="separate"/>
      </w:r>
      <w:r w:rsidR="00B3040B">
        <w:t>6.3</w:t>
      </w:r>
      <w:r w:rsidR="00F71B15">
        <w:fldChar w:fldCharType="end"/>
      </w:r>
      <w:r w:rsidRPr="006875AD">
        <w:t xml:space="preserve"> above:</w:t>
      </w:r>
    </w:p>
    <w:p w:rsidR="00F20C99" w:rsidRDefault="000B1994" w:rsidP="002E61F2">
      <w:pPr>
        <w:pStyle w:val="GPSL3numberedclause"/>
      </w:pPr>
      <w:r w:rsidRPr="006875AD">
        <w:t>in arrears for those Months in which an MI Failure occurred; and</w:t>
      </w:r>
    </w:p>
    <w:p w:rsidR="00F20C99" w:rsidRDefault="000B1994" w:rsidP="002E61F2">
      <w:pPr>
        <w:pStyle w:val="GPSL3numberedclause"/>
      </w:pPr>
      <w:r w:rsidRPr="006875AD">
        <w:t xml:space="preserve">on an </w:t>
      </w:r>
      <w:proofErr w:type="spellStart"/>
      <w:r w:rsidRPr="006875AD">
        <w:t>ongoing</w:t>
      </w:r>
      <w:proofErr w:type="spellEnd"/>
      <w:r w:rsidRPr="006875AD">
        <w:t xml:space="preserve"> Monthly basis, </w:t>
      </w:r>
    </w:p>
    <w:p w:rsidR="00F20C99" w:rsidRDefault="000B1994">
      <w:pPr>
        <w:pStyle w:val="GPSL2Indent"/>
      </w:pPr>
      <w:r w:rsidRPr="006875AD">
        <w:t>until all and any MI Failures have been rectified to the reasonable satisfaction of the Authority.</w:t>
      </w:r>
    </w:p>
    <w:p w:rsidR="00F20C99" w:rsidRDefault="000B1994" w:rsidP="002E61F2">
      <w:pPr>
        <w:pStyle w:val="GPSL2Numbered"/>
      </w:pPr>
      <w:r w:rsidRPr="006875AD">
        <w:t>For the avoidance of doubt the Parties agree that</w:t>
      </w:r>
      <w:r>
        <w:t>:</w:t>
      </w:r>
    </w:p>
    <w:p w:rsidR="00F20C99" w:rsidRDefault="000B1994" w:rsidP="002E61F2">
      <w:pPr>
        <w:pStyle w:val="GPSL3numberedclause"/>
      </w:pPr>
      <w:r w:rsidRPr="006875AD">
        <w:t>the Default Management Charge shall be payable as though it w</w:t>
      </w:r>
      <w:r>
        <w:t>as</w:t>
      </w:r>
      <w:r w:rsidRPr="006875AD">
        <w:t xml:space="preserve"> the Management Charge due in accordance with the provisions of Clause </w:t>
      </w:r>
      <w:r w:rsidR="00F71B15">
        <w:fldChar w:fldCharType="begin"/>
      </w:r>
      <w:r w:rsidR="00DF018B">
        <w:instrText xml:space="preserve"> REF _Ref365013560 \r \h </w:instrText>
      </w:r>
      <w:r w:rsidR="00F71B15">
        <w:fldChar w:fldCharType="separate"/>
      </w:r>
      <w:r w:rsidR="00B3040B">
        <w:t>17</w:t>
      </w:r>
      <w:r w:rsidR="00F71B15">
        <w:fldChar w:fldCharType="end"/>
      </w:r>
      <w:r w:rsidR="00A335C2">
        <w:t xml:space="preserve"> </w:t>
      </w:r>
      <w:r w:rsidRPr="006875AD">
        <w:t>of this Framework Agreement</w:t>
      </w:r>
      <w:r w:rsidR="00DF018B">
        <w:t>;</w:t>
      </w:r>
      <w:r>
        <w:t xml:space="preserve"> and</w:t>
      </w:r>
    </w:p>
    <w:p w:rsidR="00F20C99" w:rsidRDefault="000B1994" w:rsidP="002E61F2">
      <w:pPr>
        <w:pStyle w:val="GPSL3numberedclause"/>
      </w:pPr>
      <w:r>
        <w:t xml:space="preserve">any rights or remedies available to Authority under this Framework Agreement in respect of the payment of the Management Charge </w:t>
      </w:r>
      <w:r>
        <w:lastRenderedPageBreak/>
        <w:t>shall be available to the Authority also in respect of the payment of the Default Management Charge.</w:t>
      </w:r>
    </w:p>
    <w:p w:rsidR="00F20C99" w:rsidRDefault="000B1994" w:rsidP="002E61F2">
      <w:pPr>
        <w:pStyle w:val="GPSL2Numbered"/>
      </w:pPr>
      <w:r w:rsidRPr="006875AD">
        <w:t>If the Supplier provides sufficient Management Information to rectify any MI Failures to the satisfaction of the Authority and the Management Information demonstrates that:</w:t>
      </w:r>
    </w:p>
    <w:p w:rsidR="00F20C99" w:rsidRDefault="000B1994" w:rsidP="002E61F2">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rsidR="002B49ED" w:rsidRDefault="000B1994" w:rsidP="002E61F2">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F71B15">
        <w:fldChar w:fldCharType="begin"/>
      </w:r>
      <w:r w:rsidR="00DF018B">
        <w:instrText xml:space="preserve"> REF _Ref365013560 \r \h </w:instrText>
      </w:r>
      <w:r w:rsidR="00F71B15">
        <w:fldChar w:fldCharType="separate"/>
      </w:r>
      <w:r w:rsidR="00B3040B">
        <w:t>17</w:t>
      </w:r>
      <w:r w:rsidR="00F71B15">
        <w:fldChar w:fldCharType="end"/>
      </w:r>
      <w:r w:rsidRPr="00850F42">
        <w:t xml:space="preserve"> (Management Charge).</w:t>
      </w:r>
    </w:p>
    <w:p w:rsidR="00F20C99" w:rsidRDefault="00F71B15">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879" w:author="potterj" w:date="2014-08-28T12:26:00Z" w:original="0."/>
        </w:fldChar>
      </w:r>
      <w:bookmarkStart w:id="880" w:name="_Toc365027621"/>
      <w:r w:rsidR="000B1994">
        <w:br w:type="page"/>
      </w:r>
    </w:p>
    <w:p w:rsidR="00F20C99" w:rsidRDefault="000B1994">
      <w:pPr>
        <w:pStyle w:val="GPSSchAnnexname"/>
      </w:pPr>
      <w:bookmarkStart w:id="881" w:name="_Toc366085194"/>
      <w:bookmarkStart w:id="882" w:name="_Toc379488100"/>
      <w:bookmarkStart w:id="883" w:name="_Toc380052202"/>
      <w:bookmarkStart w:id="884" w:name="_Toc380052713"/>
      <w:bookmarkStart w:id="885" w:name="_Toc391545398"/>
      <w:r w:rsidRPr="006875AD">
        <w:lastRenderedPageBreak/>
        <w:t>ANNEX</w:t>
      </w:r>
      <w:r>
        <w:t xml:space="preserve"> 1: </w:t>
      </w:r>
      <w:r w:rsidRPr="006875AD">
        <w:t>MI REPORTING TEMPLATE</w:t>
      </w:r>
      <w:bookmarkEnd w:id="880"/>
      <w:bookmarkEnd w:id="881"/>
      <w:bookmarkEnd w:id="882"/>
      <w:bookmarkEnd w:id="883"/>
      <w:bookmarkEnd w:id="884"/>
      <w:bookmarkEnd w:id="885"/>
    </w:p>
    <w:p w:rsidR="00F20C99" w:rsidRDefault="00F20C99" w:rsidP="00293635">
      <w:pPr>
        <w:pStyle w:val="GPSDefinitionL1Guidance"/>
      </w:pPr>
    </w:p>
    <w:p w:rsidR="00547C1F" w:rsidRDefault="00547C1F" w:rsidP="00293635">
      <w:pPr>
        <w:pStyle w:val="GPSDefinitionL1Guidance"/>
      </w:pPr>
      <w:r>
        <w:t>The Management Information Reporting Template is as set out in Attachment 6a of the Invitation to Tender unless subsequently revised in accordance with Clause 2 Framework Schedule 9 (Management Information)</w:t>
      </w:r>
    </w:p>
    <w:p w:rsidR="00547C1F" w:rsidRDefault="00547C1F" w:rsidP="00293635">
      <w:pPr>
        <w:pStyle w:val="GPSDefinitionL1Guidance"/>
      </w:pPr>
    </w:p>
    <w:p w:rsidR="00B3040B" w:rsidRDefault="00B3040B" w:rsidP="007E2634">
      <w:pPr>
        <w:pStyle w:val="GPSSchTitleandNumber"/>
      </w:pPr>
    </w:p>
    <w:p w:rsidR="00B3040B" w:rsidRDefault="00B3040B" w:rsidP="007E2634">
      <w:pPr>
        <w:pStyle w:val="GPSSchTitleandNumber"/>
      </w:pPr>
    </w:p>
    <w:p w:rsidR="00B3040B" w:rsidRDefault="00B3040B" w:rsidP="007E2634">
      <w:pPr>
        <w:pStyle w:val="GPSSchTitleandNumber"/>
      </w:pPr>
    </w:p>
    <w:p w:rsidR="00F20C99" w:rsidRDefault="00C34A36" w:rsidP="007E2634">
      <w:pPr>
        <w:pStyle w:val="GPSSchTitleandNumber"/>
      </w:pPr>
      <w:r>
        <w:br w:type="page"/>
      </w:r>
      <w:bookmarkStart w:id="886" w:name="_Toc365027622"/>
      <w:bookmarkStart w:id="887" w:name="_Toc366085195"/>
      <w:bookmarkStart w:id="888" w:name="_Toc379488101"/>
      <w:bookmarkStart w:id="889" w:name="_Toc380052203"/>
      <w:bookmarkStart w:id="890" w:name="_Toc380052714"/>
      <w:bookmarkStart w:id="891" w:name="_Toc391545399"/>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886"/>
      <w:bookmarkEnd w:id="887"/>
      <w:bookmarkEnd w:id="888"/>
      <w:bookmarkEnd w:id="889"/>
      <w:bookmarkEnd w:id="890"/>
      <w:bookmarkEnd w:id="891"/>
    </w:p>
    <w:p w:rsidR="00F20C99" w:rsidRDefault="00C34A36">
      <w:pPr>
        <w:pStyle w:val="GPSL1Guidance"/>
      </w:pPr>
      <w:r w:rsidRPr="006875AD">
        <w:rPr>
          <w:highlight w:val="green"/>
        </w:rPr>
        <w:t>[To be signed by Head of Internal Audit, Finance Director or company’s external auditor]</w:t>
      </w:r>
    </w:p>
    <w:p w:rsidR="00F20C99" w:rsidRDefault="00C34A36">
      <w:pPr>
        <w:pStyle w:val="GPSL1Guidance"/>
      </w:pPr>
      <w:r w:rsidRPr="00FF5189">
        <w:rPr>
          <w:highlight w:val="green"/>
        </w:rPr>
        <w:t xml:space="preserve">[Guidance Note:  Please seek guidance from the </w:t>
      </w:r>
      <w:r w:rsidR="00051095">
        <w:rPr>
          <w:highlight w:val="green"/>
        </w:rPr>
        <w:t>Authority</w:t>
      </w:r>
      <w:r w:rsidRPr="00FF5189">
        <w:rPr>
          <w:highlight w:val="green"/>
        </w:rPr>
        <w:t xml:space="preserve"> audit team in relation to this point]</w:t>
      </w:r>
      <w:r w:rsidRPr="00FF5189">
        <w:t xml:space="preserve"> </w:t>
      </w:r>
    </w:p>
    <w:p w:rsidR="00F20C99" w:rsidRDefault="00C34A36" w:rsidP="00B1632A">
      <w:pPr>
        <w:pStyle w:val="GPSL1indent"/>
      </w:pPr>
      <w:r w:rsidRPr="006875AD">
        <w:t xml:space="preserve">Dear </w:t>
      </w:r>
      <w:r w:rsidRPr="00C34A36">
        <w:t>Sirs</w:t>
      </w:r>
    </w:p>
    <w:p w:rsidR="00F20C99" w:rsidRDefault="00C34A36" w:rsidP="00B1632A">
      <w:pPr>
        <w:pStyle w:val="GPSL1indent"/>
      </w:pPr>
      <w:r w:rsidRPr="006875AD">
        <w:t xml:space="preserve">In accordance with the Framework Agreement entered into on </w:t>
      </w:r>
      <w:r w:rsidRPr="006875AD">
        <w:rPr>
          <w:highlight w:val="yellow"/>
        </w:rPr>
        <w:t xml:space="preserve">[insert Framework Commencement Date </w:t>
      </w:r>
      <w:proofErr w:type="spellStart"/>
      <w:r w:rsidRPr="006875AD">
        <w:rPr>
          <w:highlight w:val="yellow"/>
        </w:rPr>
        <w:t>dd</w:t>
      </w:r>
      <w:proofErr w:type="spellEnd"/>
      <w:r w:rsidRPr="006875AD">
        <w:rPr>
          <w:highlight w:val="yellow"/>
        </w:rPr>
        <w:t>/mm/</w:t>
      </w:r>
      <w:proofErr w:type="spellStart"/>
      <w:r w:rsidRPr="006875AD">
        <w:rPr>
          <w:highlight w:val="yellow"/>
        </w:rPr>
        <w:t>yyyy</w:t>
      </w:r>
      <w:proofErr w:type="spellEnd"/>
      <w:r w:rsidRPr="006875AD">
        <w:rPr>
          <w:highlight w:val="yellow"/>
        </w:rPr>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rsidR="00F20C99" w:rsidRDefault="00C34A36" w:rsidP="002E7CBD">
      <w:pPr>
        <w:pStyle w:val="GPSL1Schedulenumbered"/>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rsidR="00F20C99" w:rsidRDefault="00C34A36" w:rsidP="002E7CBD">
      <w:pPr>
        <w:pStyle w:val="GPSL1Schedulenumbered"/>
      </w:pPr>
      <w:r w:rsidRPr="006875AD">
        <w:t>We have tested the systems for identifying and reporting on framework activity and found them to be operating satisfactorily.</w:t>
      </w:r>
    </w:p>
    <w:p w:rsidR="00F20C99" w:rsidRDefault="00C34A36" w:rsidP="002E7CBD">
      <w:pPr>
        <w:pStyle w:val="GPSL1Schedulenumbered"/>
      </w:pPr>
      <w:r w:rsidRPr="006875AD">
        <w:t xml:space="preserve">We have tested a sample of </w:t>
      </w:r>
      <w:r w:rsidRPr="006875AD">
        <w:rPr>
          <w:highlight w:val="yellow"/>
        </w:rPr>
        <w:t>[</w:t>
      </w:r>
      <w:r>
        <w:rPr>
          <w:highlight w:val="yellow"/>
        </w:rPr>
        <w:t xml:space="preserve"> </w:t>
      </w:r>
      <w:r w:rsidRPr="006875AD">
        <w:rPr>
          <w:highlight w:val="yellow"/>
        </w:rPr>
        <w:t>]</w:t>
      </w:r>
      <w:r w:rsidRPr="006875AD">
        <w:t xml:space="preserve"> </w:t>
      </w:r>
      <w:r w:rsidR="002B49ED" w:rsidRPr="002B49ED">
        <w:rPr>
          <w:highlight w:val="green"/>
        </w:rPr>
        <w:t>[insert number of sample transactions tested]</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rsidR="00F20C99" w:rsidRDefault="00C34A36" w:rsidP="002E7CBD">
      <w:pPr>
        <w:pStyle w:val="GPSL1Schedulenumbered"/>
      </w:pPr>
      <w:r>
        <w:t xml:space="preserve">We have tested from the order processing and invoicing systems a sample of </w:t>
      </w:r>
      <w:r w:rsidRPr="00EB772D">
        <w:rPr>
          <w:highlight w:val="yellow"/>
        </w:rPr>
        <w:t>[  ]</w:t>
      </w:r>
      <w:r>
        <w:t xml:space="preserve"> </w:t>
      </w:r>
      <w:r w:rsidR="002B49ED" w:rsidRPr="002B49ED">
        <w:rPr>
          <w:highlight w:val="green"/>
        </w:rPr>
        <w:t>[Insert number of sample transactions tested]</w:t>
      </w:r>
      <w:r>
        <w:t xml:space="preserve"> public sector orders placed outside the Framework Agreement during our audit for the financial year ended </w:t>
      </w:r>
      <w:r w:rsidRPr="00EB772D">
        <w:rPr>
          <w:highlight w:val="yellow"/>
        </w:rPr>
        <w:t>[insert financial year]</w:t>
      </w:r>
      <w:r>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Default="00C34A36" w:rsidP="002E7CBD">
      <w:pPr>
        <w:pStyle w:val="GPSL1Schedulenumbered"/>
      </w:pPr>
      <w:r>
        <w:t>We have also attached an Audit Report which provides details of the methodology applied to complete the review, the sampling techniques applied, details of any issues identified and remedial action taken.</w:t>
      </w:r>
    </w:p>
    <w:p w:rsidR="00F20C99" w:rsidRDefault="00C34A36">
      <w:pPr>
        <w:pStyle w:val="GPSL1Guidance"/>
      </w:pPr>
      <w:r w:rsidRPr="007B5CF7">
        <w:rPr>
          <w:highlight w:val="green"/>
        </w:rPr>
        <w:t xml:space="preserve">[Guidance Note: see Clause </w:t>
      </w:r>
      <w:r w:rsidR="005C2FB7" w:rsidRPr="007B5CF7">
        <w:rPr>
          <w:highlight w:val="green"/>
        </w:rPr>
        <w:t>1</w:t>
      </w:r>
      <w:r w:rsidR="005C2FB7">
        <w:rPr>
          <w:highlight w:val="green"/>
        </w:rPr>
        <w:t>5 (Records, Audit Access and Open Book Data)</w:t>
      </w:r>
      <w:r w:rsidR="005C2FB7" w:rsidRPr="007B5CF7">
        <w:rPr>
          <w:highlight w:val="green"/>
        </w:rPr>
        <w:t xml:space="preserve"> </w:t>
      </w:r>
      <w:r w:rsidRPr="007B5CF7">
        <w:rPr>
          <w:highlight w:val="green"/>
        </w:rPr>
        <w:t>for details of what is required]</w:t>
      </w:r>
    </w:p>
    <w:p w:rsidR="00F20C99" w:rsidRDefault="00C34A36" w:rsidP="00B1632A">
      <w:pPr>
        <w:pStyle w:val="GPSL1indent"/>
      </w:pPr>
      <w:r w:rsidRPr="006875AD">
        <w:t>Name:………………………………………………………</w:t>
      </w:r>
    </w:p>
    <w:p w:rsidR="00F20C99" w:rsidRDefault="00C34A36" w:rsidP="00B1632A">
      <w:pPr>
        <w:pStyle w:val="GPSL1indent"/>
      </w:pPr>
      <w:r w:rsidRPr="006875AD">
        <w:t>Signed:…………………………………………………….</w:t>
      </w:r>
    </w:p>
    <w:p w:rsidR="00F20C99" w:rsidRDefault="00C34A36" w:rsidP="00B1632A">
      <w:pPr>
        <w:pStyle w:val="GPSL1indent"/>
      </w:pPr>
      <w:r w:rsidRPr="006875AD">
        <w:t>Head of Internal Audit/ Finance Director/ External Audit firm (delete as applicable)</w:t>
      </w:r>
    </w:p>
    <w:p w:rsidR="00F20C99" w:rsidRDefault="00C34A36" w:rsidP="00B1632A">
      <w:pPr>
        <w:pStyle w:val="GPSL1indent"/>
      </w:pPr>
      <w:r w:rsidRPr="006875AD">
        <w:t>Date:……………………………………………………….</w:t>
      </w:r>
    </w:p>
    <w:p w:rsidR="00F20C99" w:rsidRDefault="00C34A36" w:rsidP="00B1632A">
      <w:pPr>
        <w:pStyle w:val="GPSL1indent"/>
      </w:pPr>
      <w:r w:rsidRPr="00B53C7E">
        <w:t>Professional Qualification held by Signatory:............................................................</w:t>
      </w:r>
    </w:p>
    <w:p w:rsidR="00C34A36" w:rsidRPr="00BD2D84" w:rsidRDefault="002B49ED" w:rsidP="00B1632A">
      <w:pPr>
        <w:pStyle w:val="GPSL1indent"/>
      </w:pPr>
      <w:r w:rsidRPr="002B49ED">
        <w:t xml:space="preserve">Note to Suppliers: where </w:t>
      </w:r>
      <w:r w:rsidR="00051095">
        <w:t xml:space="preserve">the Authority </w:t>
      </w:r>
      <w:bookmarkStart w:id="892" w:name="_GoBack"/>
      <w:bookmarkEnd w:id="892"/>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behaviour goes beyond poor commercial practice and will seek further guidance from the Treasury Solicitor’s Department.</w:t>
      </w:r>
    </w:p>
    <w:p w:rsidR="00F20C99" w:rsidRDefault="00C34A36" w:rsidP="007E2634">
      <w:pPr>
        <w:pStyle w:val="GPSSchTitleandNumber"/>
      </w:pPr>
      <w:r>
        <w:br w:type="page"/>
      </w:r>
      <w:bookmarkStart w:id="893" w:name="_Toc365027623"/>
      <w:bookmarkStart w:id="894" w:name="_Toc366085196"/>
      <w:bookmarkStart w:id="895" w:name="_Toc379488102"/>
      <w:bookmarkStart w:id="896" w:name="_Toc380052204"/>
      <w:bookmarkStart w:id="897" w:name="_Toc380052715"/>
      <w:bookmarkStart w:id="898" w:name="_Toc391545400"/>
      <w:r w:rsidRPr="006875AD">
        <w:lastRenderedPageBreak/>
        <w:t>FRAMEWORK SCHEDULE 1</w:t>
      </w:r>
      <w:r>
        <w:t>1</w:t>
      </w:r>
      <w:r w:rsidRPr="006875AD">
        <w:t>: MARKETING</w:t>
      </w:r>
      <w:bookmarkEnd w:id="893"/>
      <w:bookmarkEnd w:id="894"/>
      <w:bookmarkEnd w:id="895"/>
      <w:bookmarkEnd w:id="896"/>
      <w:bookmarkEnd w:id="897"/>
      <w:bookmarkEnd w:id="898"/>
    </w:p>
    <w:p w:rsidR="00F20C99" w:rsidRDefault="00C34A36" w:rsidP="002E61F2">
      <w:pPr>
        <w:pStyle w:val="GPSL1SCHEDULEHeading"/>
      </w:pPr>
      <w:r w:rsidRPr="006875AD">
        <w:t>INTRODUCTION</w:t>
      </w:r>
    </w:p>
    <w:p w:rsidR="00F20C99" w:rsidRDefault="00C34A36" w:rsidP="002E61F2">
      <w:pPr>
        <w:pStyle w:val="GPSL2Numbered"/>
      </w:pPr>
      <w:r w:rsidRPr="006875AD">
        <w:t>This Framework Schedule 1</w:t>
      </w:r>
      <w:r>
        <w:t>1</w:t>
      </w:r>
      <w:r w:rsidRPr="006875AD">
        <w:t xml:space="preserve"> describes the activities that the Supplier will carry out as part of its </w:t>
      </w:r>
      <w:proofErr w:type="spellStart"/>
      <w:r w:rsidRPr="006875AD">
        <w:t>ongoing</w:t>
      </w:r>
      <w:proofErr w:type="spellEnd"/>
      <w:r w:rsidRPr="006875AD">
        <w:t xml:space="preserve"> commitment to the marketing of the Services to Contracting Bodies.</w:t>
      </w:r>
    </w:p>
    <w:p w:rsidR="00F20C99" w:rsidRDefault="00C34A36" w:rsidP="002E61F2">
      <w:pPr>
        <w:pStyle w:val="GPSL1SCHEDULEHeading"/>
      </w:pPr>
      <w:r w:rsidRPr="006875AD">
        <w:t>MARKETING</w:t>
      </w:r>
    </w:p>
    <w:p w:rsidR="00F20C99" w:rsidRDefault="00C34A36" w:rsidP="002E61F2">
      <w:pPr>
        <w:pStyle w:val="GPSL2Numbered"/>
      </w:pPr>
      <w:r w:rsidRPr="006875AD">
        <w:t>Marketing contact details:</w:t>
      </w:r>
    </w:p>
    <w:p w:rsidR="00F20C99" w:rsidRDefault="00C34A36" w:rsidP="002E61F2">
      <w:pPr>
        <w:pStyle w:val="GPSL3numberedclause"/>
        <w:rPr>
          <w:highlight w:val="yellow"/>
        </w:rPr>
      </w:pPr>
      <w:r w:rsidRPr="006875AD">
        <w:rPr>
          <w:highlight w:val="yellow"/>
        </w:rPr>
        <w:t>[NAME]</w:t>
      </w:r>
    </w:p>
    <w:p w:rsidR="00F20C99" w:rsidRDefault="00C34A36" w:rsidP="002E61F2">
      <w:pPr>
        <w:pStyle w:val="GPSL3numberedclause"/>
        <w:rPr>
          <w:highlight w:val="yellow"/>
        </w:rPr>
      </w:pPr>
      <w:r w:rsidRPr="006875AD">
        <w:rPr>
          <w:highlight w:val="yellow"/>
        </w:rPr>
        <w:t>[ADDRESS]</w:t>
      </w:r>
    </w:p>
    <w:p w:rsidR="00F20C99" w:rsidRDefault="00C34A36" w:rsidP="002E61F2">
      <w:pPr>
        <w:pStyle w:val="GPSL3numberedclause"/>
        <w:rPr>
          <w:highlight w:val="yellow"/>
        </w:rPr>
      </w:pPr>
      <w:r w:rsidRPr="006875AD">
        <w:rPr>
          <w:highlight w:val="yellow"/>
        </w:rPr>
        <w:t>[Telephone and email]</w:t>
      </w:r>
    </w:p>
    <w:p w:rsidR="00F20C99" w:rsidRDefault="00C34A36" w:rsidP="002E61F2">
      <w:pPr>
        <w:pStyle w:val="GPSL1SCHEDULEHeading"/>
      </w:pPr>
      <w:r w:rsidRPr="006875AD">
        <w:t>AUTHORITY PUBLICATIONS</w:t>
      </w:r>
    </w:p>
    <w:p w:rsidR="00F20C99" w:rsidRDefault="00C34A36" w:rsidP="002E61F2">
      <w:pPr>
        <w:pStyle w:val="GPSL2Numbered"/>
      </w:pPr>
      <w:bookmarkStart w:id="899" w:name="_Ref366091149"/>
      <w:r w:rsidRPr="006875AD">
        <w:t>The Authority will periodically update and revise marketing materials.  The Supplier shall supply current information for inclusion in such marketing materials when required by the Authority.</w:t>
      </w:r>
      <w:bookmarkEnd w:id="899"/>
    </w:p>
    <w:p w:rsidR="00F20C99" w:rsidRDefault="00C34A36" w:rsidP="002E61F2">
      <w:pPr>
        <w:pStyle w:val="GPSL2Numbered"/>
      </w:pPr>
      <w:bookmarkStart w:id="900" w:name="_Ref366091159"/>
      <w:r w:rsidRPr="006875AD">
        <w:t>Such information shall be provided in the form of a completed template, supplied by the Authority together with the instruction for completion and the date for its return.</w:t>
      </w:r>
      <w:bookmarkEnd w:id="900"/>
    </w:p>
    <w:p w:rsidR="00F20C99" w:rsidRDefault="00C34A36" w:rsidP="002E61F2">
      <w:pPr>
        <w:pStyle w:val="GPSL2Numbered"/>
      </w:pPr>
      <w:r w:rsidRPr="006875AD">
        <w:t>Failure to comply with the provisions of paragraph</w:t>
      </w:r>
      <w:r w:rsidR="00706C7C">
        <w:t>s</w:t>
      </w:r>
      <w:r>
        <w:t xml:space="preserve"> </w:t>
      </w:r>
      <w:r w:rsidR="00F71B15">
        <w:fldChar w:fldCharType="begin"/>
      </w:r>
      <w:r w:rsidR="00706C7C">
        <w:instrText xml:space="preserve"> REF _Ref366091149 \r \h </w:instrText>
      </w:r>
      <w:r w:rsidR="00F71B15">
        <w:fldChar w:fldCharType="separate"/>
      </w:r>
      <w:r w:rsidR="00B3040B">
        <w:t>3.1</w:t>
      </w:r>
      <w:r w:rsidR="00F71B15">
        <w:fldChar w:fldCharType="end"/>
      </w:r>
      <w:r w:rsidR="00706C7C">
        <w:t xml:space="preserve"> </w:t>
      </w:r>
      <w:r w:rsidRPr="006875AD">
        <w:t>and</w:t>
      </w:r>
      <w:r w:rsidR="00706C7C">
        <w:t xml:space="preserve"> </w:t>
      </w:r>
      <w:r w:rsidR="00F71B15">
        <w:fldChar w:fldCharType="begin"/>
      </w:r>
      <w:r w:rsidR="00706C7C">
        <w:instrText xml:space="preserve"> REF _Ref366091159 \r \h </w:instrText>
      </w:r>
      <w:r w:rsidR="00F71B15">
        <w:fldChar w:fldCharType="separate"/>
      </w:r>
      <w:r w:rsidR="00B3040B">
        <w:t>3.2</w:t>
      </w:r>
      <w:r w:rsidR="00F71B15">
        <w:fldChar w:fldCharType="end"/>
      </w:r>
      <w:r w:rsidRPr="006875AD">
        <w:t xml:space="preserve"> may result in the Supplier's exclusion from </w:t>
      </w:r>
      <w:r w:rsidR="005C2FB7">
        <w:t xml:space="preserve">the use of </w:t>
      </w:r>
      <w:r w:rsidRPr="006875AD">
        <w:t>such marketing materials.</w:t>
      </w:r>
    </w:p>
    <w:p w:rsidR="00F20C99" w:rsidRDefault="00C34A36" w:rsidP="002E61F2">
      <w:pPr>
        <w:pStyle w:val="GPSL1SCHEDULEHeading"/>
      </w:pPr>
      <w:r w:rsidRPr="006875AD">
        <w:t>SUPPLIER PUBLICATIONS</w:t>
      </w:r>
    </w:p>
    <w:p w:rsidR="00F20C99" w:rsidRDefault="00C34A36" w:rsidP="002E61F2">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2E61F2">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F71B15"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901" w:author="potterj" w:date="2014-08-28T12:26:00Z" w:original="0."/>
        </w:fldChar>
      </w:r>
    </w:p>
    <w:p w:rsidR="00316487" w:rsidRPr="00F20C99" w:rsidRDefault="00C34A36" w:rsidP="00316487">
      <w:pPr>
        <w:pStyle w:val="GPSSchTitleandNumber"/>
      </w:pPr>
      <w:r>
        <w:rPr>
          <w:sz w:val="16"/>
        </w:rPr>
        <w:br w:type="page"/>
      </w:r>
      <w:bookmarkStart w:id="902" w:name="_Toc365027619"/>
      <w:bookmarkStart w:id="903" w:name="_Toc366085197"/>
    </w:p>
    <w:p w:rsidR="00316487" w:rsidRPr="00F20C99" w:rsidRDefault="00316487" w:rsidP="00316487">
      <w:pPr>
        <w:pStyle w:val="GPSSchTitleandNumber"/>
      </w:pPr>
      <w:bookmarkStart w:id="904" w:name="_Toc379488103"/>
      <w:bookmarkStart w:id="905" w:name="_Toc380052205"/>
      <w:bookmarkStart w:id="906" w:name="_Toc380052716"/>
      <w:bookmarkStart w:id="907" w:name="_Toc391545401"/>
      <w:r w:rsidRPr="00F20C99">
        <w:lastRenderedPageBreak/>
        <w:t>FRAMEWORK SCHEDULE 12: CONTINUOUS IMPROVEMENT AND BENCHMARKING</w:t>
      </w:r>
      <w:bookmarkEnd w:id="904"/>
      <w:bookmarkEnd w:id="905"/>
      <w:bookmarkEnd w:id="906"/>
      <w:bookmarkEnd w:id="907"/>
      <w:r w:rsidRPr="00F20C99">
        <w:t xml:space="preserve"> </w:t>
      </w:r>
    </w:p>
    <w:p w:rsidR="00316487" w:rsidRDefault="00316487" w:rsidP="00316487">
      <w:pPr>
        <w:pStyle w:val="GPSL1SCHEDULEHeading"/>
        <w:numPr>
          <w:ilvl w:val="0"/>
          <w:numId w:val="323"/>
        </w:numPr>
      </w:pPr>
      <w:r w:rsidRPr="00F46867">
        <w:t>DEFINITIONS</w:t>
      </w:r>
    </w:p>
    <w:p w:rsidR="00316487" w:rsidRDefault="00316487" w:rsidP="00316487">
      <w:pPr>
        <w:pStyle w:val="GPSL2Numbered"/>
        <w:numPr>
          <w:ilvl w:val="1"/>
          <w:numId w:val="323"/>
        </w:numPr>
      </w:pPr>
      <w:r w:rsidRPr="00C34A36">
        <w:t xml:space="preserve">In this Framework Schedule </w:t>
      </w:r>
      <w:r>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Benchmarked</w:t>
            </w:r>
            <w:r>
              <w:t xml:space="preserve"> Rates</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t>means the Framework Prices</w:t>
            </w:r>
            <w:r w:rsidR="00F32750">
              <w:t xml:space="preserve"> and / or Charges</w:t>
            </w:r>
            <w:r>
              <w:t xml:space="preserve"> for the Benchmarked Services</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Benchmark Review</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rsidRPr="00806F6A">
              <w:t xml:space="preserve">means a review of the Services carried out in accordance with </w:t>
            </w:r>
            <w:r>
              <w:t xml:space="preserve">this </w:t>
            </w:r>
            <w:r w:rsidRPr="00806F6A">
              <w:t xml:space="preserve">Framework Schedule </w:t>
            </w:r>
            <w:r>
              <w:t>12</w:t>
            </w:r>
            <w:r w:rsidRPr="00806F6A">
              <w:t xml:space="preserve"> to determine whether those Services represent Good Value</w:t>
            </w:r>
          </w:p>
        </w:tc>
      </w:tr>
      <w:tr w:rsidR="00316487" w:rsidRPr="006875AD" w:rsidTr="00316487">
        <w:tc>
          <w:tcPr>
            <w:tcW w:w="2410" w:type="dxa"/>
            <w:shd w:val="clear" w:color="auto" w:fill="auto"/>
          </w:tcPr>
          <w:p w:rsidR="00316487" w:rsidRPr="00293635" w:rsidRDefault="00316487" w:rsidP="00316487">
            <w:pPr>
              <w:pStyle w:val="GPSDefinitionTerm"/>
            </w:pPr>
            <w:r w:rsidRPr="00293635">
              <w:t>"Benchmarked Services"</w:t>
            </w:r>
          </w:p>
        </w:tc>
        <w:tc>
          <w:tcPr>
            <w:tcW w:w="5670" w:type="dxa"/>
            <w:shd w:val="clear" w:color="auto" w:fill="auto"/>
          </w:tcPr>
          <w:p w:rsidR="00316487" w:rsidRPr="00806F6A" w:rsidRDefault="00316487" w:rsidP="00316487">
            <w:pPr>
              <w:pStyle w:val="GPsDefinition"/>
              <w:numPr>
                <w:ilvl w:val="0"/>
                <w:numId w:val="338"/>
              </w:numPr>
              <w:ind w:firstLine="5"/>
            </w:pPr>
            <w:r w:rsidRPr="00806F6A">
              <w:t xml:space="preserve">means any Services included within the scope of a Benchmark Review pursuant </w:t>
            </w:r>
            <w:r>
              <w:t xml:space="preserve">to this </w:t>
            </w:r>
            <w:r w:rsidRPr="00806F6A">
              <w:t xml:space="preserve">Framework Schedule </w:t>
            </w:r>
            <w:r>
              <w:t>12</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Comparable Rates</w:t>
            </w:r>
            <w:r w:rsidRPr="006875AD">
              <w:t>"</w:t>
            </w:r>
          </w:p>
        </w:tc>
        <w:tc>
          <w:tcPr>
            <w:tcW w:w="5670" w:type="dxa"/>
            <w:shd w:val="clear" w:color="auto" w:fill="auto"/>
          </w:tcPr>
          <w:p w:rsidR="00316487" w:rsidRPr="00806F6A" w:rsidRDefault="00316487" w:rsidP="002D491C">
            <w:pPr>
              <w:pStyle w:val="GPsDefinition"/>
              <w:numPr>
                <w:ilvl w:val="0"/>
                <w:numId w:val="338"/>
              </w:numPr>
              <w:ind w:firstLine="5"/>
            </w:pPr>
            <w:r w:rsidRPr="00806F6A">
              <w:t xml:space="preserve">means rates </w:t>
            </w:r>
            <w:r w:rsidR="002D491C">
              <w:t>charged</w:t>
            </w:r>
            <w:r w:rsidRPr="00806F6A">
              <w:t xml:space="preserve"> by the Comparison Group for Comparable Services that can be fairly compared with the </w:t>
            </w:r>
            <w:r w:rsidR="00F32750">
              <w:t>Benchmarked Rates</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Comparable Services</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t xml:space="preserve">means </w:t>
            </w:r>
            <w:r w:rsidR="002D491C">
              <w:t>s</w:t>
            </w:r>
            <w:r>
              <w:t>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Comparison Group</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rsidRPr="00806F6A">
              <w:t>means a sample group of organisations providing Comparable Services which consists of organisations which are either of similar size to the Supplier or which are similarly structured in terms of their business and their serv</w:t>
            </w:r>
            <w:r>
              <w:t>ice offering so as to be fair comparators with the Supplier or which, are best practice organisations</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Equivalent Data</w:t>
            </w:r>
            <w:r w:rsidRPr="006875AD">
              <w:t>"</w:t>
            </w:r>
          </w:p>
        </w:tc>
        <w:tc>
          <w:tcPr>
            <w:tcW w:w="5670" w:type="dxa"/>
            <w:shd w:val="clear" w:color="auto" w:fill="auto"/>
          </w:tcPr>
          <w:p w:rsidR="00316487" w:rsidRPr="00806F6A" w:rsidRDefault="00316487" w:rsidP="002D491C">
            <w:pPr>
              <w:pStyle w:val="GPsDefinition"/>
              <w:numPr>
                <w:ilvl w:val="0"/>
                <w:numId w:val="338"/>
              </w:numPr>
              <w:ind w:firstLine="5"/>
            </w:pPr>
            <w:r w:rsidRPr="00806F6A">
              <w:t xml:space="preserve">means data derived from an analysis of the Comparable Rates </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Good Value</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rsidRPr="00806F6A">
              <w:t>means that the Benchmarked Rates are within the Upper Quartile</w:t>
            </w:r>
          </w:p>
        </w:tc>
      </w:tr>
      <w:tr w:rsidR="00316487" w:rsidRPr="006875AD" w:rsidTr="00316487">
        <w:tc>
          <w:tcPr>
            <w:tcW w:w="2410" w:type="dxa"/>
            <w:shd w:val="clear" w:color="auto" w:fill="auto"/>
          </w:tcPr>
          <w:p w:rsidR="00316487" w:rsidRPr="00806F6A" w:rsidRDefault="00316487" w:rsidP="00316487">
            <w:pPr>
              <w:pStyle w:val="GPSDefinitionTerm"/>
            </w:pPr>
            <w:r w:rsidRPr="006875AD">
              <w:t>"</w:t>
            </w:r>
            <w:r w:rsidRPr="00806F6A">
              <w:t>Upper Quartile</w:t>
            </w:r>
            <w:r w:rsidRPr="006875AD">
              <w:t>"</w:t>
            </w:r>
          </w:p>
        </w:tc>
        <w:tc>
          <w:tcPr>
            <w:tcW w:w="5670" w:type="dxa"/>
            <w:shd w:val="clear" w:color="auto" w:fill="auto"/>
          </w:tcPr>
          <w:p w:rsidR="00316487" w:rsidRPr="00806F6A" w:rsidRDefault="00316487" w:rsidP="00316487">
            <w:pPr>
              <w:pStyle w:val="GPsDefinition"/>
              <w:numPr>
                <w:ilvl w:val="0"/>
                <w:numId w:val="338"/>
              </w:numPr>
              <w:ind w:firstLine="5"/>
            </w:pPr>
            <w:r w:rsidRPr="00806F6A">
              <w:t>means, in respect of Benchmarked Rates, that based on an analysis of Equivalent Data, the Benchmarked Rates, as compared to the range of prices</w:t>
            </w:r>
            <w:r>
              <w:t xml:space="preserve"> for Comparable Services, are within the top 25% in terms of best value for money for the recipients of Comparable Services</w:t>
            </w:r>
          </w:p>
        </w:tc>
      </w:tr>
    </w:tbl>
    <w:p w:rsidR="00316487" w:rsidRDefault="00316487" w:rsidP="00316487">
      <w:pPr>
        <w:pStyle w:val="GPSL1SCHEDULEHeading"/>
        <w:numPr>
          <w:ilvl w:val="0"/>
          <w:numId w:val="323"/>
        </w:numPr>
      </w:pPr>
      <w:r w:rsidRPr="006875AD">
        <w:br w:type="page"/>
      </w:r>
      <w:r w:rsidRPr="006875AD">
        <w:lastRenderedPageBreak/>
        <w:t>BACKGROUND</w:t>
      </w:r>
    </w:p>
    <w:p w:rsidR="00316487" w:rsidRDefault="00316487" w:rsidP="00316487">
      <w:pPr>
        <w:pStyle w:val="GPSL2Numbered"/>
        <w:numPr>
          <w:ilvl w:val="1"/>
          <w:numId w:val="323"/>
        </w:numPr>
        <w:rPr>
          <w:b/>
        </w:rPr>
      </w:pPr>
      <w:r w:rsidRPr="006875AD">
        <w:t xml:space="preserve">The Supplier acknowledges that the Authority wishes to ensure that the Services, represent value for money to the taxpayer throughout the Framework Period.  </w:t>
      </w:r>
    </w:p>
    <w:p w:rsidR="00316487" w:rsidRDefault="00316487" w:rsidP="00316487">
      <w:pPr>
        <w:pStyle w:val="GPSL2Numbered"/>
        <w:numPr>
          <w:ilvl w:val="1"/>
          <w:numId w:val="323"/>
        </w:numPr>
      </w:pPr>
      <w:r w:rsidRPr="006875AD">
        <w:t xml:space="preserve">This Framework Schedule </w:t>
      </w:r>
      <w:r w:rsidR="0017008E">
        <w:t>12</w:t>
      </w:r>
      <w:r w:rsidRPr="006875AD">
        <w:t xml:space="preserve"> (</w:t>
      </w:r>
      <w:r w:rsidR="0017008E">
        <w:t>Continuous Improvement and Benchmarking)</w:t>
      </w:r>
      <w:r w:rsidRPr="006875AD">
        <w:t xml:space="preserve"> sets out the following processes to ensure this Framework Agreement represents value for money throughout the Framework Period and subsequently while any Call</w:t>
      </w:r>
      <w:r>
        <w:t xml:space="preserve"> </w:t>
      </w:r>
      <w:r w:rsidRPr="006875AD">
        <w:t>Off Agreements remain in force:</w:t>
      </w:r>
    </w:p>
    <w:p w:rsidR="00316487" w:rsidRDefault="00316487" w:rsidP="00316487">
      <w:pPr>
        <w:pStyle w:val="GPSL3numberedclause"/>
        <w:numPr>
          <w:ilvl w:val="2"/>
          <w:numId w:val="323"/>
        </w:numPr>
        <w:ind w:left="2127"/>
      </w:pPr>
      <w:r w:rsidRPr="006875AD">
        <w:t>Benchmarking;</w:t>
      </w:r>
    </w:p>
    <w:p w:rsidR="00316487" w:rsidRDefault="00316487" w:rsidP="00316487">
      <w:pPr>
        <w:pStyle w:val="GPSL3numberedclause"/>
        <w:numPr>
          <w:ilvl w:val="2"/>
          <w:numId w:val="323"/>
        </w:numPr>
        <w:ind w:left="2127"/>
      </w:pPr>
      <w:r w:rsidRPr="006875AD">
        <w:t>Continuous Improvement;</w:t>
      </w:r>
    </w:p>
    <w:p w:rsidR="00316487" w:rsidRDefault="00316487" w:rsidP="00316487">
      <w:pPr>
        <w:pStyle w:val="GPSL1SCHEDULEHeading"/>
        <w:numPr>
          <w:ilvl w:val="0"/>
          <w:numId w:val="323"/>
        </w:numPr>
      </w:pPr>
      <w:r w:rsidRPr="006875AD">
        <w:t>BENCHMARKING</w:t>
      </w:r>
    </w:p>
    <w:p w:rsidR="00316487" w:rsidRDefault="00316487" w:rsidP="00316487">
      <w:pPr>
        <w:pStyle w:val="GPSL2NumberedBoldHeading"/>
        <w:numPr>
          <w:ilvl w:val="1"/>
          <w:numId w:val="323"/>
        </w:numPr>
        <w:ind w:left="1418" w:hanging="709"/>
      </w:pPr>
      <w:r w:rsidRPr="006875AD">
        <w:t>Frequency Purpose</w:t>
      </w:r>
      <w:r>
        <w:t xml:space="preserve"> and Scope of Benchmark Review</w:t>
      </w:r>
    </w:p>
    <w:p w:rsidR="00316487" w:rsidRDefault="00316487" w:rsidP="00316487">
      <w:pPr>
        <w:pStyle w:val="GPSL3numberedclause"/>
        <w:numPr>
          <w:ilvl w:val="2"/>
          <w:numId w:val="323"/>
        </w:numPr>
        <w:ind w:left="2127"/>
      </w:pPr>
      <w:r w:rsidRPr="006875AD">
        <w:t>The Supplier shall carry out Benchmark Reviews of the Services when so requested by the Authority.</w:t>
      </w:r>
    </w:p>
    <w:p w:rsidR="00316487" w:rsidRDefault="00316487" w:rsidP="00316487">
      <w:pPr>
        <w:pStyle w:val="GPSL3numberedclause"/>
        <w:numPr>
          <w:ilvl w:val="2"/>
          <w:numId w:val="323"/>
        </w:numPr>
        <w:ind w:left="2127"/>
      </w:pPr>
      <w:r w:rsidRPr="006875AD">
        <w:t xml:space="preserve">The Authority shall not be entitled to request a Benchmark Review during the first </w:t>
      </w:r>
      <w:r w:rsidR="000A631F">
        <w:t>Eighteen</w:t>
      </w:r>
      <w:r w:rsidR="000A631F" w:rsidRPr="006875AD">
        <w:t xml:space="preserve"> </w:t>
      </w:r>
      <w:r w:rsidRPr="006875AD">
        <w:t>(</w:t>
      </w:r>
      <w:r w:rsidR="000A631F">
        <w:t>18</w:t>
      </w:r>
      <w:r w:rsidRPr="006875AD">
        <w:t xml:space="preserve">) Month period from the Framework Commencement Date nor at intervals of less than twelve (12) Months after any previous Benchmark Review. </w:t>
      </w:r>
    </w:p>
    <w:p w:rsidR="00316487" w:rsidRDefault="00316487" w:rsidP="00316487">
      <w:pPr>
        <w:pStyle w:val="GPSL3numberedclause"/>
        <w:numPr>
          <w:ilvl w:val="2"/>
          <w:numId w:val="323"/>
        </w:numPr>
        <w:ind w:left="2127"/>
      </w:pPr>
      <w:r w:rsidRPr="006875AD">
        <w:t>The purpose of a Benchmark Review will be to establish whether the Benchmarked Services are, individually and/or as a whole, Good Value.</w:t>
      </w:r>
    </w:p>
    <w:p w:rsidR="00316487" w:rsidRDefault="00316487" w:rsidP="00316487">
      <w:pPr>
        <w:pStyle w:val="GPSL3numberedclause"/>
        <w:numPr>
          <w:ilvl w:val="2"/>
          <w:numId w:val="323"/>
        </w:numPr>
        <w:ind w:left="2127"/>
      </w:pPr>
      <w:r w:rsidRPr="006875AD">
        <w:t>The Services that are to be the Benchmarked Services will be identified by the Authority in writing.</w:t>
      </w:r>
    </w:p>
    <w:p w:rsidR="00316487" w:rsidRDefault="00316487" w:rsidP="00316487">
      <w:pPr>
        <w:pStyle w:val="GPSL2NumberedBoldHeading"/>
        <w:numPr>
          <w:ilvl w:val="1"/>
          <w:numId w:val="323"/>
        </w:numPr>
        <w:ind w:left="1418" w:hanging="709"/>
      </w:pPr>
      <w:r>
        <w:t>Benchmarking Process</w:t>
      </w:r>
    </w:p>
    <w:p w:rsidR="00316487" w:rsidRDefault="00316487" w:rsidP="00316487">
      <w:pPr>
        <w:pStyle w:val="GPSL3numberedclause"/>
        <w:numPr>
          <w:ilvl w:val="2"/>
          <w:numId w:val="323"/>
        </w:numPr>
        <w:ind w:left="2127"/>
      </w:pPr>
      <w:r w:rsidRPr="006875AD">
        <w:t xml:space="preserve">The Supplier shall produce and send to the Authority for Approval, a draft plan for the Benchmark Review. </w:t>
      </w:r>
    </w:p>
    <w:p w:rsidR="00316487" w:rsidRDefault="00316487" w:rsidP="00316487">
      <w:pPr>
        <w:pStyle w:val="GPSL3numberedclause"/>
        <w:numPr>
          <w:ilvl w:val="2"/>
          <w:numId w:val="323"/>
        </w:numPr>
        <w:ind w:left="2127"/>
      </w:pPr>
      <w:bookmarkStart w:id="908" w:name="_Ref378674829"/>
      <w:r w:rsidRPr="006875AD">
        <w:t>The plan must include:</w:t>
      </w:r>
      <w:bookmarkEnd w:id="908"/>
    </w:p>
    <w:p w:rsidR="00316487" w:rsidRDefault="00316487" w:rsidP="00316487">
      <w:pPr>
        <w:pStyle w:val="GPSL4numberedclause"/>
        <w:numPr>
          <w:ilvl w:val="3"/>
          <w:numId w:val="323"/>
        </w:numPr>
        <w:ind w:left="2694" w:hanging="567"/>
      </w:pPr>
      <w:r w:rsidRPr="006875AD">
        <w:t>a proposed timetable for the Benchmark Review;</w:t>
      </w:r>
    </w:p>
    <w:p w:rsidR="00316487" w:rsidRDefault="00316487" w:rsidP="00316487">
      <w:pPr>
        <w:pStyle w:val="GPSL4numberedclause"/>
        <w:numPr>
          <w:ilvl w:val="3"/>
          <w:numId w:val="323"/>
        </w:numPr>
        <w:ind w:left="2694" w:hanging="567"/>
      </w:pPr>
      <w:r w:rsidRPr="006875AD">
        <w:t>a description of the benchmarking methodology to be used;</w:t>
      </w:r>
    </w:p>
    <w:p w:rsidR="00316487" w:rsidRDefault="00316487" w:rsidP="00316487">
      <w:pPr>
        <w:pStyle w:val="GPSL4numberedclause"/>
        <w:numPr>
          <w:ilvl w:val="3"/>
          <w:numId w:val="323"/>
        </w:numPr>
        <w:ind w:left="2694" w:hanging="567"/>
      </w:pPr>
      <w:r w:rsidRPr="006875AD">
        <w:t>a description that demonstrates objectively and transparently that the benchmarking methodology to be used is capable of fulfilling the benchmarking purpose; and</w:t>
      </w:r>
    </w:p>
    <w:p w:rsidR="00316487" w:rsidRDefault="00316487" w:rsidP="00316487">
      <w:pPr>
        <w:pStyle w:val="GPSL4numberedclause"/>
        <w:numPr>
          <w:ilvl w:val="3"/>
          <w:numId w:val="323"/>
        </w:numPr>
        <w:ind w:left="2694" w:hanging="567"/>
      </w:pPr>
      <w:r w:rsidRPr="006875AD">
        <w:t xml:space="preserve">a description of how the Supplier will scope and identify the Comparison Group. </w:t>
      </w:r>
    </w:p>
    <w:p w:rsidR="00316487" w:rsidRDefault="00316487" w:rsidP="00316487">
      <w:pPr>
        <w:pStyle w:val="GPSL3numberedclause"/>
        <w:numPr>
          <w:ilvl w:val="2"/>
          <w:numId w:val="323"/>
        </w:numPr>
        <w:ind w:left="2127"/>
      </w:pPr>
      <w:bookmarkStart w:id="909" w:name="_Ref378674797"/>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909"/>
    </w:p>
    <w:p w:rsidR="00316487" w:rsidRDefault="00316487" w:rsidP="00316487">
      <w:pPr>
        <w:pStyle w:val="GPSL3numberedclause"/>
        <w:numPr>
          <w:ilvl w:val="2"/>
          <w:numId w:val="323"/>
        </w:numPr>
        <w:ind w:left="2127"/>
      </w:pPr>
      <w:r w:rsidRPr="006875AD">
        <w:t>Where the Authority suggests amendments to the draft plan under paragraph</w:t>
      </w:r>
      <w:r w:rsidR="009365F7">
        <w:t xml:space="preserve"> </w:t>
      </w:r>
      <w:r w:rsidR="00F71B15">
        <w:fldChar w:fldCharType="begin"/>
      </w:r>
      <w:r w:rsidR="009365F7">
        <w:instrText xml:space="preserve"> REF _Ref378674797 \r \h </w:instrText>
      </w:r>
      <w:r w:rsidR="00F71B15">
        <w:fldChar w:fldCharType="separate"/>
      </w:r>
      <w:r w:rsidR="009365F7">
        <w:t>3.2.3</w:t>
      </w:r>
      <w:r w:rsidR="00F71B15">
        <w:fldChar w:fldCharType="end"/>
      </w:r>
      <w:r w:rsidRPr="006875AD">
        <w:t xml:space="preserve">, the Supplier must produce an amended draft plan.  </w:t>
      </w:r>
      <w:r>
        <w:t>P</w:t>
      </w:r>
      <w:r w:rsidRPr="006875AD">
        <w:t xml:space="preserve">aragraph </w:t>
      </w:r>
      <w:r w:rsidR="00F71B15">
        <w:fldChar w:fldCharType="begin"/>
      </w:r>
      <w:r w:rsidR="009365F7">
        <w:instrText xml:space="preserve"> REF _Ref378674829 \r \h </w:instrText>
      </w:r>
      <w:r w:rsidR="00F71B15">
        <w:fldChar w:fldCharType="separate"/>
      </w:r>
      <w:r w:rsidR="009365F7">
        <w:t>3.2.2</w:t>
      </w:r>
      <w:r w:rsidR="00F71B15">
        <w:fldChar w:fldCharType="end"/>
      </w:r>
      <w:r w:rsidRPr="006875AD">
        <w:t xml:space="preserve"> shall apply to any amended draft plan.</w:t>
      </w:r>
    </w:p>
    <w:p w:rsidR="00316487" w:rsidRDefault="00316487" w:rsidP="00316487">
      <w:pPr>
        <w:pStyle w:val="GPSL3numberedclause"/>
        <w:numPr>
          <w:ilvl w:val="2"/>
          <w:numId w:val="323"/>
        </w:numPr>
        <w:ind w:left="2127"/>
      </w:pPr>
      <w:r w:rsidRPr="006875AD">
        <w:lastRenderedPageBreak/>
        <w:t>Once it has received the Approval of the draft plan, the Supplier shall:</w:t>
      </w:r>
    </w:p>
    <w:p w:rsidR="00316487" w:rsidRDefault="00316487" w:rsidP="00316487">
      <w:pPr>
        <w:pStyle w:val="GPSL4numberedclause"/>
        <w:numPr>
          <w:ilvl w:val="3"/>
          <w:numId w:val="323"/>
        </w:numPr>
        <w:ind w:left="2694" w:hanging="567"/>
      </w:pPr>
      <w:r w:rsidRPr="006875AD">
        <w:t>finalise the Comparison Group and collect data relating to Comparable Rates. The selection of the Comparable Rates (both in terms of number and identity) shall be a matter for the Supplier's professional judgment using:</w:t>
      </w:r>
    </w:p>
    <w:p w:rsidR="00316487" w:rsidRDefault="00316487" w:rsidP="00316487">
      <w:pPr>
        <w:pStyle w:val="GPSL5numberedclause"/>
        <w:numPr>
          <w:ilvl w:val="4"/>
          <w:numId w:val="323"/>
        </w:numPr>
      </w:pPr>
      <w:r w:rsidRPr="006875AD">
        <w:t>market intelligence;</w:t>
      </w:r>
    </w:p>
    <w:p w:rsidR="00316487" w:rsidRDefault="00316487" w:rsidP="00316487">
      <w:pPr>
        <w:pStyle w:val="GPSL5numberedclause"/>
        <w:numPr>
          <w:ilvl w:val="4"/>
          <w:numId w:val="323"/>
        </w:numPr>
      </w:pPr>
      <w:r w:rsidRPr="006875AD">
        <w:t>the Supplier's own data and experience;</w:t>
      </w:r>
    </w:p>
    <w:p w:rsidR="00316487" w:rsidRDefault="00316487" w:rsidP="00316487">
      <w:pPr>
        <w:pStyle w:val="GPSL5numberedclause"/>
        <w:numPr>
          <w:ilvl w:val="4"/>
          <w:numId w:val="323"/>
        </w:numPr>
      </w:pPr>
      <w:r w:rsidRPr="006875AD">
        <w:t>relevant published information; and</w:t>
      </w:r>
    </w:p>
    <w:p w:rsidR="00316487" w:rsidRDefault="00316487" w:rsidP="00316487">
      <w:pPr>
        <w:pStyle w:val="GPSL5numberedclause"/>
        <w:numPr>
          <w:ilvl w:val="4"/>
          <w:numId w:val="323"/>
        </w:numPr>
      </w:pPr>
      <w:r>
        <w:t>pursuant</w:t>
      </w:r>
      <w:r w:rsidRPr="006875AD">
        <w:t xml:space="preserve"> to paragraph</w:t>
      </w:r>
      <w:r w:rsidR="00E06DA5">
        <w:t xml:space="preserve"> </w:t>
      </w:r>
      <w:r w:rsidR="00F71B15">
        <w:fldChar w:fldCharType="begin"/>
      </w:r>
      <w:r w:rsidR="00E06DA5">
        <w:instrText xml:space="preserve"> REF _Ref378674884 \r \h </w:instrText>
      </w:r>
      <w:r w:rsidR="00F71B15">
        <w:fldChar w:fldCharType="separate"/>
      </w:r>
      <w:r w:rsidR="00E06DA5">
        <w:t>3.2.7</w:t>
      </w:r>
      <w:r w:rsidR="00F71B15">
        <w:fldChar w:fldCharType="end"/>
      </w:r>
      <w:r w:rsidRPr="006875AD">
        <w:t xml:space="preserve"> below, information from other suppliers or purchasers on Comparable Rates;</w:t>
      </w:r>
    </w:p>
    <w:p w:rsidR="00316487" w:rsidRDefault="00316487" w:rsidP="00316487">
      <w:pPr>
        <w:pStyle w:val="GPSL4numberedclause"/>
        <w:numPr>
          <w:ilvl w:val="3"/>
          <w:numId w:val="323"/>
        </w:numPr>
        <w:ind w:left="2694" w:hanging="567"/>
      </w:pPr>
      <w:r w:rsidRPr="006875AD">
        <w:t xml:space="preserve">by applying the adjustment factors listed in </w:t>
      </w:r>
      <w:r w:rsidR="00E06DA5" w:rsidRPr="006875AD">
        <w:t>paragraph</w:t>
      </w:r>
      <w:r w:rsidR="00E06DA5">
        <w:t xml:space="preserve"> </w:t>
      </w:r>
      <w:r w:rsidR="00F71B15">
        <w:fldChar w:fldCharType="begin"/>
      </w:r>
      <w:r w:rsidR="00E06DA5">
        <w:instrText xml:space="preserve"> REF _Ref378674884 \r \h </w:instrText>
      </w:r>
      <w:r w:rsidR="00F71B15">
        <w:fldChar w:fldCharType="separate"/>
      </w:r>
      <w:r w:rsidR="00E06DA5">
        <w:t>3.2.7</w:t>
      </w:r>
      <w:r w:rsidR="00F71B15">
        <w:fldChar w:fldCharType="end"/>
      </w:r>
      <w:r w:rsidRPr="006875AD">
        <w:t xml:space="preserve"> and from an analysis of the Comparable Rates</w:t>
      </w:r>
      <w:r>
        <w:t>,</w:t>
      </w:r>
      <w:r w:rsidRPr="006875AD">
        <w:t xml:space="preserve"> derive the Equivalent Data;</w:t>
      </w:r>
    </w:p>
    <w:p w:rsidR="00316487" w:rsidRDefault="00316487" w:rsidP="00316487">
      <w:pPr>
        <w:pStyle w:val="GPSL4numberedclause"/>
        <w:numPr>
          <w:ilvl w:val="3"/>
          <w:numId w:val="323"/>
        </w:numPr>
        <w:ind w:left="2694" w:hanging="567"/>
      </w:pPr>
      <w:r w:rsidRPr="006875AD">
        <w:t xml:space="preserve">using the Equivalent Data </w:t>
      </w:r>
      <w:r>
        <w:t xml:space="preserve">to </w:t>
      </w:r>
      <w:r w:rsidRPr="006875AD">
        <w:t>calculate the Upper Quartile;</w:t>
      </w:r>
    </w:p>
    <w:p w:rsidR="00316487" w:rsidRDefault="00316487" w:rsidP="00316487">
      <w:pPr>
        <w:pStyle w:val="GPSL4numberedclause"/>
        <w:numPr>
          <w:ilvl w:val="3"/>
          <w:numId w:val="323"/>
        </w:numPr>
        <w:ind w:left="2694" w:hanging="567"/>
      </w:pPr>
      <w:r w:rsidRPr="006875AD">
        <w:t>determine whether or not each Benchmarked Rate is, and/or the Benchmarked Rates as a whole are, Good Value.</w:t>
      </w:r>
    </w:p>
    <w:p w:rsidR="00316487" w:rsidRDefault="00316487" w:rsidP="00316487">
      <w:pPr>
        <w:pStyle w:val="GPSL3numberedclause"/>
        <w:numPr>
          <w:ilvl w:val="2"/>
          <w:numId w:val="323"/>
        </w:numPr>
        <w:ind w:left="2127"/>
      </w:pPr>
      <w:r w:rsidRPr="006875AD">
        <w:t>The Supplier agrees to use its reasonable endeavours to obtain information from other suppliers or purchasers on Comparable Rates.</w:t>
      </w:r>
    </w:p>
    <w:p w:rsidR="00316487" w:rsidRDefault="00316487" w:rsidP="00316487">
      <w:pPr>
        <w:pStyle w:val="GPSL3numberedclause"/>
        <w:numPr>
          <w:ilvl w:val="2"/>
          <w:numId w:val="323"/>
        </w:numPr>
        <w:ind w:left="2127"/>
      </w:pPr>
      <w:bookmarkStart w:id="910" w:name="_Ref378674884"/>
      <w:r w:rsidRPr="006875AD">
        <w:t>In carrying out the benchmarking analysis the Supplier may have regard to the following matters when performing a comparative assessment of the Benchmarked Rates and the Comparable Rates in order to derive Equivalent Data:</w:t>
      </w:r>
      <w:bookmarkEnd w:id="910"/>
    </w:p>
    <w:p w:rsidR="00316487" w:rsidRDefault="00316487" w:rsidP="00316487">
      <w:pPr>
        <w:pStyle w:val="GPSL4numberedclause"/>
        <w:numPr>
          <w:ilvl w:val="3"/>
          <w:numId w:val="323"/>
        </w:numPr>
        <w:ind w:left="2694" w:hanging="567"/>
      </w:pPr>
      <w:r w:rsidRPr="006875AD">
        <w:t>the contractual terms and business environment under which the Comparable Rates are being provided (including the scale and geographical spread of the customers);</w:t>
      </w:r>
    </w:p>
    <w:p w:rsidR="00316487" w:rsidRDefault="00316487" w:rsidP="00316487">
      <w:pPr>
        <w:pStyle w:val="GPSL4numberedclause"/>
        <w:numPr>
          <w:ilvl w:val="3"/>
          <w:numId w:val="323"/>
        </w:numPr>
        <w:ind w:left="2694" w:hanging="567"/>
      </w:pPr>
      <w:r w:rsidRPr="006875AD">
        <w:t>exchange rates;</w:t>
      </w:r>
    </w:p>
    <w:p w:rsidR="00316487" w:rsidRDefault="00316487" w:rsidP="00316487">
      <w:pPr>
        <w:pStyle w:val="GPSL4numberedclause"/>
        <w:numPr>
          <w:ilvl w:val="3"/>
          <w:numId w:val="323"/>
        </w:numPr>
        <w:ind w:left="2694" w:hanging="567"/>
      </w:pPr>
      <w:r w:rsidRPr="006875AD">
        <w:t>any other factors reasonably identified by the Supplier, which, if not taken into consideration, could unfairly cause the Supplier's pricing to appear non-competitive.</w:t>
      </w:r>
    </w:p>
    <w:p w:rsidR="00316487" w:rsidRDefault="00316487" w:rsidP="00316487">
      <w:pPr>
        <w:pStyle w:val="GPSL2NumberedBoldHeading"/>
        <w:numPr>
          <w:ilvl w:val="1"/>
          <w:numId w:val="323"/>
        </w:numPr>
        <w:ind w:left="1418" w:hanging="709"/>
      </w:pPr>
      <w:r w:rsidRPr="006875AD">
        <w:t>Benchmarking Report:</w:t>
      </w:r>
    </w:p>
    <w:p w:rsidR="00316487" w:rsidRDefault="00316487" w:rsidP="00316487">
      <w:pPr>
        <w:pStyle w:val="GPSL3numberedclause"/>
        <w:numPr>
          <w:ilvl w:val="2"/>
          <w:numId w:val="323"/>
        </w:numPr>
        <w:ind w:left="2127"/>
      </w:pPr>
      <w:r w:rsidRPr="006875AD">
        <w:t xml:space="preserve">For the purposes of this Framework Schedule </w:t>
      </w:r>
      <w:r>
        <w:t>12</w:t>
      </w:r>
      <w:r w:rsidRPr="006875AD">
        <w:t xml:space="preserve"> </w:t>
      </w:r>
      <w:r>
        <w:rPr>
          <w:b/>
        </w:rPr>
        <w:t>“</w:t>
      </w:r>
      <w:r w:rsidRPr="002B49ED">
        <w:rPr>
          <w:b/>
        </w:rPr>
        <w:t>Benchmarking Report”</w:t>
      </w:r>
      <w:r w:rsidRPr="006875AD">
        <w:t xml:space="preserve"> shall mean the report produced by the Supplier following the Benchmark Review and as further described in this Framework Schedule </w:t>
      </w:r>
      <w:r>
        <w:t>12</w:t>
      </w:r>
      <w:r w:rsidRPr="006875AD">
        <w:t>;</w:t>
      </w:r>
    </w:p>
    <w:p w:rsidR="00316487" w:rsidRDefault="00316487" w:rsidP="00316487">
      <w:pPr>
        <w:pStyle w:val="GPSL3numberedclause"/>
        <w:numPr>
          <w:ilvl w:val="2"/>
          <w:numId w:val="323"/>
        </w:numPr>
        <w:ind w:left="2127"/>
      </w:pPr>
      <w:r w:rsidRPr="006875AD">
        <w:t xml:space="preserve">The Supplier shall prepare a Benchmarking Report and deliver it to the Authority, at the time specified in the plan Approved </w:t>
      </w:r>
      <w:r>
        <w:t>pursuant to</w:t>
      </w:r>
      <w:r w:rsidRPr="006875AD">
        <w:t xml:space="preserve"> </w:t>
      </w:r>
      <w:r w:rsidR="00C52C71" w:rsidRPr="006875AD">
        <w:t>paragraph</w:t>
      </w:r>
      <w:r w:rsidR="00C52C71">
        <w:t xml:space="preserve"> </w:t>
      </w:r>
      <w:r w:rsidR="00F71B15">
        <w:fldChar w:fldCharType="begin"/>
      </w:r>
      <w:r w:rsidR="00C52C71">
        <w:instrText xml:space="preserve"> REF _Ref378674797 \r \h </w:instrText>
      </w:r>
      <w:r w:rsidR="00F71B15">
        <w:fldChar w:fldCharType="separate"/>
      </w:r>
      <w:r w:rsidR="00C52C71">
        <w:t>3.2.3</w:t>
      </w:r>
      <w:r w:rsidR="00F71B15">
        <w:fldChar w:fldCharType="end"/>
      </w:r>
      <w:r w:rsidRPr="006875AD">
        <w:t xml:space="preserve"> of this Schedule</w:t>
      </w:r>
      <w:r>
        <w:t xml:space="preserve"> 12</w:t>
      </w:r>
      <w:r w:rsidRPr="006875AD">
        <w:t>, setting out its findings.  Those findings shall be required to:</w:t>
      </w:r>
    </w:p>
    <w:p w:rsidR="00316487" w:rsidRDefault="00316487" w:rsidP="00316487">
      <w:pPr>
        <w:pStyle w:val="GPSL4numberedclause"/>
        <w:numPr>
          <w:ilvl w:val="3"/>
          <w:numId w:val="323"/>
        </w:numPr>
        <w:ind w:left="2694" w:hanging="567"/>
      </w:pPr>
      <w:r w:rsidRPr="006875AD">
        <w:t xml:space="preserve">include a finding as to whether or not a Benchmarked </w:t>
      </w:r>
      <w:r w:rsidRPr="00962F60">
        <w:t xml:space="preserve">Service and/or whether the Benchmarked </w:t>
      </w:r>
      <w:r w:rsidRPr="006875AD">
        <w:t>Services as a whole are, Good Value;</w:t>
      </w:r>
    </w:p>
    <w:p w:rsidR="00316487" w:rsidRDefault="00316487" w:rsidP="00316487">
      <w:pPr>
        <w:pStyle w:val="GPSL4numberedclause"/>
        <w:numPr>
          <w:ilvl w:val="3"/>
          <w:numId w:val="323"/>
        </w:numPr>
        <w:ind w:left="2694" w:hanging="567"/>
      </w:pPr>
      <w:r w:rsidRPr="006875AD">
        <w:t xml:space="preserve">if any of the Benchmarked Services are, individually or as a whole, not Good Value, specify the changes that would be </w:t>
      </w:r>
      <w:r w:rsidRPr="006875AD">
        <w:lastRenderedPageBreak/>
        <w:t xml:space="preserve">required to make that Benchmarked Service or the Benchmarked Services as a whole Good Value; and </w:t>
      </w:r>
    </w:p>
    <w:p w:rsidR="00316487" w:rsidRDefault="00316487" w:rsidP="00316487">
      <w:pPr>
        <w:pStyle w:val="GPSL4numberedclause"/>
        <w:numPr>
          <w:ilvl w:val="3"/>
          <w:numId w:val="323"/>
        </w:numPr>
        <w:ind w:left="2694" w:hanging="567"/>
      </w:pPr>
      <w:r w:rsidRPr="006875AD">
        <w:t>include sufficient detail and transparency so that the Authority can interpret and understand how the Supplier has calculated whether or not the Benchmarked Services are, individually or as a whole, Good Value.</w:t>
      </w:r>
    </w:p>
    <w:p w:rsidR="00316487" w:rsidRDefault="00316487" w:rsidP="00316487">
      <w:pPr>
        <w:pStyle w:val="GPSL3numberedclause"/>
        <w:numPr>
          <w:ilvl w:val="2"/>
          <w:numId w:val="323"/>
        </w:numPr>
        <w:ind w:left="2127"/>
      </w:pPr>
      <w:r w:rsidRPr="006875AD">
        <w:t xml:space="preserve">The Parties agree that any changes required to this Framework Agreement identified in the Benchmarking Report may be implemented at the direction of the Authority in accordance with Clause </w:t>
      </w:r>
      <w:r w:rsidR="00F71B15">
        <w:fldChar w:fldCharType="begin"/>
      </w:r>
      <w:r>
        <w:instrText xml:space="preserve"> REF _Ref364957128 \r \h </w:instrText>
      </w:r>
      <w:r w:rsidR="00F71B15">
        <w:fldChar w:fldCharType="separate"/>
      </w:r>
      <w:r>
        <w:t>16.1</w:t>
      </w:r>
      <w:r w:rsidR="00F71B15">
        <w:fldChar w:fldCharType="end"/>
      </w:r>
      <w:r>
        <w:t xml:space="preserve"> (Variation Procedure)</w:t>
      </w:r>
      <w:r w:rsidRPr="006875AD">
        <w:t>.</w:t>
      </w:r>
    </w:p>
    <w:p w:rsidR="00316487" w:rsidRDefault="00316487" w:rsidP="00316487">
      <w:pPr>
        <w:pStyle w:val="GPSL3numberedclause"/>
        <w:numPr>
          <w:ilvl w:val="2"/>
          <w:numId w:val="323"/>
        </w:numPr>
        <w:ind w:left="2127"/>
      </w:pPr>
      <w:r w:rsidRPr="006875AD">
        <w:t>The Authority shall be entitled to publish the results of any benchmarking of the Framework Prices to Other Contracting Bodies.</w:t>
      </w:r>
    </w:p>
    <w:p w:rsidR="00316487" w:rsidRDefault="00316487" w:rsidP="00316487">
      <w:pPr>
        <w:pStyle w:val="GPSL1SCHEDULEHeading"/>
        <w:numPr>
          <w:ilvl w:val="0"/>
          <w:numId w:val="323"/>
        </w:numPr>
      </w:pPr>
      <w:r w:rsidRPr="006875AD">
        <w:t>CONTINUOUS IMPROVEMENT</w:t>
      </w:r>
    </w:p>
    <w:p w:rsidR="00316487" w:rsidRDefault="00316487" w:rsidP="00316487">
      <w:pPr>
        <w:pStyle w:val="GPSL2Numbered"/>
        <w:numPr>
          <w:ilvl w:val="1"/>
          <w:numId w:val="323"/>
        </w:numPr>
      </w:pPr>
      <w:bookmarkStart w:id="911" w:name="_Ref378675009"/>
      <w:r w:rsidRPr="006875AD">
        <w:t>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Bodies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bookmarkEnd w:id="911"/>
    </w:p>
    <w:p w:rsidR="00316487" w:rsidRDefault="00316487" w:rsidP="00316487">
      <w:pPr>
        <w:pStyle w:val="GPSL2Numbered"/>
        <w:numPr>
          <w:ilvl w:val="1"/>
          <w:numId w:val="323"/>
        </w:numPr>
      </w:pPr>
      <w:bookmarkStart w:id="912" w:name="_Ref378675075"/>
      <w:r w:rsidRPr="006875AD">
        <w:t>Without limiting paragraph</w:t>
      </w:r>
      <w:r w:rsidR="00C52C71">
        <w:t xml:space="preserve"> </w:t>
      </w:r>
      <w:r w:rsidR="00F71B15">
        <w:fldChar w:fldCharType="begin"/>
      </w:r>
      <w:r w:rsidR="00C52C71">
        <w:instrText xml:space="preserve"> REF _Ref378675009 \r \h </w:instrText>
      </w:r>
      <w:r w:rsidR="00F71B15">
        <w:fldChar w:fldCharType="separate"/>
      </w:r>
      <w:r w:rsidR="00C52C71">
        <w:t>4.1</w:t>
      </w:r>
      <w:r w:rsidR="00F71B15">
        <w:fldChar w:fldCharType="end"/>
      </w:r>
      <w:r w:rsidRPr="006875AD">
        <w:t xml:space="preserve">, the Supplier shall produce at the start of each Contract Year a plan for improving the provision of Services and/or reducing the Charges produced by the Supplier pursuant to this Schedule </w:t>
      </w:r>
      <w:r>
        <w:t>12</w:t>
      </w:r>
      <w:r w:rsidRPr="006875AD">
        <w:t xml:space="preserve"> 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912"/>
    </w:p>
    <w:p w:rsidR="00316487" w:rsidRDefault="00316487" w:rsidP="00316487">
      <w:pPr>
        <w:pStyle w:val="GPSL3numberedclause"/>
        <w:numPr>
          <w:ilvl w:val="2"/>
          <w:numId w:val="323"/>
        </w:numPr>
        <w:ind w:left="2127"/>
      </w:pPr>
      <w:r w:rsidRPr="006875AD">
        <w:t>identifying the emergence of new and evolving technologies which could improve the Services;</w:t>
      </w:r>
    </w:p>
    <w:p w:rsidR="00316487" w:rsidRDefault="00316487" w:rsidP="00316487">
      <w:pPr>
        <w:pStyle w:val="GPSL3numberedclause"/>
        <w:numPr>
          <w:ilvl w:val="2"/>
          <w:numId w:val="323"/>
        </w:numPr>
        <w:ind w:left="2127"/>
      </w:pPr>
      <w:r w:rsidRPr="006875AD">
        <w:t>identifying changes in behaviour at Contracting Bodies that result in a cost saving and a reduction in the Framework Prices;</w:t>
      </w:r>
    </w:p>
    <w:p w:rsidR="00316487" w:rsidRDefault="00316487" w:rsidP="00316487">
      <w:pPr>
        <w:pStyle w:val="GPSL3numberedclause"/>
        <w:numPr>
          <w:ilvl w:val="2"/>
          <w:numId w:val="323"/>
        </w:numPr>
        <w:ind w:left="2127"/>
      </w:pPr>
      <w:r w:rsidRPr="006875AD">
        <w:t>improving the way in which the Services are sold via the Framework Agreement that may result in reduced Framework Prices;</w:t>
      </w:r>
    </w:p>
    <w:p w:rsidR="00316487" w:rsidRDefault="00316487" w:rsidP="00316487">
      <w:pPr>
        <w:pStyle w:val="GPSL3numberedclause"/>
        <w:numPr>
          <w:ilvl w:val="2"/>
          <w:numId w:val="323"/>
        </w:numPr>
        <w:ind w:left="2127"/>
      </w:pPr>
      <w:r w:rsidRPr="006875AD">
        <w:t>identifying and implementing efficiencies in the Supplier's internal processes and administration that may lead to cost savings and reductions in the Framework Prices;</w:t>
      </w:r>
    </w:p>
    <w:p w:rsidR="00316487" w:rsidRDefault="00316487" w:rsidP="00316487">
      <w:pPr>
        <w:pStyle w:val="GPSL3numberedclause"/>
        <w:numPr>
          <w:ilvl w:val="2"/>
          <w:numId w:val="323"/>
        </w:numPr>
        <w:ind w:left="2127"/>
      </w:pPr>
      <w:r w:rsidRPr="006875AD">
        <w:t>identifying and implementing efficiencies in the way the Authority and/or Contracting Bodies interact with the Supplier that may lead to cost savings and reductions in the Framework Prices;</w:t>
      </w:r>
    </w:p>
    <w:p w:rsidR="00316487" w:rsidRDefault="00316487" w:rsidP="00316487">
      <w:pPr>
        <w:pStyle w:val="GPSL3numberedclause"/>
        <w:numPr>
          <w:ilvl w:val="2"/>
          <w:numId w:val="323"/>
        </w:numPr>
        <w:ind w:left="2127"/>
      </w:pPr>
      <w:r w:rsidRPr="006875AD">
        <w:t>identifying and implementing efficiencies in the Supplier's supply chain that may lead to cost savings and reductions in the Framework Prices;</w:t>
      </w:r>
    </w:p>
    <w:p w:rsidR="00316487" w:rsidRDefault="00316487" w:rsidP="00316487">
      <w:pPr>
        <w:pStyle w:val="GPSL3numberedclause"/>
        <w:numPr>
          <w:ilvl w:val="2"/>
          <w:numId w:val="323"/>
        </w:numPr>
        <w:ind w:left="2127"/>
      </w:pPr>
      <w:proofErr w:type="spellStart"/>
      <w:r w:rsidRPr="006875AD">
        <w:t>baselining</w:t>
      </w:r>
      <w:proofErr w:type="spellEnd"/>
      <w:r w:rsidRPr="006875AD">
        <w:t xml:space="preserve"> the quality of the Supplier's Services and its cost structure and demonstrating the efficacy of its Continuous Improvement Plan on each element during the Framework Period; and</w:t>
      </w:r>
    </w:p>
    <w:p w:rsidR="00316487" w:rsidRDefault="00316487" w:rsidP="00316487">
      <w:pPr>
        <w:pStyle w:val="GPSL3numberedclause"/>
        <w:numPr>
          <w:ilvl w:val="2"/>
          <w:numId w:val="323"/>
        </w:numPr>
        <w:ind w:left="2127"/>
      </w:pPr>
      <w:r w:rsidRPr="006875AD">
        <w:lastRenderedPageBreak/>
        <w:t>measuring and reducing the sustainability impacts of the Supplier's operations and supply-chains pertaining to the Services, and identifying opportunities to assist Contracting Bodies in meeting their sustainability objectives.</w:t>
      </w:r>
    </w:p>
    <w:p w:rsidR="00316487" w:rsidRDefault="00316487" w:rsidP="00316487">
      <w:pPr>
        <w:pStyle w:val="GPSL2Numbered"/>
        <w:numPr>
          <w:ilvl w:val="1"/>
          <w:numId w:val="323"/>
        </w:numPr>
      </w:pPr>
      <w:r w:rsidRPr="006875AD">
        <w:t>The initial Continuous Improvement Plan for the first (1</w:t>
      </w:r>
      <w:r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rsidR="00316487" w:rsidRDefault="00316487" w:rsidP="00316487">
      <w:pPr>
        <w:pStyle w:val="GPSL2Numbered"/>
        <w:numPr>
          <w:ilvl w:val="1"/>
          <w:numId w:val="323"/>
        </w:numPr>
      </w:pPr>
      <w:bookmarkStart w:id="913" w:name="_Ref378675048"/>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913"/>
    </w:p>
    <w:p w:rsidR="00316487" w:rsidRDefault="00316487" w:rsidP="00316487">
      <w:pPr>
        <w:pStyle w:val="GPSL2Numbered"/>
        <w:numPr>
          <w:ilvl w:val="1"/>
          <w:numId w:val="323"/>
        </w:numPr>
      </w:pPr>
      <w:r w:rsidRPr="006875AD">
        <w:t>Once the first Continuous Improvement Plan has been Approved in accordance with paragraph</w:t>
      </w:r>
      <w:r w:rsidR="00C52C71">
        <w:t xml:space="preserve"> </w:t>
      </w:r>
      <w:r w:rsidR="00F71B15">
        <w:fldChar w:fldCharType="begin"/>
      </w:r>
      <w:r w:rsidR="00C52C71">
        <w:instrText xml:space="preserve"> REF _Ref378675048 \r \h </w:instrText>
      </w:r>
      <w:r w:rsidR="00F71B15">
        <w:fldChar w:fldCharType="separate"/>
      </w:r>
      <w:r w:rsidR="00C52C71">
        <w:t>4.4</w:t>
      </w:r>
      <w:r w:rsidR="00F71B15">
        <w:fldChar w:fldCharType="end"/>
      </w:r>
      <w:r w:rsidRPr="006875AD">
        <w:t>:</w:t>
      </w:r>
    </w:p>
    <w:p w:rsidR="00316487" w:rsidRDefault="00316487" w:rsidP="00316487">
      <w:pPr>
        <w:pStyle w:val="GPSL3numberedclause"/>
        <w:numPr>
          <w:ilvl w:val="2"/>
          <w:numId w:val="323"/>
        </w:numPr>
        <w:ind w:left="2127"/>
      </w:pPr>
      <w:r w:rsidRPr="006875AD">
        <w:t>the Supplier shall use all reasonable endeavours to implement any agreed deliverables in accordance with the Continuous Improvement Plan; and</w:t>
      </w:r>
    </w:p>
    <w:p w:rsidR="00316487" w:rsidRDefault="00316487" w:rsidP="00316487">
      <w:pPr>
        <w:pStyle w:val="GPSL3numberedclause"/>
        <w:numPr>
          <w:ilvl w:val="2"/>
          <w:numId w:val="323"/>
        </w:numPr>
        <w:ind w:left="2127"/>
      </w:pPr>
      <w:r w:rsidRPr="006875AD">
        <w:t>the Parties agree to meet  as soon as reasonably possible following the start of each quarter (or as otherwise agreed between the Authority and the Supplier) to review the Supplier's progress against the Continuous Improvement Plan.</w:t>
      </w:r>
    </w:p>
    <w:p w:rsidR="00316487" w:rsidRDefault="00316487" w:rsidP="00316487">
      <w:pPr>
        <w:pStyle w:val="GPSL2Numbered"/>
        <w:numPr>
          <w:ilvl w:val="1"/>
          <w:numId w:val="323"/>
        </w:numPr>
      </w:pPr>
      <w:r w:rsidRPr="006875AD">
        <w:t>The Supplier shall update the Continuous Improvement Plan as and when required but at least once every Contract Year (after the first (1</w:t>
      </w:r>
      <w:r w:rsidRPr="002B49ED">
        <w:rPr>
          <w:vertAlign w:val="superscript"/>
        </w:rPr>
        <w:t>st</w:t>
      </w:r>
      <w:r w:rsidRPr="006875AD">
        <w:t>) Contract Year) in accordance with the procedure and timescales set out in paragraph</w:t>
      </w:r>
      <w:r w:rsidR="00C52C71">
        <w:t xml:space="preserve"> </w:t>
      </w:r>
      <w:r w:rsidR="00F71B15">
        <w:fldChar w:fldCharType="begin"/>
      </w:r>
      <w:r w:rsidR="00C52C71">
        <w:instrText xml:space="preserve"> REF _Ref378675075 \r \h </w:instrText>
      </w:r>
      <w:r w:rsidR="00F71B15">
        <w:fldChar w:fldCharType="separate"/>
      </w:r>
      <w:r w:rsidR="00C52C71">
        <w:t>4.2</w:t>
      </w:r>
      <w:r w:rsidR="00F71B15">
        <w:fldChar w:fldCharType="end"/>
      </w:r>
      <w:r w:rsidRPr="006875AD">
        <w:t xml:space="preserve">. </w:t>
      </w:r>
    </w:p>
    <w:p w:rsidR="00316487" w:rsidRDefault="00316487" w:rsidP="00316487">
      <w:pPr>
        <w:pStyle w:val="GPSL2Numbered"/>
        <w:numPr>
          <w:ilvl w:val="1"/>
          <w:numId w:val="323"/>
        </w:numPr>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316487" w:rsidRDefault="00316487" w:rsidP="00316487">
      <w:pPr>
        <w:pStyle w:val="GPSL2Numbered"/>
        <w:numPr>
          <w:ilvl w:val="1"/>
          <w:numId w:val="323"/>
        </w:numPr>
      </w:pPr>
      <w:r w:rsidRPr="006875AD">
        <w:t xml:space="preserve">Should the Supplier's costs in providing the Services to Contracting Bodies be reduced as a result of any changes implemented by the Authority and/or Contracting Bodies, all of the cost savings shall be passed on to Contracting Bodies by way of a consequential and immediate reduction in the Framework Prices for the Services. </w:t>
      </w:r>
    </w:p>
    <w:bookmarkEnd w:id="902"/>
    <w:bookmarkEnd w:id="903"/>
    <w:p w:rsidR="004F67FD" w:rsidRPr="004F67FD" w:rsidRDefault="004F67FD" w:rsidP="00316487">
      <w:pPr>
        <w:pStyle w:val="GPSSchTitleandNumber"/>
        <w:rPr>
          <w:color w:val="FFFFFF"/>
          <w:sz w:val="16"/>
          <w:szCs w:val="16"/>
        </w:rPr>
      </w:pPr>
    </w:p>
    <w:p w:rsidR="00932F6E" w:rsidRDefault="00C509B1" w:rsidP="007E2634">
      <w:pPr>
        <w:pStyle w:val="GPSSchTitleandNumber"/>
      </w:pPr>
      <w:bookmarkStart w:id="914" w:name="_Toc366085198"/>
      <w:r>
        <w:rPr>
          <w:rFonts w:hint="eastAsia"/>
        </w:rPr>
        <w:br w:type="page"/>
      </w:r>
      <w:bookmarkStart w:id="915" w:name="_Toc379488104"/>
      <w:bookmarkStart w:id="916" w:name="_Toc380052206"/>
      <w:bookmarkStart w:id="917" w:name="_Toc380052717"/>
      <w:bookmarkStart w:id="918" w:name="_Toc391545402"/>
      <w:r w:rsidR="00932F6E">
        <w:lastRenderedPageBreak/>
        <w:t xml:space="preserve">FRAMEWORK SCHEDULE 13: </w:t>
      </w:r>
      <w:r w:rsidR="000822F5">
        <w:t xml:space="preserve">TEMPLATE </w:t>
      </w:r>
      <w:r w:rsidR="00932F6E">
        <w:t>GUARANTEE</w:t>
      </w:r>
      <w:bookmarkEnd w:id="914"/>
      <w:bookmarkEnd w:id="915"/>
      <w:bookmarkEnd w:id="916"/>
      <w:bookmarkEnd w:id="917"/>
      <w:bookmarkEnd w:id="918"/>
    </w:p>
    <w:p w:rsidR="00932F6E" w:rsidRDefault="00932F6E" w:rsidP="00932F6E">
      <w:pPr>
        <w:pStyle w:val="GPSL2Indent"/>
      </w:pPr>
      <w:r w:rsidRPr="003E1E93">
        <w:rPr>
          <w:b/>
          <w:i/>
          <w:highlight w:val="green"/>
        </w:rPr>
        <w:t xml:space="preserve">[Guidance Note: this is a draft form of guarantee which can be used </w:t>
      </w:r>
      <w:r w:rsidR="000822F5">
        <w:rPr>
          <w:b/>
          <w:i/>
          <w:highlight w:val="green"/>
        </w:rPr>
        <w:t xml:space="preserve">by the Authority </w:t>
      </w:r>
      <w:r w:rsidRPr="003E1E93">
        <w:rPr>
          <w:b/>
          <w:i/>
          <w:highlight w:val="green"/>
        </w:rPr>
        <w:t xml:space="preserve">to procure a Framework Guarantee or </w:t>
      </w:r>
      <w:r w:rsidR="000822F5">
        <w:rPr>
          <w:b/>
          <w:i/>
          <w:highlight w:val="green"/>
        </w:rPr>
        <w:t xml:space="preserve">by a Customer to procure </w:t>
      </w:r>
      <w:r w:rsidRPr="003E1E93">
        <w:rPr>
          <w:b/>
          <w:i/>
          <w:highlight w:val="green"/>
        </w:rPr>
        <w:t>a Call Off Guarantee</w:t>
      </w:r>
      <w:r w:rsidR="00AA1756">
        <w:rPr>
          <w:b/>
          <w:i/>
          <w:highlight w:val="green"/>
        </w:rPr>
        <w:t xml:space="preserve"> should one be required.</w:t>
      </w:r>
      <w:r w:rsidRPr="003E1E93">
        <w:rPr>
          <w:b/>
          <w:i/>
          <w:highlight w:val="green"/>
        </w:rPr>
        <w:t xml:space="preserve"> </w:t>
      </w:r>
      <w:r w:rsidR="00AA1756">
        <w:rPr>
          <w:b/>
          <w:i/>
          <w:highlight w:val="green"/>
        </w:rPr>
        <w:t xml:space="preserve">Therefore this template </w:t>
      </w:r>
      <w:r w:rsidRPr="003E1E93">
        <w:rPr>
          <w:b/>
          <w:i/>
          <w:highlight w:val="green"/>
        </w:rPr>
        <w:t>will need to be amended to reflect the Beneficiary’s requirements. See Clause</w:t>
      </w:r>
      <w:r>
        <w:rPr>
          <w:b/>
          <w:i/>
          <w:highlight w:val="green"/>
        </w:rPr>
        <w:t xml:space="preserve"> </w:t>
      </w:r>
      <w:r w:rsidR="00F71B15">
        <w:rPr>
          <w:b/>
          <w:i/>
          <w:highlight w:val="green"/>
        </w:rPr>
        <w:fldChar w:fldCharType="begin"/>
      </w:r>
      <w:r>
        <w:rPr>
          <w:b/>
          <w:i/>
          <w:highlight w:val="green"/>
        </w:rPr>
        <w:instrText xml:space="preserve"> REF _Ref364954598 \r \h </w:instrText>
      </w:r>
      <w:r w:rsidR="00F71B15">
        <w:rPr>
          <w:b/>
          <w:i/>
          <w:highlight w:val="green"/>
        </w:rPr>
      </w:r>
      <w:r w:rsidR="00F71B15">
        <w:rPr>
          <w:b/>
          <w:i/>
          <w:highlight w:val="green"/>
        </w:rPr>
        <w:fldChar w:fldCharType="separate"/>
      </w:r>
      <w:r w:rsidR="00B3040B">
        <w:rPr>
          <w:b/>
          <w:i/>
          <w:highlight w:val="green"/>
        </w:rPr>
        <w:t>7</w:t>
      </w:r>
      <w:r w:rsidR="00F71B15">
        <w:rPr>
          <w:b/>
          <w:i/>
          <w:highlight w:val="green"/>
        </w:rPr>
        <w:fldChar w:fldCharType="end"/>
      </w:r>
      <w:r>
        <w:rPr>
          <w:b/>
          <w:i/>
          <w:highlight w:val="green"/>
        </w:rPr>
        <w:t xml:space="preserve"> o</w:t>
      </w:r>
      <w:r w:rsidRPr="003E1E93">
        <w:rPr>
          <w:b/>
          <w:i/>
          <w:highlight w:val="green"/>
        </w:rPr>
        <w:t xml:space="preserve">f the </w:t>
      </w:r>
      <w:r>
        <w:rPr>
          <w:b/>
          <w:i/>
          <w:highlight w:val="green"/>
        </w:rPr>
        <w:t xml:space="preserve">Framework Agreement and Clause 4 </w:t>
      </w:r>
      <w:r w:rsidRPr="003E1E93">
        <w:rPr>
          <w:b/>
          <w:i/>
          <w:highlight w:val="green"/>
        </w:rPr>
        <w:t>of the Template Call Off Terms.</w:t>
      </w:r>
      <w:r w:rsidRPr="00FF5189">
        <w:rPr>
          <w:highlight w:val="green"/>
        </w:rPr>
        <w:t>]</w:t>
      </w:r>
    </w:p>
    <w:p w:rsidR="00932F6E" w:rsidRDefault="00932F6E" w:rsidP="00932F6E">
      <w:pPr>
        <w:pStyle w:val="GPSSchPart"/>
      </w:pPr>
      <w:r w:rsidRPr="00041148">
        <w:t xml:space="preserve"> </w:t>
      </w:r>
      <w:r w:rsidRPr="003E1E93">
        <w:rPr>
          <w:highlight w:val="yellow"/>
        </w:rPr>
        <w:t>[Insert the name of the Guarantor]</w:t>
      </w:r>
    </w:p>
    <w:p w:rsidR="00932F6E" w:rsidRDefault="00932F6E" w:rsidP="00932F6E">
      <w:pPr>
        <w:pStyle w:val="GPSSchPart"/>
      </w:pPr>
      <w:r w:rsidRPr="00041148">
        <w:t>- and -</w:t>
      </w:r>
    </w:p>
    <w:p w:rsidR="00932F6E" w:rsidRDefault="00932F6E" w:rsidP="00932F6E">
      <w:pPr>
        <w:pStyle w:val="GPSSchPart"/>
      </w:pPr>
      <w:r w:rsidRPr="003E1E93">
        <w:rPr>
          <w:highlight w:val="yellow"/>
        </w:rPr>
        <w:t>[Insert the name of the Beneficiary]</w:t>
      </w:r>
    </w:p>
    <w:p w:rsidR="00932F6E" w:rsidRDefault="00932F6E" w:rsidP="00932F6E">
      <w:pPr>
        <w:pStyle w:val="GPSSchPart"/>
      </w:pPr>
    </w:p>
    <w:p w:rsidR="00932F6E" w:rsidRDefault="00932F6E" w:rsidP="00932F6E">
      <w:pPr>
        <w:pStyle w:val="GPSSchPart"/>
      </w:pPr>
      <w:r w:rsidRPr="00041148">
        <w:t>DEED OF GUARANTEE</w:t>
      </w:r>
    </w:p>
    <w:p w:rsidR="00932F6E" w:rsidRPr="00041148" w:rsidRDefault="00932F6E" w:rsidP="00932F6E">
      <w:pPr>
        <w:overflowPunct/>
        <w:autoSpaceDE/>
        <w:autoSpaceDN/>
        <w:adjustRightInd/>
        <w:spacing w:after="0"/>
        <w:jc w:val="left"/>
        <w:textAlignment w:val="auto"/>
      </w:pPr>
      <w:r w:rsidRPr="00041148">
        <w:br w:type="page"/>
      </w:r>
    </w:p>
    <w:p w:rsidR="00932F6E" w:rsidRPr="00041148" w:rsidRDefault="00932F6E" w:rsidP="00932F6E">
      <w:pPr>
        <w:pStyle w:val="MarginText"/>
        <w:jc w:val="center"/>
        <w:rPr>
          <w:rFonts w:cs="Arial"/>
          <w:b/>
          <w:szCs w:val="22"/>
        </w:rPr>
      </w:pPr>
      <w:r w:rsidRPr="00041148">
        <w:rPr>
          <w:rFonts w:cs="Arial"/>
          <w:b/>
          <w:szCs w:val="22"/>
        </w:rPr>
        <w:lastRenderedPageBreak/>
        <w:t>DEED OF GUARANTEE</w:t>
      </w:r>
    </w:p>
    <w:p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Insert name of Contracting Body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rsidR="00932F6E" w:rsidRPr="008A182F" w:rsidRDefault="00932F6E" w:rsidP="00B1632A">
      <w:pPr>
        <w:pStyle w:val="GPSL1Guidance"/>
      </w:pPr>
      <w:r w:rsidRPr="008A182F">
        <w:rPr>
          <w:highlight w:val="green"/>
        </w:rPr>
        <w:t>[Guidance note: Where this deed of guarantee is used to procure a Framework Guarantee in favour of the Authority, this paragraph numbered (2) above will set out the details of the Authority. Where it is used to procure a Call Off Guarantee in favour of a Contracting Body this paragraph numbered (2) above will set out the details of the relevant Contracting Body]</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rsidR="004A3D4C" w:rsidRDefault="00932F6E">
      <w:pPr>
        <w:pStyle w:val="GPSL1CLAUSEHEADING"/>
        <w:numPr>
          <w:ilvl w:val="0"/>
          <w:numId w:val="559"/>
        </w:numPr>
      </w:pPr>
      <w:bookmarkStart w:id="919" w:name="_Toc391545403"/>
      <w:r w:rsidRPr="00041148">
        <w:t>Definitions and Interpretation</w:t>
      </w:r>
      <w:bookmarkEnd w:id="919"/>
    </w:p>
    <w:p w:rsidR="00932F6E" w:rsidRPr="008A182F" w:rsidRDefault="00932F6E" w:rsidP="00B1632A">
      <w:pPr>
        <w:pStyle w:val="GPSL1indent"/>
      </w:pPr>
      <w:r w:rsidRPr="00041148">
        <w:t xml:space="preserve">In this Deed of Guarantee: </w:t>
      </w:r>
    </w:p>
    <w:p w:rsidR="00932F6E" w:rsidRDefault="00932F6E" w:rsidP="002E61F2">
      <w:pPr>
        <w:pStyle w:val="GPSL2Numbered"/>
      </w:pPr>
      <w:r w:rsidRPr="00041148">
        <w:t>unless defined elsewhere in this Deed of Guarantee or the context requires otherwise, defined terms shall have the same meaning as they have for the purposes of the Guaranteed Agreement;</w:t>
      </w:r>
    </w:p>
    <w:p w:rsidR="00932F6E" w:rsidRDefault="00932F6E" w:rsidP="002E61F2">
      <w:pPr>
        <w:pStyle w:val="GPSL2Numbered"/>
      </w:pPr>
      <w:r w:rsidRPr="00041148">
        <w:t>the words and phrases below shall have the following meanings:</w:t>
      </w:r>
    </w:p>
    <w:p w:rsidR="00932F6E" w:rsidRDefault="00932F6E" w:rsidP="00932F6E">
      <w:pPr>
        <w:pStyle w:val="GPSL2Indent"/>
        <w:rPr>
          <w:b/>
          <w:i/>
        </w:rPr>
      </w:pPr>
      <w:r w:rsidRPr="008A182F">
        <w:rPr>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rsidTr="00961FDF">
        <w:tc>
          <w:tcPr>
            <w:tcW w:w="2410" w:type="dxa"/>
            <w:shd w:val="clear" w:color="auto" w:fill="auto"/>
          </w:tcPr>
          <w:p w:rsidR="00961FDF" w:rsidRPr="00B1632A" w:rsidRDefault="00961FDF" w:rsidP="00293635">
            <w:pPr>
              <w:pStyle w:val="GPSDefinitionTerm"/>
              <w:rPr>
                <w:highlight w:val="yellow"/>
              </w:rPr>
            </w:pPr>
            <w:r w:rsidRPr="00B1632A">
              <w:rPr>
                <w:highlight w:val="yellow"/>
              </w:rPr>
              <w:t>["</w:t>
            </w:r>
            <w:r w:rsidRPr="00293635">
              <w:rPr>
                <w:highlight w:val="yellow"/>
              </w:rPr>
              <w:t>Authority</w:t>
            </w:r>
            <w:r w:rsidRPr="00B1632A">
              <w:rPr>
                <w:highlight w:val="yellow"/>
              </w:rPr>
              <w:t>"</w:t>
            </w:r>
          </w:p>
        </w:tc>
        <w:tc>
          <w:tcPr>
            <w:tcW w:w="5670" w:type="dxa"/>
            <w:shd w:val="clear" w:color="auto" w:fill="auto"/>
          </w:tcPr>
          <w:p w:rsidR="00961FDF" w:rsidRPr="00806F6A" w:rsidRDefault="00B1632A" w:rsidP="00293635">
            <w:pPr>
              <w:pStyle w:val="GPsDefinition"/>
            </w:pPr>
            <w:r>
              <w:rPr>
                <w:highlight w:val="yellow"/>
              </w:rPr>
              <w:t>has</w:t>
            </w:r>
            <w:r w:rsidR="00961FDF" w:rsidRPr="00961FDF">
              <w:rPr>
                <w:highlight w:val="yellow"/>
              </w:rPr>
              <w:t xml:space="preserve"> the meaning given to it in the Framework Agreement;]</w:t>
            </w:r>
          </w:p>
        </w:tc>
      </w:tr>
      <w:tr w:rsidR="00B1632A" w:rsidRPr="00806F6A" w:rsidTr="00B1632A">
        <w:tc>
          <w:tcPr>
            <w:tcW w:w="2410" w:type="dxa"/>
            <w:shd w:val="clear" w:color="auto" w:fill="auto"/>
          </w:tcPr>
          <w:p w:rsidR="00B1632A" w:rsidRPr="00B1632A" w:rsidRDefault="00B1632A" w:rsidP="00293635">
            <w:pPr>
              <w:pStyle w:val="GPSDefinitionTerm"/>
              <w:rPr>
                <w:highlight w:val="yellow"/>
              </w:rPr>
            </w:pPr>
            <w:r w:rsidRPr="00B1632A">
              <w:rPr>
                <w:highlight w:val="yellow"/>
              </w:rPr>
              <w:t>["Beneficiary"</w:t>
            </w:r>
          </w:p>
        </w:tc>
        <w:tc>
          <w:tcPr>
            <w:tcW w:w="5670" w:type="dxa"/>
            <w:shd w:val="clear" w:color="auto" w:fill="auto"/>
          </w:tcPr>
          <w:p w:rsidR="00B1632A" w:rsidRPr="00961FDF" w:rsidRDefault="00B1632A" w:rsidP="00293635">
            <w:pPr>
              <w:pStyle w:val="GPsDefinition"/>
              <w:rPr>
                <w:highlight w:val="yellow"/>
              </w:rPr>
            </w:pPr>
            <w:r w:rsidRPr="00961FDF">
              <w:rPr>
                <w:highlight w:val="yellow"/>
              </w:rPr>
              <w:t xml:space="preserve">means [the Authority] [insert name of the Contracting </w:t>
            </w:r>
            <w:r w:rsidRPr="00293635">
              <w:rPr>
                <w:highlight w:val="yellow"/>
              </w:rPr>
              <w:t>Body</w:t>
            </w:r>
            <w:r w:rsidRPr="00961FDF">
              <w:rPr>
                <w:highlight w:val="yellow"/>
              </w:rPr>
              <w:t xml:space="preserve"> with whom the Supplier enters into a Call Off Agreement] and "Beneficiaries"</w:t>
            </w:r>
            <w:r>
              <w:rPr>
                <w:highlight w:val="yellow"/>
              </w:rPr>
              <w:t xml:space="preserve"> shall be construed accordingly</w:t>
            </w:r>
            <w:r w:rsidRPr="00961FDF">
              <w:rPr>
                <w:highlight w:val="yellow"/>
              </w:rPr>
              <w:t>;]</w:t>
            </w:r>
          </w:p>
        </w:tc>
      </w:tr>
      <w:tr w:rsidR="00B1632A" w:rsidRPr="00806F6A" w:rsidTr="00B1632A">
        <w:tc>
          <w:tcPr>
            <w:tcW w:w="2410" w:type="dxa"/>
            <w:shd w:val="clear" w:color="auto" w:fill="auto"/>
          </w:tcPr>
          <w:p w:rsidR="00B1632A" w:rsidRPr="00806F6A" w:rsidRDefault="00B1632A" w:rsidP="00293635">
            <w:pPr>
              <w:pStyle w:val="GPSDefinitionTerm"/>
            </w:pPr>
            <w:r w:rsidRPr="00961FDF">
              <w:rPr>
                <w:highlight w:val="yellow"/>
              </w:rPr>
              <w:t>["</w:t>
            </w:r>
            <w:r w:rsidRPr="00B1632A">
              <w:rPr>
                <w:highlight w:val="yellow"/>
              </w:rPr>
              <w:t>Call Off Agreement"</w:t>
            </w:r>
          </w:p>
        </w:tc>
        <w:tc>
          <w:tcPr>
            <w:tcW w:w="5670" w:type="dxa"/>
            <w:shd w:val="clear" w:color="auto" w:fill="auto"/>
          </w:tcPr>
          <w:p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w:t>
            </w:r>
            <w:r w:rsidRPr="00961FDF">
              <w:rPr>
                <w:highlight w:val="yellow"/>
              </w:rPr>
              <w:lastRenderedPageBreak/>
              <w:t>Agreement;]</w:t>
            </w:r>
          </w:p>
        </w:tc>
      </w:tr>
      <w:tr w:rsidR="00B1632A" w:rsidRPr="00806F6A" w:rsidTr="00B1632A">
        <w:tc>
          <w:tcPr>
            <w:tcW w:w="2410" w:type="dxa"/>
            <w:shd w:val="clear" w:color="auto" w:fill="auto"/>
          </w:tcPr>
          <w:p w:rsidR="00B1632A" w:rsidRPr="00B1632A" w:rsidRDefault="00B1632A" w:rsidP="00293635">
            <w:pPr>
              <w:pStyle w:val="GPSDefinitionTerm"/>
              <w:rPr>
                <w:highlight w:val="yellow"/>
              </w:rPr>
            </w:pPr>
            <w:r w:rsidRPr="00961FDF">
              <w:rPr>
                <w:highlight w:val="yellow"/>
              </w:rPr>
              <w:lastRenderedPageBreak/>
              <w:t>["</w:t>
            </w:r>
            <w:r w:rsidRPr="00B1632A">
              <w:rPr>
                <w:highlight w:val="yellow"/>
              </w:rPr>
              <w:t>Framework</w:t>
            </w:r>
            <w:r w:rsidRPr="00961FDF">
              <w:rPr>
                <w:highlight w:val="yellow"/>
              </w:rPr>
              <w:t xml:space="preserve"> Agreement</w:t>
            </w:r>
            <w:r w:rsidRPr="00B1632A">
              <w:rPr>
                <w:highlight w:val="yellow"/>
              </w:rPr>
              <w:t>"</w:t>
            </w:r>
          </w:p>
        </w:tc>
        <w:tc>
          <w:tcPr>
            <w:tcW w:w="5670" w:type="dxa"/>
            <w:shd w:val="clear" w:color="auto" w:fill="auto"/>
          </w:tcPr>
          <w:p w:rsidR="00B1632A" w:rsidRPr="00961FDF" w:rsidRDefault="00B1632A" w:rsidP="00293635">
            <w:pPr>
              <w:pStyle w:val="GPsDefinition"/>
              <w:rPr>
                <w:highlight w:val="yellow"/>
              </w:rPr>
            </w:pPr>
            <w:r w:rsidRPr="00961FDF">
              <w:rPr>
                <w:highlight w:val="yellow"/>
              </w:rPr>
              <w:t>means the Framework Agreement for the Services dated on or about the date hereof made between the Authority and the Supplier;]</w:t>
            </w:r>
          </w:p>
        </w:tc>
      </w:tr>
      <w:tr w:rsidR="00B1632A" w:rsidRPr="00806F6A" w:rsidTr="00B1632A">
        <w:tc>
          <w:tcPr>
            <w:tcW w:w="2410" w:type="dxa"/>
            <w:shd w:val="clear" w:color="auto" w:fill="auto"/>
          </w:tcPr>
          <w:p w:rsidR="00B1632A" w:rsidRPr="00B1632A" w:rsidRDefault="00B1632A" w:rsidP="00293635">
            <w:pPr>
              <w:pStyle w:val="GPSDefinitionTerm"/>
              <w:rPr>
                <w:highlight w:val="yellow"/>
              </w:rPr>
            </w:pPr>
            <w:r w:rsidRPr="00961FDF">
              <w:rPr>
                <w:highlight w:val="yellow"/>
              </w:rPr>
              <w:t>["</w:t>
            </w:r>
            <w:r w:rsidRPr="00B1632A">
              <w:rPr>
                <w:highlight w:val="yellow"/>
              </w:rPr>
              <w:t>Goods"</w:t>
            </w:r>
          </w:p>
        </w:tc>
        <w:tc>
          <w:tcPr>
            <w:tcW w:w="5670" w:type="dxa"/>
            <w:shd w:val="clear" w:color="auto" w:fill="auto"/>
          </w:tcPr>
          <w:p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961FDF" w:rsidTr="00B1632A">
        <w:tc>
          <w:tcPr>
            <w:tcW w:w="2410" w:type="dxa"/>
            <w:shd w:val="clear" w:color="auto" w:fill="auto"/>
          </w:tcPr>
          <w:p w:rsidR="00B1632A" w:rsidRPr="00B1632A" w:rsidRDefault="00B1632A" w:rsidP="00293635">
            <w:pPr>
              <w:pStyle w:val="GPSDefinitionTerm"/>
              <w:rPr>
                <w:highlight w:val="yellow"/>
              </w:rPr>
            </w:pPr>
            <w:r w:rsidRPr="00961FDF">
              <w:rPr>
                <w:highlight w:val="yellow"/>
              </w:rPr>
              <w:t>["</w:t>
            </w:r>
            <w:r w:rsidRPr="00B1632A">
              <w:rPr>
                <w:highlight w:val="yellow"/>
              </w:rPr>
              <w:t>Guaranteed</w:t>
            </w:r>
            <w:r w:rsidRPr="00961FDF">
              <w:rPr>
                <w:highlight w:val="yellow"/>
              </w:rPr>
              <w:t xml:space="preserve"> Agreement"</w:t>
            </w:r>
          </w:p>
        </w:tc>
        <w:tc>
          <w:tcPr>
            <w:tcW w:w="5670" w:type="dxa"/>
            <w:shd w:val="clear" w:color="auto" w:fill="auto"/>
          </w:tcPr>
          <w:p w:rsidR="00B1632A" w:rsidRPr="00961FDF" w:rsidRDefault="00B1632A" w:rsidP="00293635">
            <w:pPr>
              <w:pStyle w:val="GPsDefinition"/>
              <w:rPr>
                <w:highlight w:val="yellow"/>
              </w:rPr>
            </w:pPr>
            <w:r w:rsidRPr="00961FDF">
              <w:rPr>
                <w:highlight w:val="yellow"/>
              </w:rPr>
              <w:t>means [the Framework Agreement] [the Call Off Agreement] made between the Beneficiary and the Supplier on [insert date];</w:t>
            </w:r>
            <w:r>
              <w:rPr>
                <w:highlight w:val="yellow"/>
              </w:rPr>
              <w:t>]</w:t>
            </w:r>
          </w:p>
        </w:tc>
      </w:tr>
      <w:tr w:rsidR="00B1632A" w:rsidRPr="00961FDF" w:rsidTr="00B1632A">
        <w:tc>
          <w:tcPr>
            <w:tcW w:w="2410" w:type="dxa"/>
            <w:shd w:val="clear" w:color="auto" w:fill="auto"/>
          </w:tcPr>
          <w:p w:rsidR="00B1632A" w:rsidRPr="00961FDF" w:rsidRDefault="00293635" w:rsidP="00293635">
            <w:pPr>
              <w:pStyle w:val="GPSDefinitionTerm"/>
              <w:rPr>
                <w:highlight w:val="yellow"/>
              </w:rPr>
            </w:pPr>
            <w:r w:rsidRPr="00293635">
              <w:t>"</w:t>
            </w:r>
            <w:r w:rsidR="00B1632A" w:rsidRPr="00293635">
              <w:t>Guaranteed Obligations</w:t>
            </w:r>
            <w:r w:rsidRPr="00293635">
              <w:t>"</w:t>
            </w:r>
          </w:p>
        </w:tc>
        <w:tc>
          <w:tcPr>
            <w:tcW w:w="5670" w:type="dxa"/>
            <w:shd w:val="clear" w:color="auto" w:fill="auto"/>
          </w:tcPr>
          <w:p w:rsidR="00B1632A" w:rsidRDefault="00B1632A" w:rsidP="00293635">
            <w:pPr>
              <w:pStyle w:val="GPsDefinition"/>
              <w:rPr>
                <w:highlight w:val="yellow"/>
              </w:rPr>
            </w:pPr>
            <w:r w:rsidRPr="00041148">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1827DA">
              <w:t>;</w:t>
            </w:r>
          </w:p>
        </w:tc>
      </w:tr>
      <w:tr w:rsidR="00B1632A" w:rsidRPr="00961FDF" w:rsidTr="00B1632A">
        <w:tc>
          <w:tcPr>
            <w:tcW w:w="2410" w:type="dxa"/>
            <w:shd w:val="clear" w:color="auto" w:fill="auto"/>
          </w:tcPr>
          <w:p w:rsidR="00B1632A" w:rsidRPr="00B1632A" w:rsidRDefault="00B1632A" w:rsidP="00293635">
            <w:pPr>
              <w:pStyle w:val="GPSDefinitionTerm"/>
              <w:rPr>
                <w:highlight w:val="yellow"/>
              </w:rPr>
            </w:pPr>
            <w:r w:rsidRPr="00961FDF">
              <w:rPr>
                <w:highlight w:val="yellow"/>
              </w:rPr>
              <w:t>["</w:t>
            </w:r>
            <w:r w:rsidRPr="00B1632A">
              <w:rPr>
                <w:highlight w:val="yellow"/>
              </w:rPr>
              <w:t>Services</w:t>
            </w:r>
            <w:r w:rsidRPr="00961FDF">
              <w:rPr>
                <w:highlight w:val="yellow"/>
              </w:rPr>
              <w:t>"</w:t>
            </w:r>
          </w:p>
        </w:tc>
        <w:tc>
          <w:tcPr>
            <w:tcW w:w="5670" w:type="dxa"/>
            <w:shd w:val="clear" w:color="auto" w:fill="auto"/>
          </w:tcPr>
          <w:p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w:t>
            </w:r>
            <w:r w:rsidRPr="008A182F">
              <w:rPr>
                <w:highlight w:val="yellow"/>
              </w:rPr>
              <w:t>the Framework Agreement</w:t>
            </w:r>
            <w:r w:rsidRPr="00961FDF">
              <w:rPr>
                <w:highlight w:val="yellow"/>
              </w:rPr>
              <w:t>;</w:t>
            </w:r>
            <w:r>
              <w:rPr>
                <w:highlight w:val="yellow"/>
              </w:rPr>
              <w:t>]</w:t>
            </w:r>
          </w:p>
        </w:tc>
      </w:tr>
    </w:tbl>
    <w:p w:rsidR="00932F6E" w:rsidRDefault="00932F6E" w:rsidP="002E61F2">
      <w:pPr>
        <w:pStyle w:val="GPSL2Numbered"/>
      </w:pPr>
      <w:r w:rsidRPr="00041148">
        <w:t xml:space="preserve">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w:t>
      </w:r>
      <w:proofErr w:type="spellStart"/>
      <w:r w:rsidRPr="00041148">
        <w:t>novated</w:t>
      </w:r>
      <w:proofErr w:type="spellEnd"/>
      <w:r w:rsidRPr="00041148">
        <w:t xml:space="preserve"> from time to time;</w:t>
      </w:r>
    </w:p>
    <w:p w:rsidR="00932F6E" w:rsidRDefault="00932F6E" w:rsidP="002E61F2">
      <w:pPr>
        <w:pStyle w:val="GPSL2Numbered"/>
      </w:pPr>
      <w:r w:rsidRPr="00041148">
        <w:t>unless the context otherwise requires, words importing the singular are to include the plural and vice versa;</w:t>
      </w:r>
    </w:p>
    <w:p w:rsidR="00932F6E" w:rsidRDefault="00932F6E" w:rsidP="002E61F2">
      <w:pPr>
        <w:pStyle w:val="GPSL2Numbered"/>
      </w:pPr>
      <w:r w:rsidRPr="00041148">
        <w:t>references to a person are to be construed to include that person's assignees or transferees or successors in title, whether direct or indirect;</w:t>
      </w:r>
    </w:p>
    <w:p w:rsidR="00932F6E" w:rsidRDefault="00932F6E" w:rsidP="002E61F2">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rsidR="00932F6E" w:rsidRDefault="00932F6E" w:rsidP="002E61F2">
      <w:pPr>
        <w:pStyle w:val="GPSL2Numbered"/>
      </w:pPr>
      <w:r w:rsidRPr="00041148">
        <w:t>unless the context otherwise requires, reference to a gender includes the other gender and the neuter;</w:t>
      </w:r>
    </w:p>
    <w:p w:rsidR="00932F6E" w:rsidRDefault="00932F6E" w:rsidP="002E61F2">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32F6E" w:rsidRDefault="00932F6E" w:rsidP="002E61F2">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rsidR="00932F6E" w:rsidRDefault="00932F6E" w:rsidP="002E61F2">
      <w:pPr>
        <w:pStyle w:val="GPSL2Numbered"/>
      </w:pPr>
      <w:r w:rsidRPr="00041148">
        <w:t>references to Clauses and Schedules are, unless otherwise provided, references to Clauses of and Schedules to this Deed of Guarantee; and</w:t>
      </w:r>
    </w:p>
    <w:p w:rsidR="00932F6E" w:rsidRDefault="00932F6E" w:rsidP="002E61F2">
      <w:pPr>
        <w:pStyle w:val="GPSL2Numbered"/>
      </w:pPr>
      <w:r w:rsidRPr="00041148">
        <w:t>references to liability are to include any liability whether actual, contingent, present or future.</w:t>
      </w:r>
    </w:p>
    <w:p w:rsidR="00932F6E" w:rsidRDefault="00932F6E" w:rsidP="002E61F2">
      <w:pPr>
        <w:pStyle w:val="GPSL1SCHEDULEHeading"/>
      </w:pPr>
      <w:r w:rsidRPr="00041148">
        <w:t>Guarantee and indemnity</w:t>
      </w:r>
    </w:p>
    <w:p w:rsidR="00932F6E" w:rsidRDefault="00932F6E" w:rsidP="002E61F2">
      <w:pPr>
        <w:pStyle w:val="GPSL2Numbered"/>
      </w:pPr>
      <w:r w:rsidRPr="00041148">
        <w:lastRenderedPageBreak/>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32F6E" w:rsidRDefault="00932F6E" w:rsidP="002E61F2">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32F6E" w:rsidRDefault="00932F6E" w:rsidP="002E61F2">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32F6E" w:rsidRDefault="00932F6E" w:rsidP="002E61F2">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32F6E" w:rsidRDefault="00932F6E" w:rsidP="002E61F2">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32F6E" w:rsidRDefault="00932F6E" w:rsidP="002E61F2">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32F6E" w:rsidRDefault="00932F6E" w:rsidP="002E61F2">
      <w:pPr>
        <w:pStyle w:val="GPSL1SCHEDULEHeading"/>
      </w:pPr>
      <w:r w:rsidRPr="00041148">
        <w:t>Obligation to enter into a new contract</w:t>
      </w:r>
    </w:p>
    <w:p w:rsidR="00932F6E" w:rsidRDefault="00932F6E" w:rsidP="002E61F2">
      <w:pPr>
        <w:pStyle w:val="GPSL2Numbered"/>
      </w:pPr>
      <w:r w:rsidRPr="00041148">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w:t>
      </w:r>
      <w:r w:rsidRPr="00041148">
        <w:lastRenderedPageBreak/>
        <w:t>under such substitute agreement shall be the same as if the Guarantor had been original obligor under the Guaranteed Agreement or under an agreement entered into on the same terms and at the same time as the Guaranteed Agreement with the Beneficiary.</w:t>
      </w:r>
    </w:p>
    <w:p w:rsidR="00932F6E" w:rsidRDefault="00932F6E" w:rsidP="002E61F2">
      <w:pPr>
        <w:pStyle w:val="GPSL1SCHEDULEHeading"/>
      </w:pPr>
      <w:r w:rsidRPr="00041148">
        <w:t>Demands and Notices</w:t>
      </w:r>
    </w:p>
    <w:p w:rsidR="00932F6E" w:rsidRDefault="00932F6E" w:rsidP="002E61F2">
      <w:pPr>
        <w:pStyle w:val="GPSL2Numbered"/>
      </w:pPr>
      <w:r w:rsidRPr="00041148">
        <w:t>Any demand or notice served by the Beneficiary on the Guarantor under this Deed of Guarantee shall be in writing, addressed to:</w:t>
      </w:r>
    </w:p>
    <w:p w:rsidR="00932F6E" w:rsidRDefault="00932F6E" w:rsidP="002E61F2">
      <w:pPr>
        <w:pStyle w:val="GPSL3numberedclause"/>
      </w:pPr>
      <w:r w:rsidRPr="00F92BDE">
        <w:rPr>
          <w:highlight w:val="yellow"/>
        </w:rPr>
        <w:t>[Address of the Guarantor in England and Wales]</w:t>
      </w:r>
      <w:r w:rsidRPr="00041148">
        <w:t xml:space="preserve"> </w:t>
      </w:r>
    </w:p>
    <w:p w:rsidR="00932F6E" w:rsidRDefault="00932F6E" w:rsidP="002E61F2">
      <w:pPr>
        <w:pStyle w:val="GPSL3numberedclause"/>
      </w:pPr>
      <w:r w:rsidRPr="00F92BDE">
        <w:rPr>
          <w:highlight w:val="yellow"/>
        </w:rPr>
        <w:t>[Facsimile Number]</w:t>
      </w:r>
    </w:p>
    <w:p w:rsidR="00932F6E" w:rsidRDefault="00932F6E" w:rsidP="002E61F2">
      <w:pPr>
        <w:pStyle w:val="GPSL3numberedclause"/>
      </w:pPr>
      <w:r w:rsidRPr="00041148">
        <w:t xml:space="preserve">For the Attention of </w:t>
      </w:r>
      <w:r w:rsidRPr="00F92BDE">
        <w:rPr>
          <w:highlight w:val="yellow"/>
        </w:rPr>
        <w:t>[insert details]</w:t>
      </w:r>
    </w:p>
    <w:p w:rsidR="00932F6E" w:rsidRDefault="00932F6E" w:rsidP="00932F6E">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932F6E" w:rsidRDefault="00932F6E" w:rsidP="002E61F2">
      <w:pPr>
        <w:pStyle w:val="GPSL2Numbered"/>
      </w:pPr>
      <w:r w:rsidRPr="00041148">
        <w:t>Any notice or demand served on the Guarantor or the Beneficiary under this Deed of Guarantee shall be deemed to have been served:</w:t>
      </w:r>
    </w:p>
    <w:p w:rsidR="00932F6E" w:rsidRDefault="00932F6E" w:rsidP="002E61F2">
      <w:pPr>
        <w:pStyle w:val="GPSL3numberedclause"/>
      </w:pPr>
      <w:r w:rsidRPr="00041148">
        <w:t>if delivered by hand, at the time of delivery; or</w:t>
      </w:r>
    </w:p>
    <w:p w:rsidR="00932F6E" w:rsidRDefault="00932F6E" w:rsidP="002E61F2">
      <w:pPr>
        <w:pStyle w:val="GPSL3numberedclause"/>
      </w:pPr>
      <w:r w:rsidRPr="00041148">
        <w:t>if posted, at 10.00 a.m. on the second Working Day after it was put into the post; or</w:t>
      </w:r>
    </w:p>
    <w:p w:rsidR="00932F6E" w:rsidRDefault="00932F6E" w:rsidP="002E61F2">
      <w:pPr>
        <w:pStyle w:val="GPSL3numberedclause"/>
      </w:pPr>
      <w:r w:rsidRPr="00041148">
        <w:t>if sent by facsimile, at the time of despatch, if despatched before 5.00 p.m. on any Working Day, and in any other case at 10.00 a.m. on the next Working Day.</w:t>
      </w:r>
    </w:p>
    <w:p w:rsidR="00932F6E" w:rsidRDefault="00932F6E" w:rsidP="002E61F2">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32F6E" w:rsidRDefault="00932F6E" w:rsidP="002E61F2">
      <w:pPr>
        <w:pStyle w:val="GPSL2Numbered"/>
      </w:pPr>
      <w:r w:rsidRPr="00041148">
        <w:t>Any notice purported to be served on the Beneficiary under this Deed of Guarantee shall only be valid when received in writing by the Beneficiary.</w:t>
      </w:r>
    </w:p>
    <w:p w:rsidR="00932F6E" w:rsidRDefault="00932F6E" w:rsidP="002E61F2">
      <w:pPr>
        <w:pStyle w:val="GPSL1SCHEDULEHeading"/>
      </w:pPr>
      <w:r w:rsidRPr="00041148">
        <w:t>Beneficiary's protections</w:t>
      </w:r>
    </w:p>
    <w:p w:rsidR="00932F6E" w:rsidRDefault="00932F6E" w:rsidP="002E61F2">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32F6E" w:rsidRDefault="00932F6E" w:rsidP="002E61F2">
      <w:pPr>
        <w:pStyle w:val="GPSL2Numbered"/>
      </w:pPr>
      <w:r w:rsidRPr="00041148">
        <w:t xml:space="preserve">This Deed of Guarantee shall be a continuing security for the Guaranteed Obligations and accordingly: </w:t>
      </w:r>
    </w:p>
    <w:p w:rsidR="00932F6E" w:rsidRDefault="00932F6E" w:rsidP="002E61F2">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w:t>
      </w:r>
      <w:r w:rsidRPr="00041148">
        <w:lastRenderedPageBreak/>
        <w:t xml:space="preserve">delay on the part of the Beneficiary in exercising its rights under this Deed of Guarantee; </w:t>
      </w:r>
    </w:p>
    <w:p w:rsidR="00932F6E" w:rsidRDefault="00932F6E" w:rsidP="002E61F2">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32F6E" w:rsidRDefault="00932F6E" w:rsidP="002E61F2">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932F6E" w:rsidRDefault="00932F6E" w:rsidP="002E61F2">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rsidR="00932F6E" w:rsidRDefault="00932F6E" w:rsidP="002E61F2">
      <w:pPr>
        <w:pStyle w:val="GPSL2Numbered"/>
      </w:pPr>
      <w:r w:rsidRPr="00041148">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932F6E" w:rsidRDefault="00932F6E" w:rsidP="002E61F2">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32F6E" w:rsidRDefault="00932F6E" w:rsidP="002E61F2">
      <w:pPr>
        <w:pStyle w:val="GPSL2Numbered"/>
      </w:pPr>
      <w:r w:rsidRPr="00041148">
        <w:t>The Beneficiary's rights under this Deed of Guarantee are cumulative and not exclusive of any rights provided by law and may be exercised from time to time and as often as the Beneficiary deems expedient.</w:t>
      </w:r>
    </w:p>
    <w:p w:rsidR="00932F6E" w:rsidRDefault="00932F6E" w:rsidP="002E61F2">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rsidR="00932F6E" w:rsidRDefault="00932F6E" w:rsidP="002E61F2">
      <w:pPr>
        <w:pStyle w:val="GPSL2Numbered"/>
      </w:pPr>
      <w:r w:rsidRPr="00041148">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w:t>
      </w:r>
      <w:r w:rsidRPr="00041148">
        <w:lastRenderedPageBreak/>
        <w:t>to the Beneficiary from the Guarantor for such period as the Beneficiary may determine.</w:t>
      </w:r>
    </w:p>
    <w:p w:rsidR="00932F6E" w:rsidRDefault="00932F6E" w:rsidP="002E61F2">
      <w:pPr>
        <w:pStyle w:val="GPSL1SCHEDULEHeading"/>
      </w:pPr>
      <w:r w:rsidRPr="00041148">
        <w:t>Guarantor intent</w:t>
      </w:r>
    </w:p>
    <w:p w:rsidR="00932F6E" w:rsidRDefault="00932F6E" w:rsidP="002E61F2">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32F6E" w:rsidRDefault="00932F6E" w:rsidP="002E61F2">
      <w:pPr>
        <w:pStyle w:val="GPSL1SCHEDULEHeading"/>
      </w:pPr>
      <w:r w:rsidRPr="00041148">
        <w:t>Rights of subrogation</w:t>
      </w:r>
    </w:p>
    <w:p w:rsidR="00932F6E" w:rsidRDefault="00932F6E" w:rsidP="002E61F2">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32F6E" w:rsidRDefault="00932F6E" w:rsidP="002E61F2">
      <w:pPr>
        <w:pStyle w:val="GPSL3numberedclause"/>
      </w:pPr>
      <w:r w:rsidRPr="00041148">
        <w:t xml:space="preserve">of subrogation and indemnity; </w:t>
      </w:r>
    </w:p>
    <w:p w:rsidR="00932F6E" w:rsidRDefault="00932F6E" w:rsidP="002E61F2">
      <w:pPr>
        <w:pStyle w:val="GPSL3numberedclause"/>
      </w:pPr>
      <w:r w:rsidRPr="00041148">
        <w:t xml:space="preserve">to take the benefit of, share in or enforce any security or other guarantee or indemnity for the Supplier’s obligations; and </w:t>
      </w:r>
    </w:p>
    <w:p w:rsidR="00932F6E" w:rsidRDefault="00932F6E" w:rsidP="002E61F2">
      <w:pPr>
        <w:pStyle w:val="GPSL3numberedclause"/>
      </w:pPr>
      <w:r w:rsidRPr="00041148">
        <w:t xml:space="preserve">to prove in the liquidation or insolvency of the Supplier, </w:t>
      </w:r>
    </w:p>
    <w:p w:rsidR="00932F6E" w:rsidRDefault="00932F6E" w:rsidP="00932F6E">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32F6E" w:rsidRDefault="00932F6E" w:rsidP="002E61F2">
      <w:pPr>
        <w:pStyle w:val="GPSL1SCHEDULEHeading"/>
      </w:pPr>
      <w:r w:rsidRPr="00041148">
        <w:t>Deferral of rights</w:t>
      </w:r>
    </w:p>
    <w:p w:rsidR="00932F6E" w:rsidRDefault="00932F6E" w:rsidP="002E61F2">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rsidR="00932F6E" w:rsidRDefault="00932F6E" w:rsidP="002E61F2">
      <w:pPr>
        <w:pStyle w:val="GPSL3numberedclause"/>
      </w:pPr>
      <w:r w:rsidRPr="00041148">
        <w:t>exercise any rights it may have to be indemnified by the Supplier;</w:t>
      </w:r>
    </w:p>
    <w:p w:rsidR="00932F6E" w:rsidRDefault="00932F6E" w:rsidP="002E61F2">
      <w:pPr>
        <w:pStyle w:val="GPSL3numberedclause"/>
      </w:pPr>
      <w:r w:rsidRPr="00041148">
        <w:t>claim any contribution from any other guarantor of the Supplier’s obligations under the Guaranteed Agreement;</w:t>
      </w:r>
    </w:p>
    <w:p w:rsidR="00932F6E" w:rsidRDefault="00932F6E" w:rsidP="002E61F2">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rsidR="00932F6E" w:rsidRDefault="00932F6E" w:rsidP="002E61F2">
      <w:pPr>
        <w:pStyle w:val="GPSL3numberedclause"/>
      </w:pPr>
      <w:r w:rsidRPr="00041148">
        <w:t>demand or accept repayment in whole or in part of any indebtedness now or hereafter due from the Supplier; or</w:t>
      </w:r>
    </w:p>
    <w:p w:rsidR="00932F6E" w:rsidRDefault="00932F6E" w:rsidP="002E61F2">
      <w:pPr>
        <w:pStyle w:val="GPSL3numberedclause"/>
      </w:pPr>
      <w:r w:rsidRPr="00041148">
        <w:t>claim any set</w:t>
      </w:r>
      <w:r w:rsidRPr="00041148">
        <w:noBreakHyphen/>
        <w:t>off or counterclaim against the Supplier;</w:t>
      </w:r>
    </w:p>
    <w:p w:rsidR="00932F6E" w:rsidRDefault="00932F6E" w:rsidP="002E61F2">
      <w:pPr>
        <w:pStyle w:val="GPSL2Numbered"/>
      </w:pPr>
      <w:r w:rsidRPr="00041148">
        <w:t xml:space="preserve">If the Guarantor receives any payment or other benefit or exercises any set off or counterclaim or otherwise acts in breach of this Clause 8, anything so received and any benefit derived directly or indirectly by the Guarantor therefrom shall be </w:t>
      </w:r>
      <w:r w:rsidRPr="00041148">
        <w:lastRenderedPageBreak/>
        <w:t>held on trust for the Beneficiary and applied in or towards discharge of its obligations to the Beneficiary under this Deed of Guarantee.</w:t>
      </w:r>
    </w:p>
    <w:p w:rsidR="00932F6E" w:rsidRDefault="00932F6E" w:rsidP="002E61F2">
      <w:pPr>
        <w:pStyle w:val="GPSL1SCHEDULEHeading"/>
      </w:pPr>
      <w:r w:rsidRPr="00041148">
        <w:t>Representations and warranties</w:t>
      </w:r>
    </w:p>
    <w:p w:rsidR="00932F6E" w:rsidRDefault="00932F6E" w:rsidP="002E61F2">
      <w:pPr>
        <w:pStyle w:val="GPSL2Numbered"/>
      </w:pPr>
      <w:r w:rsidRPr="00041148">
        <w:t>The Guarantor hereby represents and warrants to the Beneficiary that:</w:t>
      </w:r>
    </w:p>
    <w:p w:rsidR="00932F6E" w:rsidRDefault="00932F6E" w:rsidP="002E61F2">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32F6E" w:rsidRDefault="00932F6E" w:rsidP="002E61F2">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rsidR="00932F6E" w:rsidRDefault="00932F6E" w:rsidP="002E61F2">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932F6E" w:rsidRDefault="00932F6E" w:rsidP="007E2634">
      <w:pPr>
        <w:pStyle w:val="GPSL4numberedclause"/>
      </w:pPr>
      <w:r w:rsidRPr="00041148">
        <w:t xml:space="preserve">the Guarantor's memorandum and articles of association or other equivalent constitutional documents; </w:t>
      </w:r>
    </w:p>
    <w:p w:rsidR="00932F6E" w:rsidRDefault="00932F6E" w:rsidP="007E2634">
      <w:pPr>
        <w:pStyle w:val="GPSL4numberedclause"/>
      </w:pPr>
      <w:r w:rsidRPr="00041148">
        <w:t>any existing law, statute, rule or regulation or any judgment, decree or permit to which the Guarantor is subject; or</w:t>
      </w:r>
    </w:p>
    <w:p w:rsidR="00932F6E" w:rsidRDefault="00932F6E" w:rsidP="007E2634">
      <w:pPr>
        <w:pStyle w:val="GPSL4numberedclause"/>
      </w:pPr>
      <w:r w:rsidRPr="00041148">
        <w:t>the terms of any agreement or other document to which the Guarantor is a Party or which is binding upon it or any of its assets;</w:t>
      </w:r>
    </w:p>
    <w:p w:rsidR="00932F6E" w:rsidRDefault="00932F6E" w:rsidP="002E61F2">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32F6E" w:rsidRDefault="00932F6E" w:rsidP="002E61F2">
      <w:pPr>
        <w:pStyle w:val="GPSL3numberedclause"/>
      </w:pPr>
      <w:r w:rsidRPr="00041148">
        <w:t>this Deed of Guarantee is the legal valid and binding obligation of the Guarantor and is enforceable against the Guarantor in accordance with its terms.</w:t>
      </w:r>
    </w:p>
    <w:p w:rsidR="00932F6E" w:rsidRDefault="00932F6E" w:rsidP="002E61F2">
      <w:pPr>
        <w:pStyle w:val="GPSL1SCHEDULEHeading"/>
      </w:pPr>
      <w:r w:rsidRPr="00041148">
        <w:t>Payments and set-off</w:t>
      </w:r>
    </w:p>
    <w:p w:rsidR="00932F6E" w:rsidRDefault="00932F6E" w:rsidP="002E61F2">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32F6E" w:rsidRDefault="00932F6E" w:rsidP="002E61F2">
      <w:pPr>
        <w:pStyle w:val="GPSL2Numbered"/>
      </w:pPr>
      <w:r w:rsidRPr="00041148">
        <w:t xml:space="preserve">The Guarantor shall pay interest on any amount due under this Deed of Guarantee at the applicable rate under the Late Payment of Commercial Debts </w:t>
      </w:r>
      <w:r w:rsidRPr="00041148">
        <w:lastRenderedPageBreak/>
        <w:t>(Interest) Act 1998, accruing on a daily basis from the due date up to the date of actual payment, whether before or after judgment.</w:t>
      </w:r>
    </w:p>
    <w:p w:rsidR="00932F6E" w:rsidRDefault="00932F6E" w:rsidP="002E61F2">
      <w:pPr>
        <w:pStyle w:val="GPSL2Numbered"/>
      </w:pPr>
      <w:r w:rsidRPr="00041148">
        <w:t>The Guarantor will reimburse the Beneficiary for all legal and other costs (including VAT) incurred by the Beneficiary in connection with the enforcement of this Deed of Guarantee.</w:t>
      </w:r>
    </w:p>
    <w:p w:rsidR="00932F6E" w:rsidRDefault="00932F6E" w:rsidP="002E61F2">
      <w:pPr>
        <w:pStyle w:val="GPSL1SCHEDULEHeading"/>
      </w:pPr>
      <w:r w:rsidRPr="00041148">
        <w:t>Guarantor's acknowledgement</w:t>
      </w:r>
    </w:p>
    <w:p w:rsidR="00932F6E" w:rsidRDefault="00932F6E" w:rsidP="002E61F2">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932F6E" w:rsidRDefault="00932F6E" w:rsidP="002E61F2">
      <w:pPr>
        <w:pStyle w:val="GPSL1SCHEDULEHeading"/>
      </w:pPr>
      <w:r w:rsidRPr="00041148">
        <w:t>Assignment</w:t>
      </w:r>
    </w:p>
    <w:p w:rsidR="00932F6E" w:rsidRDefault="00932F6E" w:rsidP="002E61F2">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32F6E" w:rsidRDefault="00932F6E" w:rsidP="002E61F2">
      <w:pPr>
        <w:pStyle w:val="GPSL2Numbered"/>
      </w:pPr>
      <w:r w:rsidRPr="00041148">
        <w:t>The Guarantor may not assign or transfer any of its rights and/or obligations under this Deed of Guarantee.</w:t>
      </w:r>
    </w:p>
    <w:p w:rsidR="00932F6E" w:rsidRDefault="00932F6E" w:rsidP="002E61F2">
      <w:pPr>
        <w:pStyle w:val="GPSL1SCHEDULEHeading"/>
      </w:pPr>
      <w:r w:rsidRPr="00041148">
        <w:t>Severance</w:t>
      </w:r>
    </w:p>
    <w:p w:rsidR="00932F6E" w:rsidRDefault="00932F6E" w:rsidP="002E61F2">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32F6E" w:rsidRDefault="00932F6E" w:rsidP="002E61F2">
      <w:pPr>
        <w:pStyle w:val="GPSL1SCHEDULEHeading"/>
      </w:pPr>
      <w:r w:rsidRPr="00041148">
        <w:t>Third party rights</w:t>
      </w:r>
    </w:p>
    <w:p w:rsidR="00932F6E" w:rsidRDefault="00932F6E" w:rsidP="002E61F2">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rsidR="00932F6E" w:rsidRDefault="00932F6E" w:rsidP="002E61F2">
      <w:pPr>
        <w:pStyle w:val="GPSL1SCHEDULEHeading"/>
      </w:pPr>
      <w:r w:rsidRPr="00041148">
        <w:t>Governing Law</w:t>
      </w:r>
    </w:p>
    <w:p w:rsidR="00932F6E" w:rsidRDefault="00932F6E" w:rsidP="002E61F2">
      <w:pPr>
        <w:pStyle w:val="GPSL2Numbered"/>
      </w:pPr>
      <w:r w:rsidRPr="00041148">
        <w:t>This Deed of Guarantee and any non-contractual obligations arising out of or in connection with it shall be governed by and construed in all respects in accordance with English law.</w:t>
      </w:r>
    </w:p>
    <w:p w:rsidR="00932F6E" w:rsidRDefault="00932F6E" w:rsidP="002E61F2">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32F6E" w:rsidRDefault="00932F6E" w:rsidP="002E61F2">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32F6E" w:rsidRDefault="00932F6E" w:rsidP="002E61F2">
      <w:pPr>
        <w:pStyle w:val="GPSL2Numbered"/>
      </w:pPr>
      <w:r w:rsidRPr="00041148">
        <w:lastRenderedPageBreak/>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932F6E" w:rsidRDefault="00932F6E" w:rsidP="002E61F2">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293635" w:rsidRDefault="00293635" w:rsidP="00293635">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rsidR="00932F6E" w:rsidRDefault="00F71B15"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920" w:author="potterj" w:date="2014-08-28T12:26:00Z" w:original="0."/>
        </w:fldChar>
      </w:r>
    </w:p>
    <w:p w:rsidR="00932F6E" w:rsidRPr="00F92BDE" w:rsidRDefault="00932F6E" w:rsidP="00B1632A">
      <w:pPr>
        <w:pStyle w:val="GPSL1indent"/>
      </w:pPr>
      <w:r w:rsidRPr="00F92BDE">
        <w:t>IN WITNESS whereof the Guarantor has caused this instrument to be executed and delivered as a Deed the day and year first before written.</w:t>
      </w:r>
    </w:p>
    <w:p w:rsidR="00932F6E" w:rsidRPr="00F92BDE" w:rsidRDefault="00932F6E" w:rsidP="00B1632A">
      <w:pPr>
        <w:pStyle w:val="GPSL1indent"/>
      </w:pPr>
      <w:r w:rsidRPr="00F92BDE">
        <w:t>EXECUTED as a DEED by</w:t>
      </w:r>
      <w:r w:rsidRPr="00F92BDE">
        <w:tab/>
      </w:r>
    </w:p>
    <w:p w:rsidR="00932F6E" w:rsidRPr="00F92BDE" w:rsidRDefault="00932F6E" w:rsidP="00B1632A">
      <w:pPr>
        <w:pStyle w:val="GPSL1indent"/>
      </w:pPr>
      <w:r w:rsidRPr="00F92BDE">
        <w:rPr>
          <w:highlight w:val="yellow"/>
        </w:rPr>
        <w:t>[Insert name of the Guarantor]</w:t>
      </w:r>
      <w:r w:rsidRPr="00F92BDE">
        <w:t xml:space="preserve"> acting by </w:t>
      </w:r>
      <w:r w:rsidRPr="00F92BDE">
        <w:rPr>
          <w:highlight w:val="yellow"/>
        </w:rPr>
        <w:t>[Insert/print names]</w:t>
      </w:r>
    </w:p>
    <w:p w:rsidR="00932F6E" w:rsidRDefault="00932F6E" w:rsidP="007E2634">
      <w:pPr>
        <w:pStyle w:val="GPSL4indent"/>
        <w:ind w:left="720"/>
      </w:pPr>
      <w:r w:rsidRPr="00041148">
        <w:t>Director</w:t>
      </w:r>
    </w:p>
    <w:p w:rsidR="00932F6E" w:rsidRDefault="00932F6E" w:rsidP="007E2634">
      <w:pPr>
        <w:ind w:left="720"/>
      </w:pPr>
      <w:r w:rsidRPr="00041148">
        <w:t>Director/Secretary</w:t>
      </w:r>
    </w:p>
    <w:p w:rsidR="00F20C99" w:rsidRDefault="00B26599" w:rsidP="007E2634">
      <w:pPr>
        <w:pStyle w:val="GPSSchTitleandNumber"/>
      </w:pPr>
      <w:r>
        <w:br w:type="page"/>
      </w:r>
      <w:bookmarkStart w:id="921" w:name="_Toc366085199"/>
      <w:bookmarkStart w:id="922" w:name="_Toc379488105"/>
      <w:bookmarkStart w:id="923" w:name="_Toc380052207"/>
      <w:bookmarkStart w:id="924" w:name="_Toc380052718"/>
      <w:bookmarkStart w:id="925" w:name="_Toc391545404"/>
      <w:r w:rsidR="00A335C2">
        <w:lastRenderedPageBreak/>
        <w:t xml:space="preserve">FRAMEWORK SCHEDULE 14: </w:t>
      </w:r>
      <w:r w:rsidR="00A335C2" w:rsidRPr="0025678C">
        <w:t>INSURANCE REQUIREMENTS</w:t>
      </w:r>
      <w:bookmarkEnd w:id="921"/>
      <w:bookmarkEnd w:id="922"/>
      <w:bookmarkEnd w:id="923"/>
      <w:bookmarkEnd w:id="924"/>
      <w:bookmarkEnd w:id="925"/>
    </w:p>
    <w:p w:rsidR="00F20C99" w:rsidRDefault="00B26599" w:rsidP="002E61F2">
      <w:pPr>
        <w:pStyle w:val="GPSL1SCHEDULEHeading"/>
      </w:pPr>
      <w:r w:rsidRPr="0025678C">
        <w:t>OBLIGATION TO MAINTAIN INSURANCES</w:t>
      </w:r>
    </w:p>
    <w:p w:rsidR="00F20C99" w:rsidRDefault="00B26599" w:rsidP="002E61F2">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2E61F2">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2E61F2">
      <w:pPr>
        <w:pStyle w:val="GPSL2Numbered"/>
      </w:pPr>
      <w:r w:rsidRPr="0025678C">
        <w:t>The Insurances shall be taken out and maintained with insurers who are of good financial standing and of good repute in the international insurance market.</w:t>
      </w:r>
    </w:p>
    <w:p w:rsidR="00F20C99" w:rsidRDefault="00B26599" w:rsidP="002E61F2">
      <w:pPr>
        <w:pStyle w:val="GPSL2Numbered"/>
      </w:pPr>
      <w:r w:rsidRPr="0025678C">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rsidR="00F20C99" w:rsidRDefault="00B26599" w:rsidP="002E61F2">
      <w:pPr>
        <w:pStyle w:val="GPSL1SCHEDULEHeading"/>
      </w:pPr>
      <w:r w:rsidRPr="0025678C">
        <w:t>GENERAL OBLIGATIONS</w:t>
      </w:r>
    </w:p>
    <w:p w:rsidR="00F20C99" w:rsidRDefault="00B26599" w:rsidP="002E61F2">
      <w:pPr>
        <w:pStyle w:val="GPSL2Numbered"/>
      </w:pPr>
      <w:r w:rsidRPr="0025678C">
        <w:t>Without limiting the other provisions of this</w:t>
      </w:r>
      <w:r>
        <w:t xml:space="preserve"> Framework</w:t>
      </w:r>
      <w:r w:rsidRPr="0025678C">
        <w:t xml:space="preserve"> Agreement, the Supplier shall:</w:t>
      </w:r>
    </w:p>
    <w:p w:rsidR="00F20C99" w:rsidRDefault="00B26599" w:rsidP="002E61F2">
      <w:pPr>
        <w:pStyle w:val="GPSL3numberedclause"/>
      </w:pPr>
      <w:r w:rsidRPr="0025678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F20C99" w:rsidRDefault="00B26599" w:rsidP="002E61F2">
      <w:pPr>
        <w:pStyle w:val="GPSL3numberedclause"/>
      </w:pPr>
      <w:r w:rsidRPr="0025678C">
        <w:t>promptly notify the insurers in writing of any relevant material fact under any Insurances of which the Supplier is or becomes aware; and</w:t>
      </w:r>
    </w:p>
    <w:p w:rsidR="00F20C99" w:rsidRDefault="00B26599" w:rsidP="002E61F2">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rsidR="00F20C99" w:rsidRDefault="00B26599" w:rsidP="002E61F2">
      <w:pPr>
        <w:pStyle w:val="GPSL1SCHEDULEHeading"/>
      </w:pPr>
      <w:r w:rsidRPr="0025678C">
        <w:t>FAILURE TO INSURE</w:t>
      </w:r>
    </w:p>
    <w:p w:rsidR="00F20C99" w:rsidRDefault="00B26599" w:rsidP="002E61F2">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F20C99" w:rsidRDefault="00B26599" w:rsidP="002E61F2">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Default="00B26599" w:rsidP="002E61F2">
      <w:pPr>
        <w:pStyle w:val="GPSL1SCHEDULEHeading"/>
      </w:pPr>
      <w:r w:rsidRPr="0025678C">
        <w:lastRenderedPageBreak/>
        <w:t>EVIDENCE OF POLICIES</w:t>
      </w:r>
    </w:p>
    <w:p w:rsidR="00F20C99" w:rsidRDefault="00B26599" w:rsidP="002E61F2">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rsidR="00F20C99" w:rsidRDefault="00B26599" w:rsidP="002E61F2">
      <w:pPr>
        <w:pStyle w:val="GPSL1SCHEDULEHeading"/>
      </w:pPr>
      <w:r w:rsidRPr="0025678C">
        <w:t xml:space="preserve">AGGREGATE LIMIT OF INDEMNITY </w:t>
      </w:r>
    </w:p>
    <w:p w:rsidR="00F20C99" w:rsidRDefault="00B26599" w:rsidP="002E61F2">
      <w:pPr>
        <w:pStyle w:val="GPSL2Numbered"/>
        <w:rPr>
          <w:caps/>
        </w:rPr>
      </w:pPr>
      <w:r w:rsidRPr="0025678C">
        <w:t xml:space="preserve">Where the minimum limit of indemnity required in relation to any of the Insurances is specified as being "in the aggregate": </w:t>
      </w:r>
    </w:p>
    <w:p w:rsidR="00F20C99" w:rsidRDefault="00B26599" w:rsidP="002E61F2">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w:t>
      </w:r>
      <w:proofErr w:type="spellStart"/>
      <w:r w:rsidRPr="0025678C">
        <w:t>ies</w:t>
      </w:r>
      <w:proofErr w:type="spellEnd"/>
      <w:r w:rsidRPr="0025678C">
        <w:t>), is likely to result in a claim or claims being paid by the insurers which could reduce the level of cover available below that minimum, the Supplier shall immediately submit to the Authority:</w:t>
      </w:r>
    </w:p>
    <w:p w:rsidR="00F20C99" w:rsidRDefault="00B26599" w:rsidP="007E2634">
      <w:pPr>
        <w:pStyle w:val="GPSL4numberedclause"/>
        <w:rPr>
          <w:caps/>
        </w:rPr>
      </w:pPr>
      <w:r w:rsidRPr="0025678C">
        <w:t xml:space="preserve">details of the policy concerned; and </w:t>
      </w:r>
    </w:p>
    <w:p w:rsidR="00F20C99" w:rsidRDefault="00B26599" w:rsidP="007E2634">
      <w:pPr>
        <w:pStyle w:val="GPSL4numberedclause"/>
        <w:rPr>
          <w:caps/>
        </w:rPr>
      </w:pPr>
      <w:r w:rsidRPr="0025678C">
        <w:t>its proposed solution for maintaining the minimum limit of indemnity specified; and</w:t>
      </w:r>
    </w:p>
    <w:p w:rsidR="00F20C99" w:rsidRDefault="00B26599" w:rsidP="002E61F2">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rsidR="00F20C99" w:rsidRDefault="00B26599" w:rsidP="007E26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rsidR="00F20C99" w:rsidRDefault="00B26599" w:rsidP="007E26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Default="00B26599" w:rsidP="002E61F2">
      <w:pPr>
        <w:pStyle w:val="GPSL1SCHEDULEHeading"/>
      </w:pPr>
      <w:r w:rsidRPr="0025678C">
        <w:t>CANCELLATION</w:t>
      </w:r>
    </w:p>
    <w:p w:rsidR="00F20C99" w:rsidRDefault="00B26599" w:rsidP="002E61F2">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2E61F2">
      <w:pPr>
        <w:pStyle w:val="GPSL1SCHEDULEHeading"/>
      </w:pPr>
      <w:r w:rsidRPr="0025678C">
        <w:t xml:space="preserve">INSURANCE CLAIMS </w:t>
      </w:r>
    </w:p>
    <w:p w:rsidR="00F20C99" w:rsidRDefault="00B26599" w:rsidP="002E61F2">
      <w:pPr>
        <w:pStyle w:val="GPSL2Numbered"/>
      </w:pPr>
      <w:r w:rsidRPr="0025678C">
        <w:t xml:space="preserve">The Supplier shall promptly notify to insurers any matter arising from, or in relation to, the Services and/or this </w:t>
      </w:r>
      <w:r>
        <w:t xml:space="preserve">Framework </w:t>
      </w:r>
      <w:r w:rsidRPr="0025678C">
        <w:t xml:space="preserve">Agreement for which it may be entitled to claim under any of the Insurances.  In the event that the Authority receives a claim relating to or arising out of the 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rsidR="00F20C99" w:rsidRDefault="00B26599" w:rsidP="002E61F2">
      <w:pPr>
        <w:pStyle w:val="GPSL2Numbered"/>
      </w:pPr>
      <w:r w:rsidRPr="0025678C">
        <w:lastRenderedPageBreak/>
        <w:t xml:space="preserve">Except where the Authority is the claimant party, the Supplier shall give the Authority notice within </w:t>
      </w:r>
      <w:r w:rsidR="00B612E2">
        <w:t>twenty (</w:t>
      </w:r>
      <w:r w:rsidRPr="0025678C">
        <w:t>20</w:t>
      </w:r>
      <w:r w:rsidR="00B612E2">
        <w:t>)</w:t>
      </w:r>
      <w:r w:rsidRPr="0025678C">
        <w:t> Working Days after any insurance claim in excess of</w:t>
      </w:r>
      <w:r w:rsidR="009F0B27">
        <w:t xml:space="preserve"> £5,000</w:t>
      </w:r>
      <w:r w:rsidRPr="0025678C">
        <w:t xml:space="preserve"> relating to or arising out of the provision of the Services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rsidR="00F20C99" w:rsidRDefault="00B26599" w:rsidP="002E61F2">
      <w:pPr>
        <w:pStyle w:val="GPSL2Numbered"/>
      </w:pPr>
      <w:r w:rsidRPr="0025678C">
        <w:t>Where any Insurance requires payment of a premium, the Supplier shall be liable for and shall promptly pay such premium.</w:t>
      </w:r>
    </w:p>
    <w:p w:rsidR="00F20C99" w:rsidRDefault="00B26599" w:rsidP="002E61F2">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rsidR="00F20C99" w:rsidRDefault="00F71B1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26" w:author="potterj" w:date="2014-08-28T12:26:00Z" w:original="0."/>
        </w:fldChar>
      </w:r>
    </w:p>
    <w:p w:rsidR="00F20C99" w:rsidRDefault="00B26599" w:rsidP="007E2634">
      <w:pPr>
        <w:pStyle w:val="GPSSchAnnexname"/>
      </w:pPr>
      <w:r w:rsidRPr="0025678C">
        <w:br w:type="page"/>
      </w:r>
      <w:bookmarkStart w:id="927" w:name="_Toc366085200"/>
      <w:bookmarkStart w:id="928" w:name="_Toc379488106"/>
      <w:bookmarkStart w:id="929" w:name="_Toc380052208"/>
      <w:bookmarkStart w:id="930" w:name="_Toc380052719"/>
      <w:bookmarkStart w:id="931" w:name="_Toc391545405"/>
      <w:r w:rsidR="00A335C2" w:rsidRPr="002D6D6C">
        <w:lastRenderedPageBreak/>
        <w:t xml:space="preserve">ANNEX 1: </w:t>
      </w:r>
      <w:r w:rsidR="008770CA" w:rsidRPr="008770CA">
        <w:t>REQUIRED INSURANCES</w:t>
      </w:r>
      <w:bookmarkEnd w:id="927"/>
      <w:bookmarkEnd w:id="928"/>
      <w:bookmarkEnd w:id="929"/>
      <w:bookmarkEnd w:id="930"/>
      <w:bookmarkEnd w:id="931"/>
    </w:p>
    <w:p w:rsidR="00F20C99" w:rsidRDefault="008770CA">
      <w:pPr>
        <w:pStyle w:val="GPSSchPart"/>
        <w:rPr>
          <w:caps w:val="0"/>
        </w:rPr>
      </w:pPr>
      <w:r w:rsidRPr="008770CA">
        <w:t xml:space="preserve">Part A: Third Party Public &amp; Products Liability Insurance </w:t>
      </w:r>
    </w:p>
    <w:p w:rsidR="00F20C99" w:rsidRDefault="00B26599" w:rsidP="002E61F2">
      <w:pPr>
        <w:pStyle w:val="GPSL1SCHEDULEHeading"/>
      </w:pPr>
      <w:r w:rsidRPr="0025678C">
        <w:t xml:space="preserve">Insured </w:t>
      </w:r>
    </w:p>
    <w:p w:rsidR="00F20C99" w:rsidRDefault="00B26599" w:rsidP="002E61F2">
      <w:pPr>
        <w:pStyle w:val="GPSL2Numbered"/>
        <w:rPr>
          <w:caps/>
        </w:rPr>
      </w:pPr>
      <w:r w:rsidRPr="0025678C">
        <w:t>The Supplier</w:t>
      </w:r>
    </w:p>
    <w:p w:rsidR="00F20C99" w:rsidRDefault="00B26599" w:rsidP="002E61F2">
      <w:pPr>
        <w:pStyle w:val="GPSL1SCHEDULEHeading"/>
      </w:pPr>
      <w:r w:rsidRPr="0025678C">
        <w:t>Interest</w:t>
      </w:r>
    </w:p>
    <w:p w:rsidR="00F20C99" w:rsidRDefault="00B26599" w:rsidP="002E61F2">
      <w:pPr>
        <w:pStyle w:val="GPSL2Numbered"/>
        <w:rPr>
          <w:caps/>
        </w:rPr>
      </w:pPr>
      <w:r w:rsidRPr="0025678C">
        <w:t>To indemnify the Insured in respect of all sums which the Insured shall become legally liable to pay as damages, including claimant's costs and expenses, in respect of accidental:</w:t>
      </w:r>
    </w:p>
    <w:p w:rsidR="00F20C99" w:rsidRDefault="00B26599" w:rsidP="002E61F2">
      <w:pPr>
        <w:pStyle w:val="GPSL3numberedclause"/>
        <w:rPr>
          <w:caps/>
        </w:rPr>
      </w:pPr>
      <w:r w:rsidRPr="0025678C">
        <w:t>death or bodily injury to or sickness, illness or disease contracted by any person;</w:t>
      </w:r>
    </w:p>
    <w:p w:rsidR="00F20C99" w:rsidRDefault="00B26599" w:rsidP="002E61F2">
      <w:pPr>
        <w:pStyle w:val="GPSL3numberedclause"/>
        <w:rPr>
          <w:caps/>
        </w:rPr>
      </w:pPr>
      <w:r w:rsidRPr="0025678C">
        <w:t>loss of or damage to property;</w:t>
      </w:r>
    </w:p>
    <w:p w:rsidR="00F20C99" w:rsidRDefault="00B26599">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)and arising out of or in connection with the provision of the Services and in connection with this</w:t>
      </w:r>
      <w:r>
        <w:t xml:space="preserve"> Framework</w:t>
      </w:r>
      <w:r w:rsidRPr="0025678C">
        <w:t xml:space="preserve"> Agreement.</w:t>
      </w:r>
    </w:p>
    <w:p w:rsidR="00F20C99" w:rsidRDefault="00B26599" w:rsidP="002E61F2">
      <w:pPr>
        <w:pStyle w:val="GPSL1SCHEDULEHeading"/>
      </w:pPr>
      <w:r w:rsidRPr="0025678C">
        <w:t>Limit of indemnity</w:t>
      </w:r>
    </w:p>
    <w:p w:rsidR="00F20C99" w:rsidRDefault="00B26599" w:rsidP="002E61F2">
      <w:pPr>
        <w:pStyle w:val="GPSL2Numbered"/>
        <w:rPr>
          <w:caps/>
        </w:rPr>
      </w:pPr>
      <w:r w:rsidRPr="0025678C">
        <w:t>Not less than</w:t>
      </w:r>
      <w:r w:rsidR="009F0B27">
        <w:rPr>
          <w:b/>
        </w:rPr>
        <w:t xml:space="preserve"> £1,000,000 i</w:t>
      </w:r>
      <w:r w:rsidRPr="0025678C">
        <w:t>n respect of any one occurrence, the number of occurrences being unlimited, but</w:t>
      </w:r>
      <w:r w:rsidR="009F0B27">
        <w:rPr>
          <w:b/>
        </w:rPr>
        <w:t xml:space="preserve"> £1,000,000 </w:t>
      </w:r>
      <w:r w:rsidRPr="0025678C">
        <w:t>any one occurrence and in the aggregate per annum in respect of products and pollution liability.</w:t>
      </w:r>
    </w:p>
    <w:p w:rsidR="00F20C99" w:rsidRDefault="009F0B27" w:rsidP="002E61F2">
      <w:pPr>
        <w:pStyle w:val="GPSL1SCHEDULEHeading"/>
      </w:pPr>
      <w:r>
        <w:t>NOT USED</w:t>
      </w:r>
    </w:p>
    <w:p w:rsidR="00F20C99" w:rsidRDefault="00B26599" w:rsidP="002E61F2">
      <w:pPr>
        <w:pStyle w:val="GPSL1SCHEDULEHeading"/>
      </w:pPr>
      <w:r w:rsidRPr="0025678C">
        <w:t>Period of insurance</w:t>
      </w:r>
    </w:p>
    <w:p w:rsidR="00F20C99" w:rsidRDefault="00B26599" w:rsidP="002E61F2">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rsidR="00F20C99" w:rsidRDefault="00B26599" w:rsidP="002E61F2">
      <w:pPr>
        <w:pStyle w:val="GPSL1SCHEDULEHeading"/>
      </w:pPr>
      <w:r w:rsidRPr="0025678C">
        <w:t>Cover features and extensions</w:t>
      </w:r>
    </w:p>
    <w:p w:rsidR="00F20C99" w:rsidRDefault="00B26599" w:rsidP="002E61F2">
      <w:pPr>
        <w:pStyle w:val="GPSL2Numbered"/>
        <w:rPr>
          <w:caps/>
        </w:rPr>
      </w:pPr>
      <w:r w:rsidRPr="0025678C">
        <w:t>Indemnity to principals clause.</w:t>
      </w:r>
    </w:p>
    <w:p w:rsidR="00F20C99" w:rsidRDefault="00B26599" w:rsidP="002E61F2">
      <w:pPr>
        <w:pStyle w:val="GPSL1SCHEDULEHeading"/>
      </w:pPr>
      <w:r w:rsidRPr="0025678C">
        <w:t>Principal exclusions</w:t>
      </w:r>
    </w:p>
    <w:p w:rsidR="00F20C99" w:rsidRDefault="00B26599" w:rsidP="002E61F2">
      <w:pPr>
        <w:pStyle w:val="GPSL2Numbered"/>
        <w:rPr>
          <w:caps/>
        </w:rPr>
      </w:pPr>
      <w:r w:rsidRPr="0025678C">
        <w:t>War and related perils.</w:t>
      </w:r>
    </w:p>
    <w:p w:rsidR="00F20C99" w:rsidRDefault="00B26599" w:rsidP="002E61F2">
      <w:pPr>
        <w:pStyle w:val="GPSL2Numbered"/>
        <w:rPr>
          <w:caps/>
        </w:rPr>
      </w:pPr>
      <w:r w:rsidRPr="0025678C">
        <w:t>Nuclear and radioactive risks.</w:t>
      </w:r>
    </w:p>
    <w:p w:rsidR="00F20C99" w:rsidRDefault="00B26599" w:rsidP="002E61F2">
      <w:pPr>
        <w:pStyle w:val="GPSL2Numbered"/>
        <w:rPr>
          <w:caps/>
        </w:rPr>
      </w:pPr>
      <w:r w:rsidRPr="0025678C">
        <w:t>Liability for death, illness, disease or bodily injury sustained by employees of the Insured during the course of their employment.</w:t>
      </w:r>
    </w:p>
    <w:p w:rsidR="00F20C99" w:rsidRDefault="00B26599" w:rsidP="002E61F2">
      <w:pPr>
        <w:pStyle w:val="GPSL2Numbered"/>
        <w:rPr>
          <w:caps/>
        </w:rPr>
      </w:pPr>
      <w:r w:rsidRPr="0025678C">
        <w:t>Liability arising out of the use of mechanically propelled vehicles whilst required to be compulsorily insured by applicable Law in respect of such vehicles.</w:t>
      </w:r>
    </w:p>
    <w:p w:rsidR="00F20C99" w:rsidRDefault="00B26599" w:rsidP="002E61F2">
      <w:pPr>
        <w:pStyle w:val="GPSL2Numbered"/>
        <w:rPr>
          <w:caps/>
        </w:rPr>
      </w:pPr>
      <w:r w:rsidRPr="0025678C">
        <w:t>Liability in respect of predetermined penalties or liquidated damages imposed under any contract entered into by the Insured.</w:t>
      </w:r>
    </w:p>
    <w:p w:rsidR="00F20C99" w:rsidRDefault="00B26599" w:rsidP="002E61F2">
      <w:pPr>
        <w:pStyle w:val="GPSL2Numbered"/>
        <w:rPr>
          <w:caps/>
        </w:rPr>
      </w:pPr>
      <w:r w:rsidRPr="0025678C">
        <w:t>Liability arising out of technical or professional advice other than in respect of death or bodily injury to persons or damage to third party property.</w:t>
      </w:r>
    </w:p>
    <w:p w:rsidR="00F20C99" w:rsidRDefault="00B26599" w:rsidP="002E61F2">
      <w:pPr>
        <w:pStyle w:val="GPSL2Numbered"/>
        <w:rPr>
          <w:caps/>
        </w:rPr>
      </w:pPr>
      <w:r w:rsidRPr="0025678C">
        <w:lastRenderedPageBreak/>
        <w:t>Liability arising from the ownership, possession or use of any aircraft or marine vessel.</w:t>
      </w:r>
    </w:p>
    <w:p w:rsidR="00F20C99" w:rsidRDefault="00B26599" w:rsidP="002E61F2">
      <w:pPr>
        <w:pStyle w:val="GPSL2Numbered"/>
        <w:rPr>
          <w:caps/>
        </w:rPr>
      </w:pPr>
      <w:r w:rsidRPr="0025678C">
        <w:t>Liability arising from seepage and pollution unless caused by a sudden, unintended and unexpected occurrence.</w:t>
      </w:r>
    </w:p>
    <w:p w:rsidR="00F20C99" w:rsidRDefault="00B26599" w:rsidP="002E61F2">
      <w:pPr>
        <w:pStyle w:val="GPSL1SCHEDULEHeading"/>
      </w:pPr>
      <w:r w:rsidRPr="0025678C">
        <w:t>Maximum deductible threshold</w:t>
      </w:r>
    </w:p>
    <w:p w:rsidR="00F20C99" w:rsidRDefault="00B26599" w:rsidP="002E61F2">
      <w:pPr>
        <w:pStyle w:val="GPSL2Numbered"/>
        <w:rPr>
          <w:caps/>
        </w:rPr>
      </w:pPr>
      <w:r w:rsidRPr="0025678C">
        <w:t>Not to excee</w:t>
      </w:r>
      <w:r w:rsidR="003E748D">
        <w:rPr>
          <w:b/>
          <w:i/>
        </w:rPr>
        <w:t xml:space="preserve">d 10% </w:t>
      </w:r>
      <w:r w:rsidRPr="0025678C">
        <w:t>for each and every third party property damage claim (personal injury claims to be paid in full).</w:t>
      </w:r>
    </w:p>
    <w:p w:rsidR="00F20C99" w:rsidRDefault="00F71B1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32" w:author="potterj" w:date="2014-08-28T12:26:00Z" w:original="0."/>
        </w:fldChar>
      </w:r>
    </w:p>
    <w:p w:rsidR="00F20C99" w:rsidRDefault="0028338E" w:rsidP="007E2634">
      <w:pPr>
        <w:pStyle w:val="GPSSchPart"/>
      </w:pPr>
      <w:r>
        <w:br w:type="page"/>
      </w:r>
      <w:r w:rsidR="005F35BD">
        <w:lastRenderedPageBreak/>
        <w:t>Part</w:t>
      </w:r>
      <w:r w:rsidR="008770CA" w:rsidRPr="008770CA">
        <w:t xml:space="preserve"> B: </w:t>
      </w:r>
      <w:r w:rsidR="005F35BD">
        <w:t>Professional Indemnity Insurance</w:t>
      </w:r>
    </w:p>
    <w:p w:rsidR="00F20C99" w:rsidRDefault="00B26599" w:rsidP="002E61F2">
      <w:pPr>
        <w:pStyle w:val="GPSL1SCHEDULEHeading"/>
      </w:pPr>
      <w:r w:rsidRPr="0025678C">
        <w:t>Insured</w:t>
      </w:r>
    </w:p>
    <w:p w:rsidR="00F20C99" w:rsidRDefault="00B26599" w:rsidP="002E61F2">
      <w:pPr>
        <w:pStyle w:val="GPSL2Numbered"/>
        <w:rPr>
          <w:caps/>
        </w:rPr>
      </w:pPr>
      <w:r w:rsidRPr="0025678C">
        <w:t>The Supplier</w:t>
      </w:r>
    </w:p>
    <w:p w:rsidR="00F20C99" w:rsidRDefault="00B26599" w:rsidP="002E61F2">
      <w:pPr>
        <w:pStyle w:val="GPSL1SCHEDULEHeading"/>
      </w:pPr>
      <w:r w:rsidRPr="0025678C">
        <w:t>Interest</w:t>
      </w:r>
    </w:p>
    <w:p w:rsidR="00F20C99" w:rsidRDefault="00B26599" w:rsidP="002E61F2">
      <w:pPr>
        <w:pStyle w:val="GPSL2Numbered"/>
        <w:rPr>
          <w:caps/>
        </w:rPr>
      </w:pPr>
      <w:r w:rsidRPr="0025678C">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rsidR="00F20C99" w:rsidRPr="00710790" w:rsidRDefault="00B26599" w:rsidP="002E61F2">
      <w:pPr>
        <w:pStyle w:val="GPSL1SCHEDULEHeading"/>
      </w:pPr>
      <w:r w:rsidRPr="00710790">
        <w:t>Limit of indemnity</w:t>
      </w:r>
    </w:p>
    <w:p w:rsidR="002B49ED" w:rsidRPr="00710790" w:rsidRDefault="00B26599" w:rsidP="002B49ED">
      <w:pPr>
        <w:pStyle w:val="GPSL2Numbered"/>
      </w:pPr>
      <w:r w:rsidRPr="00710790">
        <w:tab/>
        <w:t xml:space="preserve">Not less than </w:t>
      </w:r>
      <w:r w:rsidR="00771F1F" w:rsidRPr="00710790">
        <w:t>£</w:t>
      </w:r>
      <w:r w:rsidR="00D96598">
        <w:t>1,</w:t>
      </w:r>
      <w:r w:rsidR="00D96598" w:rsidRPr="00710790">
        <w:t>000,000</w:t>
      </w:r>
      <w:r w:rsidR="00771F1F" w:rsidRPr="00710790">
        <w:t xml:space="preserve"> </w:t>
      </w:r>
      <w:r w:rsidRPr="00710790">
        <w:t>in respect of any one claim and in the aggregate per annum.</w:t>
      </w:r>
    </w:p>
    <w:p w:rsidR="00F20C99" w:rsidRPr="00710790" w:rsidRDefault="00710790" w:rsidP="002E61F2">
      <w:pPr>
        <w:pStyle w:val="GPSL1SCHEDULEHeading"/>
      </w:pPr>
      <w:r>
        <w:t>NOT USED</w:t>
      </w:r>
    </w:p>
    <w:p w:rsidR="00F20C99" w:rsidRPr="00710790" w:rsidRDefault="00B26599" w:rsidP="002E61F2">
      <w:pPr>
        <w:pStyle w:val="GPSL1SCHEDULEHeading"/>
      </w:pPr>
      <w:r w:rsidRPr="00710790">
        <w:t>Period of insurance</w:t>
      </w:r>
    </w:p>
    <w:p w:rsidR="00F20C99" w:rsidRDefault="00B26599" w:rsidP="002E61F2">
      <w:pPr>
        <w:pStyle w:val="GPSL2Numbered"/>
        <w:rPr>
          <w:caps/>
        </w:rPr>
      </w:pPr>
      <w:r w:rsidRPr="00710790">
        <w:t>From the date of this Framework Agreement and renewable</w:t>
      </w:r>
      <w:r w:rsidRPr="0025678C">
        <w:t xml:space="preserv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2E61F2">
      <w:pPr>
        <w:pStyle w:val="GPSL1SCHEDULEHeading"/>
      </w:pPr>
      <w:r w:rsidRPr="0025678C">
        <w:t>Cover features and extensions</w:t>
      </w:r>
    </w:p>
    <w:p w:rsidR="00F20C99" w:rsidRDefault="00B26599" w:rsidP="002E61F2">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2E61F2">
      <w:pPr>
        <w:pStyle w:val="GPSL1SCHEDULEHeading"/>
      </w:pPr>
      <w:r w:rsidRPr="0025678C">
        <w:t>Principal exclusions</w:t>
      </w:r>
    </w:p>
    <w:p w:rsidR="00F20C99" w:rsidRDefault="00B26599" w:rsidP="002E61F2">
      <w:pPr>
        <w:pStyle w:val="GPSL2Numbered"/>
        <w:rPr>
          <w:caps/>
        </w:rPr>
      </w:pPr>
      <w:r w:rsidRPr="0025678C">
        <w:t>War and related perils</w:t>
      </w:r>
    </w:p>
    <w:p w:rsidR="00F20C99" w:rsidRDefault="00B26599" w:rsidP="002E61F2">
      <w:pPr>
        <w:pStyle w:val="GPSL2Numbered"/>
        <w:rPr>
          <w:caps/>
        </w:rPr>
      </w:pPr>
      <w:r w:rsidRPr="0025678C">
        <w:t>Nuclear and radioactive risks</w:t>
      </w:r>
    </w:p>
    <w:p w:rsidR="00F20C99" w:rsidRDefault="00B26599" w:rsidP="002E61F2">
      <w:pPr>
        <w:pStyle w:val="GPSL1SCHEDULEHeading"/>
      </w:pPr>
      <w:r w:rsidRPr="0025678C">
        <w:t>Maximum deductible threshold</w:t>
      </w:r>
    </w:p>
    <w:p w:rsidR="00F20C99" w:rsidRDefault="00B26599" w:rsidP="002E61F2">
      <w:pPr>
        <w:pStyle w:val="GPSL2Numbered"/>
        <w:rPr>
          <w:caps/>
        </w:rPr>
      </w:pPr>
      <w:r w:rsidRPr="0025678C">
        <w:t>Not to exceed</w:t>
      </w:r>
      <w:r w:rsidR="00F447B9">
        <w:rPr>
          <w:b/>
        </w:rPr>
        <w:t xml:space="preserve"> 10% e</w:t>
      </w:r>
      <w:r w:rsidRPr="0025678C">
        <w:t>ach and every claim.</w:t>
      </w:r>
    </w:p>
    <w:p w:rsidR="00F20C99" w:rsidRDefault="00F71B15">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933" w:author="potterj" w:date="2014-08-28T12:26:00Z" w:original="0."/>
        </w:fldChar>
      </w:r>
    </w:p>
    <w:p w:rsidR="00F20C99" w:rsidRDefault="008770CA" w:rsidP="007E2634">
      <w:pPr>
        <w:pStyle w:val="GPSSchPart"/>
      </w:pPr>
      <w:r w:rsidRPr="008770CA">
        <w:rPr>
          <w:caps w:val="0"/>
        </w:rPr>
        <w:br w:type="page"/>
      </w:r>
      <w:r w:rsidR="0028338E">
        <w:lastRenderedPageBreak/>
        <w:t>Part</w:t>
      </w:r>
      <w:r w:rsidR="00B26599" w:rsidRPr="0025678C">
        <w:t xml:space="preserve"> C: </w:t>
      </w:r>
      <w:r w:rsidR="0028338E">
        <w:t>United Kingdom Compulsory Insurances</w:t>
      </w:r>
    </w:p>
    <w:p w:rsidR="00F20C99" w:rsidRDefault="0028338E" w:rsidP="002E61F2">
      <w:pPr>
        <w:pStyle w:val="GPSL1SCHEDULEHeading"/>
      </w:pPr>
      <w:r>
        <w:t>General</w:t>
      </w:r>
    </w:p>
    <w:p w:rsidR="00F20C99" w:rsidRDefault="00B26599" w:rsidP="002E61F2">
      <w:pPr>
        <w:pStyle w:val="GPSL2Numbered"/>
        <w:rPr>
          <w:caps/>
        </w:rPr>
      </w:pPr>
      <w:r w:rsidRPr="0025678C">
        <w:t>The Supplier shall meet its insurance obligations under applicable Law in full, including, UK employers' liability insurance and motor third party liability insurance.</w:t>
      </w:r>
    </w:p>
    <w:p w:rsidR="00F20C99" w:rsidRDefault="00F71B15">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934" w:author="potterj" w:date="2014-08-28T12:26:00Z" w:original="0."/>
        </w:fldChar>
      </w:r>
    </w:p>
    <w:p w:rsidR="0028338E" w:rsidRPr="0028338E" w:rsidRDefault="008770CA">
      <w:pPr>
        <w:overflowPunct/>
        <w:autoSpaceDE/>
        <w:autoSpaceDN/>
        <w:adjustRightInd/>
        <w:spacing w:after="0"/>
        <w:jc w:val="left"/>
        <w:textAlignment w:val="auto"/>
        <w:rPr>
          <w:color w:val="FFFFFF"/>
          <w:sz w:val="16"/>
          <w:szCs w:val="16"/>
        </w:rPr>
      </w:pPr>
      <w:r w:rsidRPr="008770CA">
        <w:br w:type="page"/>
      </w:r>
    </w:p>
    <w:p w:rsidR="00F20C99" w:rsidRDefault="0028338E">
      <w:pPr>
        <w:pStyle w:val="GPSSchTitleandNumber"/>
      </w:pPr>
      <w:bookmarkStart w:id="935" w:name="_Toc365027629"/>
      <w:bookmarkStart w:id="936" w:name="_Toc366085201"/>
      <w:bookmarkStart w:id="937" w:name="_Toc379488107"/>
      <w:bookmarkStart w:id="938" w:name="_Toc380052209"/>
      <w:bookmarkStart w:id="939" w:name="_Toc380052720"/>
      <w:bookmarkStart w:id="940" w:name="_Toc391545406"/>
      <w:r w:rsidRPr="00587FAB">
        <w:lastRenderedPageBreak/>
        <w:t xml:space="preserve">FRAMEWORK SCHEDULE 15: </w:t>
      </w:r>
      <w:r w:rsidR="004B6F3F" w:rsidRPr="00587FAB">
        <w:t>NOTUSED</w:t>
      </w:r>
      <w:bookmarkEnd w:id="935"/>
      <w:bookmarkEnd w:id="936"/>
      <w:bookmarkEnd w:id="937"/>
      <w:bookmarkEnd w:id="938"/>
      <w:bookmarkEnd w:id="939"/>
      <w:bookmarkEnd w:id="940"/>
    </w:p>
    <w:p w:rsidR="00F20C99" w:rsidRDefault="00F20C99">
      <w:pPr>
        <w:pStyle w:val="GPSL1Guidance"/>
        <w:rPr>
          <w:highlight w:val="cyan"/>
        </w:rPr>
      </w:pPr>
    </w:p>
    <w:p w:rsidR="0028338E" w:rsidRPr="00695FE2" w:rsidRDefault="008770CA">
      <w:pPr>
        <w:overflowPunct/>
        <w:autoSpaceDE/>
        <w:autoSpaceDN/>
        <w:adjustRightInd/>
        <w:spacing w:after="0"/>
        <w:jc w:val="left"/>
        <w:textAlignment w:val="auto"/>
        <w:rPr>
          <w:color w:val="FFFFFF"/>
          <w:sz w:val="16"/>
          <w:szCs w:val="16"/>
        </w:rPr>
      </w:pPr>
      <w:r w:rsidRPr="008770CA">
        <w:br w:type="page"/>
      </w:r>
    </w:p>
    <w:p w:rsidR="00955DA1" w:rsidRDefault="00955DA1" w:rsidP="00955DA1">
      <w:pPr>
        <w:pStyle w:val="GPSSchTitleandNumber"/>
      </w:pPr>
      <w:bookmarkStart w:id="941" w:name="_Toc379488108"/>
      <w:bookmarkStart w:id="942" w:name="_Toc380052210"/>
      <w:bookmarkStart w:id="943" w:name="_Toc380052721"/>
      <w:bookmarkStart w:id="944" w:name="_Toc391545407"/>
      <w:bookmarkStart w:id="945" w:name="_Toc366085202"/>
      <w:r w:rsidRPr="00587FAB">
        <w:lastRenderedPageBreak/>
        <w:t xml:space="preserve">FRAMEWORK SCHEDULE 16: </w:t>
      </w:r>
      <w:r w:rsidR="00587FAB" w:rsidRPr="00587FAB">
        <w:t>NOT USED</w:t>
      </w:r>
      <w:bookmarkEnd w:id="941"/>
      <w:bookmarkEnd w:id="942"/>
      <w:bookmarkEnd w:id="943"/>
      <w:bookmarkEnd w:id="944"/>
    </w:p>
    <w:p w:rsidR="00955DA1" w:rsidRDefault="00955DA1" w:rsidP="00955DA1">
      <w:r w:rsidRPr="008770CA">
        <w:br w:type="page"/>
      </w:r>
    </w:p>
    <w:p w:rsidR="00F20C99" w:rsidRDefault="00695FE2">
      <w:pPr>
        <w:pStyle w:val="GPSSchTitleandNumber"/>
      </w:pPr>
      <w:bookmarkStart w:id="946" w:name="_Toc365027625"/>
      <w:bookmarkStart w:id="947" w:name="_Toc366085205"/>
      <w:bookmarkStart w:id="948" w:name="_Toc379488109"/>
      <w:bookmarkStart w:id="949" w:name="_Toc380052211"/>
      <w:bookmarkStart w:id="950" w:name="_Toc380052722"/>
      <w:bookmarkStart w:id="951" w:name="_Toc391545408"/>
      <w:bookmarkEnd w:id="945"/>
      <w:r w:rsidRPr="006875AD">
        <w:lastRenderedPageBreak/>
        <w:t>FRAMEWORK SCHEDULE 1</w:t>
      </w:r>
      <w:r w:rsidR="002D6D6C">
        <w:t>7</w:t>
      </w:r>
      <w:r w:rsidRPr="006875AD">
        <w:t>: COMMERCIALLY SENSITIVE INFORMATION</w:t>
      </w:r>
      <w:bookmarkEnd w:id="946"/>
      <w:bookmarkEnd w:id="947"/>
      <w:bookmarkEnd w:id="948"/>
      <w:bookmarkEnd w:id="949"/>
      <w:bookmarkEnd w:id="950"/>
      <w:bookmarkEnd w:id="951"/>
    </w:p>
    <w:p w:rsidR="00F20C99" w:rsidRDefault="00695FE2" w:rsidP="002E61F2">
      <w:pPr>
        <w:pStyle w:val="GPSL1SCHEDULEHeading"/>
      </w:pPr>
      <w:r w:rsidRPr="006875AD">
        <w:t>INTRODUCTION</w:t>
      </w:r>
    </w:p>
    <w:p w:rsidR="00F20C99" w:rsidRDefault="00695FE2" w:rsidP="002E61F2">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2E61F2">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2E61F2">
      <w:pPr>
        <w:pStyle w:val="GPSL2Numbered"/>
      </w:pPr>
      <w:r w:rsidRPr="006875AD">
        <w:t>Without prejudice to the Authority's obligation to disclose Information in accordance with FOIA or Clause</w:t>
      </w:r>
      <w:r>
        <w:t xml:space="preserve"> </w:t>
      </w:r>
      <w:r w:rsidR="00F71B15">
        <w:fldChar w:fldCharType="begin"/>
      </w:r>
      <w:r w:rsidR="00E27680">
        <w:instrText xml:space="preserve"> REF _Ref365035521 \r \h </w:instrText>
      </w:r>
      <w:r w:rsidR="00F71B15">
        <w:fldChar w:fldCharType="separate"/>
      </w:r>
      <w:r w:rsidR="00B3040B">
        <w:t>24.4</w:t>
      </w:r>
      <w:r w:rsidR="00F71B15">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rsidTr="00695FE2">
        <w:trPr>
          <w:tblHeader/>
        </w:trPr>
        <w:tc>
          <w:tcPr>
            <w:tcW w:w="962" w:type="dxa"/>
          </w:tcPr>
          <w:p w:rsidR="00695FE2" w:rsidRPr="00B370C4" w:rsidRDefault="00695FE2" w:rsidP="00695FE2">
            <w:pPr>
              <w:pStyle w:val="MarginText"/>
              <w:overflowPunct w:val="0"/>
              <w:autoSpaceDE w:val="0"/>
              <w:autoSpaceDN w:val="0"/>
              <w:jc w:val="center"/>
              <w:textAlignment w:val="baseline"/>
              <w:rPr>
                <w:rFonts w:cs="Arial"/>
                <w:b/>
                <w:szCs w:val="22"/>
              </w:rPr>
            </w:pPr>
            <w:r w:rsidRPr="00B370C4">
              <w:rPr>
                <w:rFonts w:cs="Arial"/>
                <w:b/>
                <w:szCs w:val="22"/>
              </w:rPr>
              <w:t>No.</w:t>
            </w:r>
          </w:p>
        </w:tc>
        <w:tc>
          <w:tcPr>
            <w:tcW w:w="1550" w:type="dxa"/>
          </w:tcPr>
          <w:p w:rsidR="00695FE2" w:rsidRPr="00B370C4" w:rsidRDefault="00695FE2" w:rsidP="00695FE2">
            <w:pPr>
              <w:pStyle w:val="MarginText"/>
              <w:overflowPunct w:val="0"/>
              <w:autoSpaceDE w:val="0"/>
              <w:autoSpaceDN w:val="0"/>
              <w:jc w:val="center"/>
              <w:textAlignment w:val="baseline"/>
              <w:rPr>
                <w:rFonts w:cs="Arial"/>
                <w:b/>
                <w:szCs w:val="22"/>
              </w:rPr>
            </w:pPr>
            <w:r w:rsidRPr="00B370C4">
              <w:rPr>
                <w:rFonts w:cs="Arial"/>
                <w:b/>
                <w:szCs w:val="22"/>
              </w:rPr>
              <w:t>Date</w:t>
            </w:r>
          </w:p>
        </w:tc>
        <w:tc>
          <w:tcPr>
            <w:tcW w:w="3361" w:type="dxa"/>
          </w:tcPr>
          <w:p w:rsidR="00695FE2" w:rsidRPr="00B370C4" w:rsidRDefault="00695FE2" w:rsidP="00695FE2">
            <w:pPr>
              <w:pStyle w:val="MarginText"/>
              <w:overflowPunct w:val="0"/>
              <w:autoSpaceDE w:val="0"/>
              <w:autoSpaceDN w:val="0"/>
              <w:jc w:val="center"/>
              <w:textAlignment w:val="baseline"/>
              <w:rPr>
                <w:rFonts w:cs="Arial"/>
                <w:b/>
                <w:szCs w:val="22"/>
              </w:rPr>
            </w:pPr>
            <w:r w:rsidRPr="00B370C4">
              <w:rPr>
                <w:rFonts w:cs="Arial"/>
                <w:b/>
                <w:szCs w:val="22"/>
              </w:rPr>
              <w:t>Item(s)</w:t>
            </w:r>
          </w:p>
        </w:tc>
        <w:tc>
          <w:tcPr>
            <w:tcW w:w="2238" w:type="dxa"/>
          </w:tcPr>
          <w:p w:rsidR="00695FE2" w:rsidRPr="00B370C4" w:rsidRDefault="00695FE2" w:rsidP="00695FE2">
            <w:pPr>
              <w:pStyle w:val="MarginText"/>
              <w:overflowPunct w:val="0"/>
              <w:autoSpaceDE w:val="0"/>
              <w:autoSpaceDN w:val="0"/>
              <w:jc w:val="center"/>
              <w:textAlignment w:val="baseline"/>
              <w:rPr>
                <w:rFonts w:cs="Arial"/>
                <w:b/>
                <w:szCs w:val="22"/>
              </w:rPr>
            </w:pPr>
            <w:r w:rsidRPr="00B370C4">
              <w:rPr>
                <w:rFonts w:cs="Arial"/>
                <w:b/>
                <w:szCs w:val="22"/>
              </w:rPr>
              <w:t>Duration of Confidentiality</w:t>
            </w:r>
          </w:p>
        </w:tc>
      </w:tr>
      <w:tr w:rsidR="00695FE2" w:rsidRPr="006875AD" w:rsidTr="00695FE2">
        <w:tc>
          <w:tcPr>
            <w:tcW w:w="962" w:type="dxa"/>
          </w:tcPr>
          <w:p w:rsidR="00695FE2" w:rsidRPr="00B370C4" w:rsidRDefault="00695FE2" w:rsidP="00695FE2">
            <w:pPr>
              <w:pStyle w:val="MarginText"/>
              <w:overflowPunct w:val="0"/>
              <w:autoSpaceDE w:val="0"/>
              <w:autoSpaceDN w:val="0"/>
              <w:textAlignment w:val="baseline"/>
              <w:rPr>
                <w:rFonts w:cs="Arial"/>
                <w:szCs w:val="22"/>
              </w:rPr>
            </w:pPr>
          </w:p>
        </w:tc>
        <w:tc>
          <w:tcPr>
            <w:tcW w:w="1550" w:type="dxa"/>
          </w:tcPr>
          <w:p w:rsidR="00695FE2" w:rsidRPr="00B370C4" w:rsidRDefault="00695FE2" w:rsidP="00695FE2">
            <w:pPr>
              <w:pStyle w:val="MarginText"/>
              <w:overflowPunct w:val="0"/>
              <w:autoSpaceDE w:val="0"/>
              <w:autoSpaceDN w:val="0"/>
              <w:textAlignment w:val="baseline"/>
              <w:rPr>
                <w:rFonts w:cs="Arial"/>
                <w:szCs w:val="22"/>
                <w:highlight w:val="yellow"/>
              </w:rPr>
            </w:pPr>
            <w:r w:rsidRPr="00B370C4">
              <w:rPr>
                <w:rFonts w:cs="Arial"/>
                <w:szCs w:val="22"/>
                <w:highlight w:val="yellow"/>
              </w:rPr>
              <w:t>[insert date]</w:t>
            </w:r>
            <w:r w:rsidRPr="00B370C4">
              <w:rPr>
                <w:rFonts w:cs="Arial"/>
                <w:szCs w:val="22"/>
              </w:rPr>
              <w:t xml:space="preserve"> </w:t>
            </w:r>
          </w:p>
        </w:tc>
        <w:tc>
          <w:tcPr>
            <w:tcW w:w="3361" w:type="dxa"/>
          </w:tcPr>
          <w:p w:rsidR="00695FE2" w:rsidRPr="00B370C4" w:rsidRDefault="00695FE2" w:rsidP="00695FE2">
            <w:pPr>
              <w:pStyle w:val="MarginText"/>
              <w:overflowPunct w:val="0"/>
              <w:autoSpaceDE w:val="0"/>
              <w:autoSpaceDN w:val="0"/>
              <w:textAlignment w:val="baseline"/>
              <w:rPr>
                <w:rFonts w:cs="Arial"/>
                <w:szCs w:val="22"/>
                <w:highlight w:val="yellow"/>
              </w:rPr>
            </w:pPr>
            <w:r w:rsidRPr="00B370C4">
              <w:rPr>
                <w:rFonts w:cs="Arial"/>
                <w:szCs w:val="22"/>
                <w:highlight w:val="yellow"/>
              </w:rPr>
              <w:t>[insert details]</w:t>
            </w:r>
          </w:p>
        </w:tc>
        <w:tc>
          <w:tcPr>
            <w:tcW w:w="2238" w:type="dxa"/>
          </w:tcPr>
          <w:p w:rsidR="00695FE2" w:rsidRPr="00B370C4" w:rsidRDefault="00695FE2" w:rsidP="00695FE2">
            <w:pPr>
              <w:pStyle w:val="MarginText"/>
              <w:overflowPunct w:val="0"/>
              <w:autoSpaceDE w:val="0"/>
              <w:autoSpaceDN w:val="0"/>
              <w:textAlignment w:val="baseline"/>
              <w:rPr>
                <w:rFonts w:cs="Arial"/>
                <w:szCs w:val="22"/>
                <w:highlight w:val="yellow"/>
              </w:rPr>
            </w:pPr>
            <w:r w:rsidRPr="00B370C4">
              <w:rPr>
                <w:rFonts w:cs="Arial"/>
                <w:szCs w:val="22"/>
                <w:highlight w:val="yellow"/>
              </w:rPr>
              <w:t>[insert duration]</w:t>
            </w:r>
          </w:p>
        </w:tc>
      </w:tr>
      <w:tr w:rsidR="00695FE2" w:rsidRPr="006875AD" w:rsidTr="00695FE2">
        <w:tc>
          <w:tcPr>
            <w:tcW w:w="962" w:type="dxa"/>
          </w:tcPr>
          <w:p w:rsidR="00695FE2" w:rsidRPr="00B370C4" w:rsidRDefault="00695FE2" w:rsidP="00695FE2">
            <w:pPr>
              <w:pStyle w:val="MarginText"/>
              <w:overflowPunct w:val="0"/>
              <w:autoSpaceDE w:val="0"/>
              <w:autoSpaceDN w:val="0"/>
              <w:textAlignment w:val="baseline"/>
              <w:rPr>
                <w:rFonts w:cs="Arial"/>
                <w:szCs w:val="22"/>
              </w:rPr>
            </w:pPr>
          </w:p>
        </w:tc>
        <w:tc>
          <w:tcPr>
            <w:tcW w:w="1550" w:type="dxa"/>
          </w:tcPr>
          <w:p w:rsidR="00695FE2" w:rsidRPr="00B370C4" w:rsidRDefault="00695FE2" w:rsidP="00695FE2">
            <w:pPr>
              <w:pStyle w:val="MarginText"/>
              <w:overflowPunct w:val="0"/>
              <w:autoSpaceDE w:val="0"/>
              <w:autoSpaceDN w:val="0"/>
              <w:textAlignment w:val="baseline"/>
              <w:rPr>
                <w:rFonts w:cs="Arial"/>
                <w:szCs w:val="22"/>
              </w:rPr>
            </w:pPr>
          </w:p>
        </w:tc>
        <w:tc>
          <w:tcPr>
            <w:tcW w:w="3361" w:type="dxa"/>
          </w:tcPr>
          <w:p w:rsidR="00695FE2" w:rsidRPr="00B370C4" w:rsidRDefault="00695FE2" w:rsidP="00695FE2">
            <w:pPr>
              <w:pStyle w:val="MarginText"/>
              <w:overflowPunct w:val="0"/>
              <w:autoSpaceDE w:val="0"/>
              <w:autoSpaceDN w:val="0"/>
              <w:textAlignment w:val="baseline"/>
              <w:rPr>
                <w:rFonts w:cs="Arial"/>
                <w:szCs w:val="22"/>
              </w:rPr>
            </w:pPr>
          </w:p>
        </w:tc>
        <w:tc>
          <w:tcPr>
            <w:tcW w:w="2238" w:type="dxa"/>
          </w:tcPr>
          <w:p w:rsidR="00695FE2" w:rsidRPr="00B370C4" w:rsidRDefault="00695FE2" w:rsidP="00695FE2">
            <w:pPr>
              <w:pStyle w:val="MarginText"/>
              <w:overflowPunct w:val="0"/>
              <w:autoSpaceDE w:val="0"/>
              <w:autoSpaceDN w:val="0"/>
              <w:textAlignment w:val="baseline"/>
              <w:rPr>
                <w:rFonts w:cs="Arial"/>
                <w:szCs w:val="22"/>
              </w:rPr>
            </w:pPr>
          </w:p>
        </w:tc>
      </w:tr>
      <w:tr w:rsidR="00695FE2" w:rsidRPr="006875AD" w:rsidTr="00695FE2">
        <w:tc>
          <w:tcPr>
            <w:tcW w:w="962" w:type="dxa"/>
          </w:tcPr>
          <w:p w:rsidR="00695FE2" w:rsidRPr="00B370C4" w:rsidRDefault="00695FE2" w:rsidP="00695FE2">
            <w:pPr>
              <w:pStyle w:val="MarginText"/>
              <w:overflowPunct w:val="0"/>
              <w:autoSpaceDE w:val="0"/>
              <w:autoSpaceDN w:val="0"/>
              <w:textAlignment w:val="baseline"/>
              <w:rPr>
                <w:rFonts w:cs="Arial"/>
                <w:szCs w:val="22"/>
              </w:rPr>
            </w:pPr>
          </w:p>
        </w:tc>
        <w:tc>
          <w:tcPr>
            <w:tcW w:w="1550" w:type="dxa"/>
          </w:tcPr>
          <w:p w:rsidR="00695FE2" w:rsidRPr="00B370C4" w:rsidRDefault="00695FE2" w:rsidP="00695FE2">
            <w:pPr>
              <w:pStyle w:val="MarginText"/>
              <w:overflowPunct w:val="0"/>
              <w:autoSpaceDE w:val="0"/>
              <w:autoSpaceDN w:val="0"/>
              <w:textAlignment w:val="baseline"/>
              <w:rPr>
                <w:rFonts w:cs="Arial"/>
                <w:szCs w:val="22"/>
              </w:rPr>
            </w:pPr>
          </w:p>
        </w:tc>
        <w:tc>
          <w:tcPr>
            <w:tcW w:w="3361" w:type="dxa"/>
          </w:tcPr>
          <w:p w:rsidR="00695FE2" w:rsidRPr="00B370C4" w:rsidRDefault="00695FE2" w:rsidP="00695FE2">
            <w:pPr>
              <w:pStyle w:val="MarginText"/>
              <w:overflowPunct w:val="0"/>
              <w:autoSpaceDE w:val="0"/>
              <w:autoSpaceDN w:val="0"/>
              <w:textAlignment w:val="baseline"/>
              <w:rPr>
                <w:rFonts w:cs="Arial"/>
                <w:szCs w:val="22"/>
              </w:rPr>
            </w:pPr>
          </w:p>
        </w:tc>
        <w:tc>
          <w:tcPr>
            <w:tcW w:w="2238" w:type="dxa"/>
          </w:tcPr>
          <w:p w:rsidR="00695FE2" w:rsidRPr="00B370C4" w:rsidRDefault="00695FE2" w:rsidP="00695FE2">
            <w:pPr>
              <w:pStyle w:val="MarginText"/>
              <w:overflowPunct w:val="0"/>
              <w:autoSpaceDE w:val="0"/>
              <w:autoSpaceDN w:val="0"/>
              <w:textAlignment w:val="baseline"/>
              <w:rPr>
                <w:rFonts w:cs="Arial"/>
                <w:szCs w:val="22"/>
              </w:rPr>
            </w:pPr>
          </w:p>
        </w:tc>
      </w:tr>
      <w:tr w:rsidR="00695FE2" w:rsidRPr="006875AD" w:rsidTr="00695FE2">
        <w:tc>
          <w:tcPr>
            <w:tcW w:w="962" w:type="dxa"/>
          </w:tcPr>
          <w:p w:rsidR="00695FE2" w:rsidRPr="00B370C4" w:rsidRDefault="00695FE2" w:rsidP="00695FE2">
            <w:pPr>
              <w:pStyle w:val="MarginText"/>
              <w:overflowPunct w:val="0"/>
              <w:autoSpaceDE w:val="0"/>
              <w:autoSpaceDN w:val="0"/>
              <w:textAlignment w:val="baseline"/>
              <w:rPr>
                <w:rFonts w:cs="Arial"/>
                <w:szCs w:val="22"/>
              </w:rPr>
            </w:pPr>
          </w:p>
        </w:tc>
        <w:tc>
          <w:tcPr>
            <w:tcW w:w="1550" w:type="dxa"/>
          </w:tcPr>
          <w:p w:rsidR="00695FE2" w:rsidRPr="00B370C4" w:rsidRDefault="00695FE2" w:rsidP="00695FE2">
            <w:pPr>
              <w:pStyle w:val="MarginText"/>
              <w:overflowPunct w:val="0"/>
              <w:autoSpaceDE w:val="0"/>
              <w:autoSpaceDN w:val="0"/>
              <w:textAlignment w:val="baseline"/>
              <w:rPr>
                <w:rFonts w:cs="Arial"/>
                <w:szCs w:val="22"/>
              </w:rPr>
            </w:pPr>
          </w:p>
        </w:tc>
        <w:tc>
          <w:tcPr>
            <w:tcW w:w="3361" w:type="dxa"/>
          </w:tcPr>
          <w:p w:rsidR="00695FE2" w:rsidRPr="00B370C4" w:rsidRDefault="00695FE2" w:rsidP="00695FE2">
            <w:pPr>
              <w:pStyle w:val="MarginText"/>
              <w:overflowPunct w:val="0"/>
              <w:autoSpaceDE w:val="0"/>
              <w:autoSpaceDN w:val="0"/>
              <w:textAlignment w:val="baseline"/>
              <w:rPr>
                <w:rFonts w:cs="Arial"/>
                <w:szCs w:val="22"/>
              </w:rPr>
            </w:pPr>
          </w:p>
        </w:tc>
        <w:tc>
          <w:tcPr>
            <w:tcW w:w="2238" w:type="dxa"/>
          </w:tcPr>
          <w:p w:rsidR="00695FE2" w:rsidRPr="00B370C4" w:rsidRDefault="00695FE2" w:rsidP="00695FE2">
            <w:pPr>
              <w:pStyle w:val="MarginText"/>
              <w:overflowPunct w:val="0"/>
              <w:autoSpaceDE w:val="0"/>
              <w:autoSpaceDN w:val="0"/>
              <w:textAlignment w:val="baseline"/>
              <w:rPr>
                <w:rFonts w:cs="Arial"/>
                <w:szCs w:val="22"/>
              </w:rPr>
            </w:pPr>
          </w:p>
        </w:tc>
      </w:tr>
    </w:tbl>
    <w:p w:rsidR="00F20C99" w:rsidRDefault="00F71B15">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952" w:author="potterj" w:date="2014-08-28T12:26:00Z" w:original="0."/>
        </w:fldChar>
      </w:r>
    </w:p>
    <w:p w:rsidR="00F20C99" w:rsidRDefault="00695FE2">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0822F5">
        <w:fldChar w:fldCharType="begin"/>
      </w:r>
      <w:r w:rsidR="000822F5">
        <w:instrText xml:space="preserve"> REF _Ref365043695 \w \h  \* MERGEFORMAT </w:instrText>
      </w:r>
      <w:r w:rsidR="000822F5">
        <w:fldChar w:fldCharType="separate"/>
      </w:r>
      <w:r w:rsidR="00B3040B" w:rsidRPr="00B3040B">
        <w:rPr>
          <w:highlight w:val="green"/>
        </w:rPr>
        <w:t>24.3</w:t>
      </w:r>
      <w:r w:rsidR="000822F5">
        <w:fldChar w:fldCharType="end"/>
      </w:r>
      <w:r w:rsidRPr="00DE3178">
        <w:rPr>
          <w:highlight w:val="green"/>
        </w:rPr>
        <w:t xml:space="preserve"> (Transparency</w:t>
      </w:r>
      <w:r w:rsidRPr="006875AD">
        <w:rPr>
          <w:highlight w:val="green"/>
        </w:rPr>
        <w:t>) of this Framework Agreement.]</w:t>
      </w:r>
    </w:p>
    <w:p w:rsidR="00F20C99" w:rsidRDefault="00695FE2">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E27680">
        <w:rPr>
          <w:highlight w:val="green"/>
        </w:rPr>
        <w:t>24.1</w:t>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7680">
        <w:rPr>
          <w:highlight w:val="green"/>
        </w:rPr>
        <w:t>24.1.2</w:t>
      </w:r>
      <w:r w:rsidR="00BC155A">
        <w:rPr>
          <w:highlight w:val="green"/>
        </w:rPr>
        <w:t xml:space="preserve"> </w:t>
      </w:r>
      <w:r w:rsidRPr="00950953">
        <w:rPr>
          <w:highlight w:val="green"/>
        </w:rPr>
        <w:t>of this Framework Agreement.]</w:t>
      </w:r>
    </w:p>
    <w:p w:rsidR="00695FE2" w:rsidRPr="00695FE2" w:rsidRDefault="008770CA">
      <w:pPr>
        <w:overflowPunct/>
        <w:autoSpaceDE/>
        <w:autoSpaceDN/>
        <w:adjustRightInd/>
        <w:spacing w:after="0"/>
        <w:jc w:val="left"/>
        <w:textAlignment w:val="auto"/>
        <w:rPr>
          <w:color w:val="FFFFFF"/>
          <w:sz w:val="16"/>
          <w:szCs w:val="16"/>
        </w:rPr>
      </w:pPr>
      <w:r w:rsidRPr="008770CA">
        <w:br w:type="page"/>
      </w:r>
    </w:p>
    <w:p w:rsidR="00F20C99" w:rsidRDefault="00695FE2">
      <w:pPr>
        <w:pStyle w:val="GPSSchTitleandNumber"/>
      </w:pPr>
      <w:bookmarkStart w:id="953" w:name="_Toc366085206"/>
      <w:bookmarkStart w:id="954" w:name="_Toc379488110"/>
      <w:bookmarkStart w:id="955" w:name="_Toc380052212"/>
      <w:bookmarkStart w:id="956" w:name="_Toc380052723"/>
      <w:bookmarkStart w:id="957" w:name="_Toc391545409"/>
      <w:r>
        <w:lastRenderedPageBreak/>
        <w:t xml:space="preserve">FRAMEWORK SCHEDULE 18: </w:t>
      </w:r>
      <w:r w:rsidRPr="00C44468">
        <w:t>D</w:t>
      </w:r>
      <w:r>
        <w:t>ISPUTE RESOLUTION PROCEDURE</w:t>
      </w:r>
      <w:bookmarkEnd w:id="953"/>
      <w:bookmarkEnd w:id="954"/>
      <w:bookmarkEnd w:id="955"/>
      <w:bookmarkEnd w:id="956"/>
      <w:bookmarkEnd w:id="957"/>
    </w:p>
    <w:p w:rsidR="00F20C99" w:rsidRDefault="00695FE2" w:rsidP="002E61F2">
      <w:pPr>
        <w:pStyle w:val="GPSL1SCHEDULEHeading"/>
      </w:pPr>
      <w:r w:rsidRPr="00B516BB">
        <w:t>DEFINITIONS</w:t>
      </w:r>
    </w:p>
    <w:p w:rsidR="00F20C99" w:rsidRDefault="00695FE2" w:rsidP="002E61F2">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rsidTr="00293635">
        <w:tc>
          <w:tcPr>
            <w:tcW w:w="2268" w:type="dxa"/>
          </w:tcPr>
          <w:p w:rsidR="00F20C99" w:rsidRDefault="00293635" w:rsidP="00293635">
            <w:pPr>
              <w:pStyle w:val="GPSDefinitionTerm"/>
            </w:pPr>
            <w:r w:rsidRPr="006875AD">
              <w:t>"</w:t>
            </w:r>
            <w:r w:rsidR="00695FE2" w:rsidRPr="00C44468">
              <w:t>CEDR</w:t>
            </w:r>
            <w:r w:rsidRPr="006875AD">
              <w:t>"</w:t>
            </w:r>
          </w:p>
        </w:tc>
        <w:tc>
          <w:tcPr>
            <w:tcW w:w="5244" w:type="dxa"/>
          </w:tcPr>
          <w:p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rsidTr="00293635">
        <w:tc>
          <w:tcPr>
            <w:tcW w:w="2268" w:type="dxa"/>
          </w:tcPr>
          <w:p w:rsidR="00F20C99" w:rsidRDefault="00293635" w:rsidP="00293635">
            <w:pPr>
              <w:pStyle w:val="GPSDefinitionTerm"/>
            </w:pPr>
            <w:r w:rsidRPr="006875AD">
              <w:t>"</w:t>
            </w:r>
            <w:r w:rsidR="00695FE2" w:rsidRPr="00C44468">
              <w:t>Counter Notice</w:t>
            </w:r>
            <w:r w:rsidRPr="006875AD">
              <w:t>"</w:t>
            </w:r>
          </w:p>
        </w:tc>
        <w:tc>
          <w:tcPr>
            <w:tcW w:w="5244" w:type="dxa"/>
          </w:tcPr>
          <w:p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F71B15">
              <w:fldChar w:fldCharType="begin"/>
            </w:r>
            <w:r w:rsidR="009F4234">
              <w:instrText xml:space="preserve"> REF _Ref365995970 \r \h </w:instrText>
            </w:r>
            <w:r w:rsidR="00F71B15">
              <w:fldChar w:fldCharType="separate"/>
            </w:r>
            <w:r w:rsidR="00B3040B">
              <w:t>6.2</w:t>
            </w:r>
            <w:r w:rsidR="00F71B15">
              <w:fldChar w:fldCharType="end"/>
            </w:r>
            <w:r w:rsidR="00695FE2" w:rsidRPr="00695FE2">
              <w:t>;</w:t>
            </w:r>
          </w:p>
        </w:tc>
      </w:tr>
      <w:tr w:rsidR="00695FE2" w:rsidRPr="00C44468" w:rsidTr="00293635">
        <w:tc>
          <w:tcPr>
            <w:tcW w:w="2268" w:type="dxa"/>
          </w:tcPr>
          <w:p w:rsidR="00F20C99" w:rsidRDefault="00293635" w:rsidP="00293635">
            <w:pPr>
              <w:pStyle w:val="GPSDefinitionTerm"/>
            </w:pPr>
            <w:r w:rsidRPr="006875AD">
              <w:t>"</w:t>
            </w:r>
            <w:r w:rsidR="00695FE2" w:rsidRPr="00C44468">
              <w:t>Exception</w:t>
            </w:r>
            <w:r w:rsidRPr="006875AD">
              <w:t>"</w:t>
            </w:r>
          </w:p>
        </w:tc>
        <w:tc>
          <w:tcPr>
            <w:tcW w:w="5244" w:type="dxa"/>
          </w:tcPr>
          <w:p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Services;</w:t>
            </w:r>
          </w:p>
        </w:tc>
      </w:tr>
      <w:tr w:rsidR="00695FE2" w:rsidRPr="00C44468" w:rsidTr="00293635">
        <w:tc>
          <w:tcPr>
            <w:tcW w:w="2268" w:type="dxa"/>
          </w:tcPr>
          <w:p w:rsidR="00F20C99" w:rsidRDefault="00293635" w:rsidP="00293635">
            <w:pPr>
              <w:pStyle w:val="GPSDefinitionTerm"/>
            </w:pPr>
            <w:r w:rsidRPr="006875AD">
              <w:t>"</w:t>
            </w:r>
            <w:r w:rsidR="00695FE2">
              <w:t>Expedited Dispute Timetable</w:t>
            </w:r>
            <w:r w:rsidRPr="006875AD">
              <w:t>"</w:t>
            </w:r>
          </w:p>
        </w:tc>
        <w:tc>
          <w:tcPr>
            <w:tcW w:w="5244" w:type="dxa"/>
          </w:tcPr>
          <w:p w:rsidR="00F20C99" w:rsidRDefault="00293635" w:rsidP="00293635">
            <w:pPr>
              <w:pStyle w:val="GPsDefinition"/>
            </w:pPr>
            <w:r>
              <w:t xml:space="preserve">means </w:t>
            </w:r>
            <w:r w:rsidR="00695FE2" w:rsidRPr="00695FE2">
              <w:t xml:space="preserve">the accelerated timetable for the resolution of disputes as set out in paragraph </w:t>
            </w:r>
            <w:r w:rsidR="00F71B15">
              <w:fldChar w:fldCharType="begin"/>
            </w:r>
            <w:r w:rsidR="009F4234">
              <w:instrText xml:space="preserve"> REF _Ref365996028 \r \h </w:instrText>
            </w:r>
            <w:r w:rsidR="00F71B15">
              <w:fldChar w:fldCharType="separate"/>
            </w:r>
            <w:r w:rsidR="00B3040B">
              <w:t>2.6</w:t>
            </w:r>
            <w:r w:rsidR="00F71B15">
              <w:fldChar w:fldCharType="end"/>
            </w:r>
            <w:r w:rsidR="00695FE2" w:rsidRPr="00695FE2">
              <w:t>;</w:t>
            </w:r>
          </w:p>
        </w:tc>
      </w:tr>
      <w:tr w:rsidR="00695FE2" w:rsidRPr="00C44468" w:rsidTr="00293635">
        <w:tc>
          <w:tcPr>
            <w:tcW w:w="2268" w:type="dxa"/>
          </w:tcPr>
          <w:p w:rsidR="00F20C99" w:rsidRDefault="00293635" w:rsidP="00293635">
            <w:pPr>
              <w:pStyle w:val="GPSDefinitionTerm"/>
            </w:pPr>
            <w:r w:rsidRPr="006875AD">
              <w:t>"</w:t>
            </w:r>
            <w:r w:rsidR="00695FE2" w:rsidRPr="00C44468">
              <w:t>Expert</w:t>
            </w:r>
            <w:r w:rsidRPr="006875AD">
              <w:t>"</w:t>
            </w:r>
          </w:p>
        </w:tc>
        <w:tc>
          <w:tcPr>
            <w:tcW w:w="5244" w:type="dxa"/>
          </w:tcPr>
          <w:p w:rsidR="00F20C99" w:rsidRDefault="00293635" w:rsidP="00293635">
            <w:pPr>
              <w:pStyle w:val="GPsDefinition"/>
            </w:pPr>
            <w:r>
              <w:t xml:space="preserve">means </w:t>
            </w:r>
            <w:r w:rsidR="00695FE2" w:rsidRPr="00695FE2">
              <w:t>the person appointed by the Parties in accordance with paragraph </w:t>
            </w:r>
            <w:r w:rsidR="00F71B15">
              <w:fldChar w:fldCharType="begin"/>
            </w:r>
            <w:r w:rsidR="009F4234">
              <w:instrText xml:space="preserve"> REF _Ref365996079 \r \h </w:instrText>
            </w:r>
            <w:r w:rsidR="00F71B15">
              <w:fldChar w:fldCharType="separate"/>
            </w:r>
            <w:r w:rsidR="00B3040B">
              <w:t>5.2</w:t>
            </w:r>
            <w:r w:rsidR="00F71B15">
              <w:fldChar w:fldCharType="end"/>
            </w:r>
            <w:r w:rsidR="00695FE2" w:rsidRPr="00695FE2">
              <w:t xml:space="preserve">of this </w:t>
            </w:r>
            <w:r w:rsidR="009F4234">
              <w:t xml:space="preserve">Framework </w:t>
            </w:r>
            <w:r w:rsidR="00695FE2" w:rsidRPr="00695FE2">
              <w:t xml:space="preserve">Schedule 18; </w:t>
            </w:r>
          </w:p>
        </w:tc>
      </w:tr>
      <w:tr w:rsidR="00695FE2" w:rsidRPr="00C44468" w:rsidTr="00293635">
        <w:tc>
          <w:tcPr>
            <w:tcW w:w="2268" w:type="dxa"/>
          </w:tcPr>
          <w:p w:rsidR="00F20C99" w:rsidRDefault="00293635" w:rsidP="00293635">
            <w:pPr>
              <w:pStyle w:val="GPSDefinitionTerm"/>
            </w:pPr>
            <w:r w:rsidRPr="006875AD">
              <w:t>"</w:t>
            </w:r>
            <w:r w:rsidR="00695FE2">
              <w:t>Mediation Notice</w:t>
            </w:r>
            <w:r w:rsidRPr="006875AD">
              <w:t>"</w:t>
            </w:r>
          </w:p>
        </w:tc>
        <w:tc>
          <w:tcPr>
            <w:tcW w:w="5244" w:type="dxa"/>
          </w:tcPr>
          <w:p w:rsidR="00F20C99" w:rsidRDefault="00293635" w:rsidP="00293635">
            <w:pPr>
              <w:pStyle w:val="GPsDefinition"/>
            </w:pPr>
            <w:r>
              <w:t xml:space="preserve">has </w:t>
            </w:r>
            <w:r w:rsidR="00695FE2" w:rsidRPr="00695FE2">
              <w:t xml:space="preserve">the meaning given to it in paragraph </w:t>
            </w:r>
            <w:r w:rsidR="00F71B15">
              <w:fldChar w:fldCharType="begin"/>
            </w:r>
            <w:r w:rsidR="009F4234">
              <w:instrText xml:space="preserve"> REF _Ref365996143 \r \h </w:instrText>
            </w:r>
            <w:r w:rsidR="00F71B15">
              <w:fldChar w:fldCharType="separate"/>
            </w:r>
            <w:r w:rsidR="00B3040B">
              <w:t>3.2</w:t>
            </w:r>
            <w:r w:rsidR="00F71B15">
              <w:fldChar w:fldCharType="end"/>
            </w:r>
            <w:r w:rsidR="00695FE2" w:rsidRPr="00695FE2">
              <w:t>; and</w:t>
            </w:r>
          </w:p>
        </w:tc>
      </w:tr>
      <w:tr w:rsidR="00695FE2" w:rsidRPr="00C44468" w:rsidTr="00293635">
        <w:tc>
          <w:tcPr>
            <w:tcW w:w="2268" w:type="dxa"/>
          </w:tcPr>
          <w:p w:rsidR="00F20C99" w:rsidRDefault="00293635" w:rsidP="00293635">
            <w:pPr>
              <w:pStyle w:val="GPSDefinitionTerm"/>
            </w:pPr>
            <w:r w:rsidRPr="006875AD">
              <w:t>"</w:t>
            </w:r>
            <w:r w:rsidR="00695FE2" w:rsidRPr="00C44468">
              <w:t>Mediator</w:t>
            </w:r>
            <w:r w:rsidRPr="006875AD">
              <w:t>"</w:t>
            </w:r>
          </w:p>
        </w:tc>
        <w:tc>
          <w:tcPr>
            <w:tcW w:w="5244" w:type="dxa"/>
          </w:tcPr>
          <w:p w:rsidR="00F20C99" w:rsidRDefault="00293635" w:rsidP="00293635">
            <w:pPr>
              <w:pStyle w:val="GPsDefinition"/>
            </w:pPr>
            <w:r>
              <w:t xml:space="preserve">means </w:t>
            </w:r>
            <w:r w:rsidR="00695FE2" w:rsidRPr="00695FE2">
              <w:t>the independent third party appointed in accordance with paragraph </w:t>
            </w:r>
            <w:r w:rsidR="00F71B15">
              <w:fldChar w:fldCharType="begin"/>
            </w:r>
            <w:r w:rsidR="009F4234">
              <w:instrText xml:space="preserve"> REF _Ref365996174 \r \h </w:instrText>
            </w:r>
            <w:r w:rsidR="00F71B15">
              <w:fldChar w:fldCharType="separate"/>
            </w:r>
            <w:r w:rsidR="00B3040B">
              <w:t>4.2</w:t>
            </w:r>
            <w:r w:rsidR="00F71B15">
              <w:fldChar w:fldCharType="end"/>
            </w:r>
            <w:r w:rsidR="00695FE2" w:rsidRPr="00695FE2">
              <w:t xml:space="preserve"> of this </w:t>
            </w:r>
            <w:r w:rsidR="009F4234">
              <w:t xml:space="preserve">Framework </w:t>
            </w:r>
            <w:r w:rsidR="00695FE2" w:rsidRPr="00695FE2">
              <w:t>Schedule 18.</w:t>
            </w:r>
          </w:p>
        </w:tc>
      </w:tr>
    </w:tbl>
    <w:p w:rsidR="00F20C99" w:rsidRDefault="00695FE2" w:rsidP="002E61F2">
      <w:pPr>
        <w:pStyle w:val="GPSL1SCHEDULEHeading"/>
      </w:pPr>
      <w:r>
        <w:t>I</w:t>
      </w:r>
      <w:r w:rsidRPr="00B516BB">
        <w:t>NTRODUCTION</w:t>
      </w:r>
    </w:p>
    <w:p w:rsidR="00F20C99" w:rsidRDefault="00695FE2" w:rsidP="002E61F2">
      <w:pPr>
        <w:pStyle w:val="GPSL2Numbered"/>
      </w:pPr>
      <w:bookmarkStart w:id="958" w:name="_Ref366050930"/>
      <w:r w:rsidRPr="00C44468">
        <w:t>If a Dispute arises then:</w:t>
      </w:r>
      <w:bookmarkEnd w:id="958"/>
    </w:p>
    <w:p w:rsidR="00F20C99" w:rsidRDefault="00695FE2" w:rsidP="002E61F2">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rsidR="00F20C99" w:rsidRDefault="00695FE2" w:rsidP="002E61F2">
      <w:pPr>
        <w:pStyle w:val="GPSL3numberedclause"/>
      </w:pPr>
      <w:r w:rsidRPr="00C44468">
        <w:t>if such attempts are not successful within a reasonable time either Party may give to the other a Dispute Notice.</w:t>
      </w:r>
    </w:p>
    <w:p w:rsidR="00F20C99" w:rsidRDefault="00695FE2" w:rsidP="002E61F2">
      <w:pPr>
        <w:pStyle w:val="GPSL2Numbered"/>
      </w:pPr>
      <w:r w:rsidRPr="00C44468">
        <w:t>The Dispute Notice shall set out:</w:t>
      </w:r>
    </w:p>
    <w:p w:rsidR="00F20C99" w:rsidRDefault="00695FE2" w:rsidP="002E61F2">
      <w:pPr>
        <w:pStyle w:val="GPSL3numberedclause"/>
      </w:pPr>
      <w:r w:rsidRPr="00C44468">
        <w:t>the material particulars of the Dispute;</w:t>
      </w:r>
    </w:p>
    <w:p w:rsidR="00F20C99" w:rsidRDefault="00695FE2" w:rsidP="002E61F2">
      <w:pPr>
        <w:pStyle w:val="GPSL3numberedclause"/>
      </w:pPr>
      <w:r w:rsidRPr="00C44468">
        <w:t>the reasons why the Party serving the Dispute Notice believes that the Dispute has arisen; and</w:t>
      </w:r>
    </w:p>
    <w:p w:rsidR="00F20C99" w:rsidRDefault="00695FE2" w:rsidP="002E61F2">
      <w:pPr>
        <w:pStyle w:val="GPSL3numberedclause"/>
      </w:pPr>
      <w:r w:rsidRPr="00C44468">
        <w:t>if the Party serving the Dispute Notice believes that the Dispute should be dealt with under the Expedited Dispute Timetable</w:t>
      </w:r>
      <w:r>
        <w:t xml:space="preserve"> as set out in paragraph </w:t>
      </w:r>
      <w:r w:rsidR="00F71B15">
        <w:fldChar w:fldCharType="begin"/>
      </w:r>
      <w:r w:rsidR="009F4234">
        <w:instrText xml:space="preserve"> REF _Ref365996028 \r \h </w:instrText>
      </w:r>
      <w:r w:rsidR="00F71B15">
        <w:fldChar w:fldCharType="separate"/>
      </w:r>
      <w:r w:rsidR="00B3040B">
        <w:t>2.6</w:t>
      </w:r>
      <w:r w:rsidR="00F71B15">
        <w:fldChar w:fldCharType="end"/>
      </w:r>
      <w:r w:rsidRPr="00C44468">
        <w:t>, the reason why.</w:t>
      </w:r>
    </w:p>
    <w:p w:rsidR="00F20C99" w:rsidRDefault="00695FE2" w:rsidP="002E61F2">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rsidR="00F20C99" w:rsidRDefault="00695FE2" w:rsidP="002E61F2">
      <w:pPr>
        <w:pStyle w:val="GPSL2Numbered"/>
      </w:pPr>
      <w:r w:rsidRPr="00C44468">
        <w:t xml:space="preserve">Subject to </w:t>
      </w:r>
      <w:r>
        <w:t>p</w:t>
      </w:r>
      <w:r w:rsidRPr="00C44468">
        <w:t>aragraph </w:t>
      </w:r>
      <w:r w:rsidR="00F71B15">
        <w:fldChar w:fldCharType="begin"/>
      </w:r>
      <w:r w:rsidR="009F4234">
        <w:instrText xml:space="preserve"> REF _Ref365996143 \r \h </w:instrText>
      </w:r>
      <w:r w:rsidR="00F71B15">
        <w:fldChar w:fldCharType="separate"/>
      </w:r>
      <w:r w:rsidR="00B3040B">
        <w:t>3.2</w:t>
      </w:r>
      <w:r w:rsidR="00F71B15">
        <w:fldChar w:fldCharType="end"/>
      </w:r>
      <w:r w:rsidRPr="00C44468">
        <w:t>, the Parties shall seek to resolve Disputes:</w:t>
      </w:r>
    </w:p>
    <w:p w:rsidR="00F20C99" w:rsidRDefault="00695FE2" w:rsidP="002E61F2">
      <w:pPr>
        <w:pStyle w:val="GPSL3numberedclause"/>
      </w:pPr>
      <w:r w:rsidRPr="00C44468">
        <w:t xml:space="preserve">first by commercial negotiation (as prescribed in </w:t>
      </w:r>
      <w:r>
        <w:t>p</w:t>
      </w:r>
      <w:r w:rsidRPr="00C44468">
        <w:t>aragraph </w:t>
      </w:r>
      <w:r w:rsidR="00F71B15">
        <w:fldChar w:fldCharType="begin"/>
      </w:r>
      <w:r w:rsidR="009F4234">
        <w:instrText xml:space="preserve"> REF _Ref365996356 \r \h </w:instrText>
      </w:r>
      <w:r w:rsidR="00F71B15">
        <w:fldChar w:fldCharType="separate"/>
      </w:r>
      <w:r w:rsidR="00B3040B">
        <w:t>3</w:t>
      </w:r>
      <w:r w:rsidR="00F71B15">
        <w:fldChar w:fldCharType="end"/>
      </w:r>
      <w:r w:rsidRPr="00C44468">
        <w:t>);</w:t>
      </w:r>
    </w:p>
    <w:p w:rsidR="00F20C99" w:rsidRDefault="00695FE2" w:rsidP="002E61F2">
      <w:pPr>
        <w:pStyle w:val="GPSL3numberedclause"/>
      </w:pPr>
      <w:r w:rsidRPr="00C44468">
        <w:t xml:space="preserve">then by mediation (as prescribed in </w:t>
      </w:r>
      <w:r>
        <w:t>p</w:t>
      </w:r>
      <w:r w:rsidRPr="00C44468">
        <w:t>aragraph </w:t>
      </w:r>
      <w:r w:rsidR="00F71B15">
        <w:fldChar w:fldCharType="begin"/>
      </w:r>
      <w:r w:rsidR="009F4234">
        <w:instrText xml:space="preserve"> REF _Ref365996377 \r \h </w:instrText>
      </w:r>
      <w:r w:rsidR="00F71B15">
        <w:fldChar w:fldCharType="separate"/>
      </w:r>
      <w:r w:rsidR="00B3040B">
        <w:t>4</w:t>
      </w:r>
      <w:r w:rsidR="00F71B15">
        <w:fldChar w:fldCharType="end"/>
      </w:r>
      <w:r w:rsidRPr="00C44468">
        <w:t xml:space="preserve">); and </w:t>
      </w:r>
    </w:p>
    <w:p w:rsidR="00F20C99" w:rsidRDefault="00695FE2" w:rsidP="002E61F2">
      <w:pPr>
        <w:pStyle w:val="GPSL3numberedclause"/>
      </w:pPr>
      <w:r w:rsidRPr="00C44468">
        <w:lastRenderedPageBreak/>
        <w:t xml:space="preserve">lastly by recourse to arbitration (as prescribed in </w:t>
      </w:r>
      <w:r>
        <w:t>p</w:t>
      </w:r>
      <w:r w:rsidRPr="00C44468">
        <w:t>aragraph </w:t>
      </w:r>
      <w:r w:rsidR="00F71B15">
        <w:fldChar w:fldCharType="begin"/>
      </w:r>
      <w:r w:rsidR="00EC2F19">
        <w:instrText xml:space="preserve"> REF _Ref365996496 \r \h </w:instrText>
      </w:r>
      <w:r w:rsidR="00F71B15">
        <w:fldChar w:fldCharType="separate"/>
      </w:r>
      <w:r w:rsidR="00B3040B">
        <w:t>6</w:t>
      </w:r>
      <w:r w:rsidR="00F71B15">
        <w:fldChar w:fldCharType="end"/>
      </w:r>
      <w:r w:rsidRPr="00C44468">
        <w:t>) or litigation (in accordance with Clause </w:t>
      </w:r>
      <w:r w:rsidR="00F71B15">
        <w:fldChar w:fldCharType="begin"/>
      </w:r>
      <w:r w:rsidR="00EC2F19">
        <w:instrText xml:space="preserve"> REF _Ref365996704 \r \h </w:instrText>
      </w:r>
      <w:r w:rsidR="00F71B15">
        <w:fldChar w:fldCharType="separate"/>
      </w:r>
      <w:r w:rsidR="00B3040B">
        <w:t>46</w:t>
      </w:r>
      <w:r w:rsidR="00F71B15">
        <w:fldChar w:fldCharType="end"/>
      </w:r>
      <w:r w:rsidRPr="00C44468">
        <w:t> (</w:t>
      </w:r>
      <w:r w:rsidRPr="00C44468">
        <w:rPr>
          <w:i/>
        </w:rPr>
        <w:t>Governing Law and Jurisdiction</w:t>
      </w:r>
      <w:r w:rsidRPr="00C44468">
        <w:t>)).</w:t>
      </w:r>
    </w:p>
    <w:p w:rsidR="00F20C99"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F71B15">
        <w:fldChar w:fldCharType="begin"/>
      </w:r>
      <w:r w:rsidR="00EC2F19">
        <w:instrText xml:space="preserve"> REF _Ref365996568 \r \h </w:instrText>
      </w:r>
      <w:r w:rsidR="00F71B15">
        <w:fldChar w:fldCharType="separate"/>
      </w:r>
      <w:r w:rsidR="00B3040B">
        <w:t>5</w:t>
      </w:r>
      <w:r w:rsidR="00F71B15">
        <w:fldChar w:fldCharType="end"/>
      </w:r>
      <w:r w:rsidR="00EC2F19">
        <w:t xml:space="preserve"> (Expert Determination)</w:t>
      </w:r>
      <w:r w:rsidRPr="00C44468">
        <w:t>.</w:t>
      </w:r>
    </w:p>
    <w:p w:rsidR="00F20C99" w:rsidRDefault="00695FE2" w:rsidP="002E61F2">
      <w:pPr>
        <w:pStyle w:val="GPSL2Numbered"/>
      </w:pPr>
      <w:bookmarkStart w:id="95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959"/>
    </w:p>
    <w:p w:rsidR="00F20C99" w:rsidRDefault="00695FE2" w:rsidP="002E61F2">
      <w:pPr>
        <w:pStyle w:val="GPSL2Numbered"/>
      </w:pPr>
      <w:bookmarkStart w:id="96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F71B15">
        <w:fldChar w:fldCharType="begin"/>
      </w:r>
      <w:r w:rsidR="002F7201">
        <w:instrText xml:space="preserve"> REF _Ref366048139 \r \h </w:instrText>
      </w:r>
      <w:r w:rsidR="00F71B15">
        <w:fldChar w:fldCharType="separate"/>
      </w:r>
      <w:r w:rsidR="00B3040B">
        <w:t>2.5</w:t>
      </w:r>
      <w:r w:rsidR="00F71B15">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960"/>
    </w:p>
    <w:p w:rsidR="00F20C99" w:rsidRDefault="00695FE2" w:rsidP="002E61F2">
      <w:pPr>
        <w:pStyle w:val="GPSL3numberedclause"/>
      </w:pPr>
      <w:r w:rsidRPr="00C44468">
        <w:t xml:space="preserve">in </w:t>
      </w:r>
      <w:r>
        <w:t>p</w:t>
      </w:r>
      <w:r w:rsidRPr="00C44468">
        <w:t>aragraph </w:t>
      </w:r>
      <w:r w:rsidR="00F71B15">
        <w:fldChar w:fldCharType="begin"/>
      </w:r>
      <w:r w:rsidR="002F7201">
        <w:instrText xml:space="preserve"> REF _Ref366048380 \r \h </w:instrText>
      </w:r>
      <w:r w:rsidR="00F71B15">
        <w:fldChar w:fldCharType="separate"/>
      </w:r>
      <w:r w:rsidR="00B3040B">
        <w:t>3.2.3</w:t>
      </w:r>
      <w:r w:rsidR="00F71B15">
        <w:fldChar w:fldCharType="end"/>
      </w:r>
      <w:r w:rsidRPr="00C44468">
        <w:t xml:space="preserve">, </w:t>
      </w:r>
      <w:r w:rsidR="002F7201">
        <w:t>ten (</w:t>
      </w:r>
      <w:r w:rsidRPr="00C44468">
        <w:t>10</w:t>
      </w:r>
      <w:r w:rsidR="002F7201">
        <w:t>)</w:t>
      </w:r>
      <w:r w:rsidRPr="00C44468">
        <w:t> Working Days;</w:t>
      </w:r>
    </w:p>
    <w:p w:rsidR="00F20C99" w:rsidRDefault="00695FE2" w:rsidP="002E61F2">
      <w:pPr>
        <w:pStyle w:val="GPSL3numberedclause"/>
      </w:pPr>
      <w:r>
        <w:t>in p</w:t>
      </w:r>
      <w:r w:rsidRPr="00C44468">
        <w:t>aragraph </w:t>
      </w:r>
      <w:r w:rsidR="00F71B15">
        <w:fldChar w:fldCharType="begin"/>
      </w:r>
      <w:r w:rsidR="002F7201">
        <w:instrText xml:space="preserve"> REF _Ref365996174 \r \h </w:instrText>
      </w:r>
      <w:r w:rsidR="00F71B15">
        <w:fldChar w:fldCharType="separate"/>
      </w:r>
      <w:r w:rsidR="00B3040B">
        <w:t>4.2</w:t>
      </w:r>
      <w:r w:rsidR="00F71B15">
        <w:fldChar w:fldCharType="end"/>
      </w:r>
      <w:r w:rsidRPr="00C44468">
        <w:t xml:space="preserve">, </w:t>
      </w:r>
      <w:r w:rsidR="002F7201">
        <w:t>ten (</w:t>
      </w:r>
      <w:r w:rsidRPr="00C44468">
        <w:t>10</w:t>
      </w:r>
      <w:r w:rsidR="002F7201">
        <w:t>)</w:t>
      </w:r>
      <w:r w:rsidRPr="00C44468">
        <w:t> Working Days;</w:t>
      </w:r>
    </w:p>
    <w:p w:rsidR="00F20C99" w:rsidRDefault="00695FE2" w:rsidP="002E61F2">
      <w:pPr>
        <w:pStyle w:val="GPSL3numberedclause"/>
      </w:pPr>
      <w:r w:rsidRPr="00C44468">
        <w:t xml:space="preserve">in </w:t>
      </w:r>
      <w:r>
        <w:t>p</w:t>
      </w:r>
      <w:r w:rsidRPr="00C44468">
        <w:t>aragraph </w:t>
      </w:r>
      <w:r w:rsidR="00F71B15">
        <w:fldChar w:fldCharType="begin"/>
      </w:r>
      <w:r w:rsidR="002F7201">
        <w:instrText xml:space="preserve"> REF _Ref365996079 \r \h </w:instrText>
      </w:r>
      <w:r w:rsidR="00F71B15">
        <w:fldChar w:fldCharType="separate"/>
      </w:r>
      <w:r w:rsidR="00B3040B">
        <w:t>5.2</w:t>
      </w:r>
      <w:r w:rsidR="00F71B15">
        <w:fldChar w:fldCharType="end"/>
      </w:r>
      <w:r w:rsidRPr="00C44468">
        <w:t xml:space="preserve">, </w:t>
      </w:r>
      <w:r w:rsidR="002F7201">
        <w:t>five (</w:t>
      </w:r>
      <w:r w:rsidRPr="00C44468">
        <w:t>5</w:t>
      </w:r>
      <w:r w:rsidR="002F7201">
        <w:t>)</w:t>
      </w:r>
      <w:r w:rsidRPr="00C44468">
        <w:t> Working Days; and</w:t>
      </w:r>
    </w:p>
    <w:p w:rsidR="00F20C99" w:rsidRDefault="00695FE2" w:rsidP="002E61F2">
      <w:pPr>
        <w:pStyle w:val="GPSL3numberedclause"/>
      </w:pPr>
      <w:r w:rsidRPr="00C44468">
        <w:t xml:space="preserve">in </w:t>
      </w:r>
      <w:r>
        <w:t>p</w:t>
      </w:r>
      <w:r w:rsidRPr="00C44468">
        <w:t>aragraph </w:t>
      </w:r>
      <w:r w:rsidR="00F71B15">
        <w:fldChar w:fldCharType="begin"/>
      </w:r>
      <w:r w:rsidR="002F7201">
        <w:instrText xml:space="preserve"> REF _Ref365995970 \r \h </w:instrText>
      </w:r>
      <w:r w:rsidR="00F71B15">
        <w:fldChar w:fldCharType="separate"/>
      </w:r>
      <w:r w:rsidR="00B3040B">
        <w:t>6.2</w:t>
      </w:r>
      <w:r w:rsidR="00F71B15">
        <w:fldChar w:fldCharType="end"/>
      </w:r>
      <w:r w:rsidRPr="00C44468">
        <w:t xml:space="preserve">, </w:t>
      </w:r>
      <w:r w:rsidR="002F7201">
        <w:t>ten (</w:t>
      </w:r>
      <w:r w:rsidRPr="00C44468">
        <w:t>10</w:t>
      </w:r>
      <w:r w:rsidR="002F7201">
        <w:t>)</w:t>
      </w:r>
      <w:r w:rsidRPr="00C44468">
        <w:t> Working Days.</w:t>
      </w:r>
    </w:p>
    <w:p w:rsidR="00F20C99" w:rsidRDefault="00695FE2" w:rsidP="002E61F2">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F20C99" w:rsidRDefault="00695FE2" w:rsidP="002E61F2">
      <w:pPr>
        <w:pStyle w:val="GPSL1SCHEDULEHeading"/>
      </w:pPr>
      <w:bookmarkStart w:id="961" w:name="_Ref365996356"/>
      <w:r w:rsidRPr="0038753E">
        <w:t>COMMERCIAL NEGOTIATIONS</w:t>
      </w:r>
      <w:bookmarkEnd w:id="961"/>
    </w:p>
    <w:p w:rsidR="00F20C99" w:rsidRDefault="00695FE2" w:rsidP="002E61F2">
      <w:pPr>
        <w:pStyle w:val="GPSL2Numbered"/>
      </w:pPr>
      <w:bookmarkStart w:id="962"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 </w:t>
      </w:r>
      <w:r w:rsidR="00547C1F" w:rsidRPr="00547C1F">
        <w:t>Representative</w:t>
      </w:r>
      <w:r w:rsidR="00225C7E" w:rsidRPr="00225C7E">
        <w:t xml:space="preserve"> and the Supplier</w:t>
      </w:r>
      <w:r w:rsidR="00547C1F" w:rsidRPr="00547C1F">
        <w:t xml:space="preserve"> Representative</w:t>
      </w:r>
      <w:r w:rsidRPr="00547C1F">
        <w:t>,</w:t>
      </w:r>
      <w:r w:rsidR="00225C7E" w:rsidRPr="00225C7E">
        <w:t xml:space="preserve"> such</w:t>
      </w:r>
      <w:r>
        <w:t xml:space="preserve"> discussions being commercial negotiations</w:t>
      </w:r>
      <w:r w:rsidRPr="00C44468">
        <w:t>.</w:t>
      </w:r>
      <w:bookmarkEnd w:id="962"/>
      <w:r w:rsidRPr="00C44468">
        <w:t xml:space="preserve"> </w:t>
      </w:r>
    </w:p>
    <w:p w:rsidR="00F20C99" w:rsidRDefault="00695FE2" w:rsidP="002E61F2">
      <w:pPr>
        <w:pStyle w:val="GPSL2Numbered"/>
      </w:pPr>
      <w:bookmarkStart w:id="963" w:name="_Ref365996143"/>
      <w:r w:rsidRPr="00C44468">
        <w:t>If:</w:t>
      </w:r>
      <w:bookmarkEnd w:id="963"/>
      <w:r w:rsidRPr="00C44468">
        <w:t xml:space="preserve"> </w:t>
      </w:r>
    </w:p>
    <w:p w:rsidR="00F20C99" w:rsidRDefault="00695FE2" w:rsidP="002E61F2">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rsidR="00F20C99" w:rsidRDefault="00695FE2" w:rsidP="002E61F2">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F71B15">
        <w:fldChar w:fldCharType="begin"/>
      </w:r>
      <w:r w:rsidR="002F7201">
        <w:instrText xml:space="preserve"> REF _Ref365996356 \r \h </w:instrText>
      </w:r>
      <w:r w:rsidR="00F71B15">
        <w:fldChar w:fldCharType="separate"/>
      </w:r>
      <w:r w:rsidR="00B3040B">
        <w:t>3</w:t>
      </w:r>
      <w:r w:rsidR="00F71B15">
        <w:fldChar w:fldCharType="end"/>
      </w:r>
      <w:r w:rsidRPr="00C44468">
        <w:t>; or</w:t>
      </w:r>
    </w:p>
    <w:p w:rsidR="00F20C99" w:rsidRDefault="00695FE2" w:rsidP="002E61F2">
      <w:pPr>
        <w:pStyle w:val="GPSL3numberedclause"/>
      </w:pPr>
      <w:bookmarkStart w:id="964" w:name="_Ref366048380"/>
      <w:r w:rsidRPr="00C44468">
        <w:t xml:space="preserve">the Parties have not settled the Dispute in accordance with </w:t>
      </w:r>
      <w:r>
        <w:t>p</w:t>
      </w:r>
      <w:r w:rsidRPr="00C44468">
        <w:t>aragraph </w:t>
      </w:r>
      <w:r w:rsidR="00F71B15">
        <w:fldChar w:fldCharType="begin"/>
      </w:r>
      <w:r w:rsidR="002F7201">
        <w:instrText xml:space="preserve"> REF _Ref366048987 \r \h </w:instrText>
      </w:r>
      <w:r w:rsidR="00F71B15">
        <w:fldChar w:fldCharType="separate"/>
      </w:r>
      <w:r w:rsidR="00B3040B">
        <w:t>3.1</w:t>
      </w:r>
      <w:r w:rsidR="00F71B15">
        <w:fldChar w:fldCharType="end"/>
      </w:r>
      <w:r w:rsidRPr="00C44468">
        <w:t xml:space="preserve"> within </w:t>
      </w:r>
      <w:r w:rsidR="00E11055">
        <w:t>thirty (</w:t>
      </w:r>
      <w:r w:rsidRPr="00C44468">
        <w:t>30</w:t>
      </w:r>
      <w:r w:rsidR="00E11055">
        <w:t>)</w:t>
      </w:r>
      <w:r w:rsidRPr="00C44468">
        <w:t> Working Days of service of the Dispute Notice,</w:t>
      </w:r>
      <w:bookmarkEnd w:id="964"/>
      <w:r w:rsidRPr="00C44468">
        <w:t xml:space="preserve"> </w:t>
      </w:r>
    </w:p>
    <w:p w:rsidR="00F20C99" w:rsidRDefault="00695FE2">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F71B15">
        <w:fldChar w:fldCharType="begin"/>
      </w:r>
      <w:r w:rsidR="002F7201">
        <w:instrText xml:space="preserve"> REF _Ref365996377 \r \h </w:instrText>
      </w:r>
      <w:r w:rsidR="00F71B15">
        <w:fldChar w:fldCharType="separate"/>
      </w:r>
      <w:r w:rsidR="00B3040B">
        <w:t>4</w:t>
      </w:r>
      <w:r w:rsidR="00F71B15">
        <w:fldChar w:fldCharType="end"/>
      </w:r>
      <w:r w:rsidRPr="00C44468">
        <w:t>.</w:t>
      </w:r>
    </w:p>
    <w:p w:rsidR="00F20C99" w:rsidRDefault="00695FE2" w:rsidP="002E61F2">
      <w:pPr>
        <w:pStyle w:val="GPSL1SCHEDULEHeading"/>
      </w:pPr>
      <w:bookmarkStart w:id="965" w:name="_Ref365996377"/>
      <w:r w:rsidRPr="000C275A">
        <w:lastRenderedPageBreak/>
        <w:t>MEDIATION</w:t>
      </w:r>
      <w:bookmarkEnd w:id="965"/>
    </w:p>
    <w:p w:rsidR="00F20C99" w:rsidRDefault="00695FE2" w:rsidP="002E61F2">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rsidR="00F20C99" w:rsidRDefault="00695FE2" w:rsidP="002E61F2">
      <w:pPr>
        <w:pStyle w:val="GPSL2Numbered"/>
      </w:pPr>
      <w:bookmarkStart w:id="96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966"/>
    </w:p>
    <w:p w:rsidR="00F20C99" w:rsidRDefault="00695FE2" w:rsidP="002E61F2">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20C99" w:rsidRDefault="00695FE2" w:rsidP="002E61F2">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rsidR="00F20C99" w:rsidRDefault="00695FE2" w:rsidP="002E61F2">
      <w:pPr>
        <w:pStyle w:val="GPSL1SCHEDULEHeading"/>
      </w:pPr>
      <w:bookmarkStart w:id="967" w:name="_Ref365996568"/>
      <w:r w:rsidRPr="000C275A">
        <w:t>EXPERT DETERMINATION</w:t>
      </w:r>
      <w:bookmarkEnd w:id="967"/>
    </w:p>
    <w:p w:rsidR="00F20C99" w:rsidRDefault="00695FE2" w:rsidP="002E61F2">
      <w:pPr>
        <w:pStyle w:val="GPSL2Numbered"/>
      </w:pPr>
      <w:r w:rsidRPr="00C44468">
        <w:t xml:space="preserve">If a Dispute relates to any aspect of the technology underlying the provision of the </w:t>
      </w:r>
      <w:r>
        <w:t>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F20C99" w:rsidRDefault="00695FE2" w:rsidP="002E61F2">
      <w:pPr>
        <w:pStyle w:val="GPSL2Numbered"/>
      </w:pPr>
      <w:bookmarkStart w:id="96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968"/>
    </w:p>
    <w:p w:rsidR="00F20C99" w:rsidRDefault="00695FE2" w:rsidP="002E61F2">
      <w:pPr>
        <w:pStyle w:val="GPSL2Numbered"/>
      </w:pPr>
      <w:r w:rsidRPr="00C44468">
        <w:t>The Expert shall act on the following basis:</w:t>
      </w:r>
    </w:p>
    <w:p w:rsidR="00F20C99" w:rsidRDefault="00695FE2" w:rsidP="002E61F2">
      <w:pPr>
        <w:pStyle w:val="GPSL3numberedclause"/>
      </w:pPr>
      <w:r w:rsidRPr="00C44468">
        <w:t>he/she shall act as an expert and not as an arbitrator and shall act fairly and impartially;</w:t>
      </w:r>
    </w:p>
    <w:p w:rsidR="00F20C99" w:rsidRDefault="00695FE2" w:rsidP="002E61F2">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rsidR="00F20C99" w:rsidRDefault="00695FE2" w:rsidP="002E61F2">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rsidR="00F20C99" w:rsidRDefault="00695FE2" w:rsidP="002E61F2">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rsidR="00F20C99" w:rsidRDefault="00695FE2" w:rsidP="002E61F2">
      <w:pPr>
        <w:pStyle w:val="GPSL3numberedclause"/>
      </w:pPr>
      <w:r w:rsidRPr="00C44468">
        <w:t>the process shall be conducted in private and shall be confidential; and</w:t>
      </w:r>
    </w:p>
    <w:p w:rsidR="00F20C99" w:rsidRDefault="00695FE2" w:rsidP="002E61F2">
      <w:pPr>
        <w:pStyle w:val="GPSL3numberedclause"/>
      </w:pPr>
      <w:r w:rsidRPr="00C44468">
        <w:lastRenderedPageBreak/>
        <w:t>the Expert shall determine how and by whom the costs of the determination, including his/her fees and expenses, are to be paid.</w:t>
      </w:r>
    </w:p>
    <w:p w:rsidR="00F20C99" w:rsidRDefault="00695FE2" w:rsidP="002E61F2">
      <w:pPr>
        <w:pStyle w:val="GPSL1SCHEDULEHeading"/>
      </w:pPr>
      <w:bookmarkStart w:id="969" w:name="_Ref365996496"/>
      <w:r w:rsidRPr="00A7402E">
        <w:t>ARBITRATION</w:t>
      </w:r>
      <w:bookmarkEnd w:id="969"/>
    </w:p>
    <w:p w:rsidR="00F20C99" w:rsidRDefault="00695FE2" w:rsidP="002E61F2">
      <w:pPr>
        <w:pStyle w:val="GPSL2Numbered"/>
      </w:pPr>
      <w:bookmarkStart w:id="970"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F71B15">
        <w:fldChar w:fldCharType="begin"/>
      </w:r>
      <w:r w:rsidR="002F7201">
        <w:instrText xml:space="preserve"> REF _Ref366049722 \r \h </w:instrText>
      </w:r>
      <w:r w:rsidR="00F71B15">
        <w:fldChar w:fldCharType="separate"/>
      </w:r>
      <w:r w:rsidR="00B3040B">
        <w:t>6.4</w:t>
      </w:r>
      <w:r w:rsidR="00F71B15">
        <w:fldChar w:fldCharType="end"/>
      </w:r>
      <w:r w:rsidRPr="00C44468">
        <w:t>.</w:t>
      </w:r>
      <w:bookmarkEnd w:id="970"/>
    </w:p>
    <w:p w:rsidR="00F20C99" w:rsidRDefault="00695FE2" w:rsidP="002E61F2">
      <w:pPr>
        <w:pStyle w:val="GPSL2Numbered"/>
      </w:pPr>
      <w:bookmarkStart w:id="971"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F71B15">
        <w:fldChar w:fldCharType="begin"/>
      </w:r>
      <w:r w:rsidR="002F7201">
        <w:instrText xml:space="preserve"> REF _Ref366049722 \r \h </w:instrText>
      </w:r>
      <w:r w:rsidR="00F71B15">
        <w:fldChar w:fldCharType="separate"/>
      </w:r>
      <w:r w:rsidR="00B3040B">
        <w:t>6.4</w:t>
      </w:r>
      <w:r w:rsidR="00F71B15">
        <w:fldChar w:fldCharType="end"/>
      </w:r>
      <w:r w:rsidRPr="00C44468">
        <w:t xml:space="preserve"> or be subject to the jurisdiction of the courts </w:t>
      </w:r>
      <w:r>
        <w:t xml:space="preserve">in accordance with Clause </w:t>
      </w:r>
      <w:r w:rsidR="00F71B15">
        <w:fldChar w:fldCharType="begin"/>
      </w:r>
      <w:r w:rsidR="002F7201">
        <w:instrText xml:space="preserve"> REF _Ref366049919 \r \h </w:instrText>
      </w:r>
      <w:r w:rsidR="00F71B15">
        <w:fldChar w:fldCharType="separate"/>
      </w:r>
      <w:r w:rsidR="00B3040B">
        <w:t>46</w:t>
      </w:r>
      <w:r w:rsidR="00F71B15">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971"/>
      <w:r w:rsidRPr="00C44468">
        <w:t xml:space="preserve"> </w:t>
      </w:r>
    </w:p>
    <w:p w:rsidR="00F20C99" w:rsidRDefault="00695FE2" w:rsidP="002E61F2">
      <w:pPr>
        <w:pStyle w:val="GPSL2Numbered"/>
      </w:pPr>
      <w:bookmarkStart w:id="972" w:name="_Ref366050367"/>
      <w:r w:rsidRPr="00C44468">
        <w:t>If:</w:t>
      </w:r>
      <w:bookmarkEnd w:id="972"/>
    </w:p>
    <w:p w:rsidR="00F20C99" w:rsidRDefault="00695FE2" w:rsidP="002E61F2">
      <w:pPr>
        <w:pStyle w:val="GPSL3numberedclause"/>
      </w:pPr>
      <w:r w:rsidRPr="00C44468">
        <w:t xml:space="preserve">the Counter Notice requires the Dispute to be referred to arbitration, the provisions of </w:t>
      </w:r>
      <w:r>
        <w:t>p</w:t>
      </w:r>
      <w:r w:rsidRPr="00C44468">
        <w:t>aragraph </w:t>
      </w:r>
      <w:r w:rsidR="00F71B15">
        <w:fldChar w:fldCharType="begin"/>
      </w:r>
      <w:r w:rsidR="002F7201">
        <w:instrText xml:space="preserve"> REF _Ref366049722 \r \h </w:instrText>
      </w:r>
      <w:r w:rsidR="00F71B15">
        <w:fldChar w:fldCharType="separate"/>
      </w:r>
      <w:r w:rsidR="00B3040B">
        <w:t>6.4</w:t>
      </w:r>
      <w:r w:rsidR="00F71B15">
        <w:fldChar w:fldCharType="end"/>
      </w:r>
      <w:r w:rsidRPr="00C44468">
        <w:t xml:space="preserve">shall apply; </w:t>
      </w:r>
    </w:p>
    <w:p w:rsidR="00F20C99" w:rsidRDefault="00695FE2" w:rsidP="002E61F2">
      <w:pPr>
        <w:pStyle w:val="GPSL3numberedclause"/>
      </w:pPr>
      <w:r w:rsidRPr="00C44468">
        <w:t xml:space="preserve">the Counter Notice requires the Dispute to be subject to the exclusive jurisdiction of the courts </w:t>
      </w:r>
      <w:r>
        <w:t xml:space="preserve">in accordance with Clause </w:t>
      </w:r>
      <w:r w:rsidR="00F71B15">
        <w:fldChar w:fldCharType="begin"/>
      </w:r>
      <w:r w:rsidR="002F7201">
        <w:instrText xml:space="preserve"> REF _Ref366049919 \r \h </w:instrText>
      </w:r>
      <w:r w:rsidR="00F71B15">
        <w:fldChar w:fldCharType="separate"/>
      </w:r>
      <w:r w:rsidR="00B3040B">
        <w:t>46</w:t>
      </w:r>
      <w:r w:rsidR="00F71B15">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rsidR="00F20C99" w:rsidRDefault="00695FE2" w:rsidP="002E61F2">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F71B15">
        <w:fldChar w:fldCharType="begin"/>
      </w:r>
      <w:r w:rsidR="002F7201">
        <w:instrText xml:space="preserve"> REF _Ref365995970 \r \h </w:instrText>
      </w:r>
      <w:r w:rsidR="00F71B15">
        <w:fldChar w:fldCharType="separate"/>
      </w:r>
      <w:r w:rsidR="00B3040B">
        <w:t>6.2</w:t>
      </w:r>
      <w:r w:rsidR="00F71B15">
        <w:fldChar w:fldCharType="end"/>
      </w:r>
      <w:r w:rsidRPr="00C44468">
        <w:t xml:space="preserve">, the Supplier may either commence arbitration proceedings in accordance with </w:t>
      </w:r>
      <w:r>
        <w:t>p</w:t>
      </w:r>
      <w:r w:rsidRPr="00C44468">
        <w:t>aragraph </w:t>
      </w:r>
      <w:r w:rsidR="00F71B15">
        <w:fldChar w:fldCharType="begin"/>
      </w:r>
      <w:r w:rsidR="002F7201">
        <w:instrText xml:space="preserve"> REF _Ref366049722 \r \h </w:instrText>
      </w:r>
      <w:r w:rsidR="00F71B15">
        <w:fldChar w:fldCharType="separate"/>
      </w:r>
      <w:r w:rsidR="00B3040B">
        <w:t>6.4</w:t>
      </w:r>
      <w:r w:rsidR="00F71B15">
        <w:fldChar w:fldCharType="end"/>
      </w:r>
      <w:r w:rsidRPr="00C44468">
        <w:t xml:space="preserve"> or commence court proceedings in the </w:t>
      </w:r>
      <w:r>
        <w:t xml:space="preserve">courts in accordance with Clause </w:t>
      </w:r>
      <w:r w:rsidR="00F71B15">
        <w:fldChar w:fldCharType="begin"/>
      </w:r>
      <w:r w:rsidR="002F7201">
        <w:instrText xml:space="preserve"> REF _Ref366049919 \r \h </w:instrText>
      </w:r>
      <w:r w:rsidR="00F71B15">
        <w:fldChar w:fldCharType="separate"/>
      </w:r>
      <w:r w:rsidR="00B3040B">
        <w:t>46</w:t>
      </w:r>
      <w:r w:rsidR="00F71B15">
        <w:fldChar w:fldCharType="end"/>
      </w:r>
      <w:r>
        <w:t xml:space="preserve"> (Governing Law and Jurisdiction)</w:t>
      </w:r>
      <w:r w:rsidRPr="00C44468">
        <w:t xml:space="preserve"> which shall (in those circumstances) have exclusive jurisdiction.</w:t>
      </w:r>
    </w:p>
    <w:p w:rsidR="00F20C99" w:rsidRDefault="00695FE2" w:rsidP="002E61F2">
      <w:pPr>
        <w:pStyle w:val="GPSL2Numbered"/>
      </w:pPr>
      <w:bookmarkStart w:id="973" w:name="_Ref366049722"/>
      <w:r w:rsidRPr="00C44468">
        <w:t xml:space="preserve">In the event that any arbitration proceedings are commenced pursuant to </w:t>
      </w:r>
      <w:r>
        <w:t>p</w:t>
      </w:r>
      <w:r w:rsidRPr="00C44468">
        <w:t>aragraphs </w:t>
      </w:r>
      <w:r w:rsidR="00F71B15">
        <w:fldChar w:fldCharType="begin"/>
      </w:r>
      <w:r w:rsidR="002F7201">
        <w:instrText xml:space="preserve"> REF _Ref366050353 \r \h </w:instrText>
      </w:r>
      <w:r w:rsidR="00F71B15">
        <w:fldChar w:fldCharType="separate"/>
      </w:r>
      <w:r w:rsidR="00B3040B">
        <w:t>6.1</w:t>
      </w:r>
      <w:r w:rsidR="00F71B15">
        <w:fldChar w:fldCharType="end"/>
      </w:r>
      <w:r w:rsidRPr="00C44468">
        <w:t xml:space="preserve"> to </w:t>
      </w:r>
      <w:r w:rsidR="00F71B15">
        <w:fldChar w:fldCharType="begin"/>
      </w:r>
      <w:r w:rsidR="002F7201">
        <w:instrText xml:space="preserve"> REF _Ref366050367 \r \h </w:instrText>
      </w:r>
      <w:r w:rsidR="00F71B15">
        <w:fldChar w:fldCharType="separate"/>
      </w:r>
      <w:r w:rsidR="00B3040B">
        <w:t>6.3</w:t>
      </w:r>
      <w:r w:rsidR="00F71B15">
        <w:fldChar w:fldCharType="end"/>
      </w:r>
      <w:r w:rsidRPr="00C44468">
        <w:t>, the Parties hereby confirm that:</w:t>
      </w:r>
      <w:bookmarkEnd w:id="973"/>
    </w:p>
    <w:p w:rsidR="00F20C99" w:rsidRDefault="00695FE2" w:rsidP="002E61F2">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F71B15">
        <w:fldChar w:fldCharType="begin"/>
      </w:r>
      <w:r w:rsidR="002F7201">
        <w:instrText xml:space="preserve"> REF _Ref366050645 \r \h </w:instrText>
      </w:r>
      <w:r w:rsidR="00F71B15">
        <w:fldChar w:fldCharType="separate"/>
      </w:r>
      <w:r w:rsidR="00B3040B">
        <w:t>6.4.5</w:t>
      </w:r>
      <w:r w:rsidR="00F71B15">
        <w:fldChar w:fldCharType="end"/>
      </w:r>
      <w:r w:rsidR="002F7201">
        <w:t xml:space="preserve">, </w:t>
      </w:r>
      <w:r w:rsidR="00F71B15">
        <w:fldChar w:fldCharType="begin"/>
      </w:r>
      <w:r w:rsidR="002F7201">
        <w:instrText xml:space="preserve"> REF _Ref366050660 \r \h </w:instrText>
      </w:r>
      <w:r w:rsidR="00F71B15">
        <w:fldChar w:fldCharType="separate"/>
      </w:r>
      <w:r w:rsidR="00B3040B">
        <w:t>6.4.6</w:t>
      </w:r>
      <w:r w:rsidR="00F71B15">
        <w:fldChar w:fldCharType="end"/>
      </w:r>
      <w:r w:rsidR="002F7201">
        <w:t xml:space="preserve"> and </w:t>
      </w:r>
      <w:r w:rsidR="00F71B15">
        <w:fldChar w:fldCharType="begin"/>
      </w:r>
      <w:r w:rsidR="002F7201">
        <w:instrText xml:space="preserve"> REF _Ref366050694 \r \h </w:instrText>
      </w:r>
      <w:r w:rsidR="00F71B15">
        <w:fldChar w:fldCharType="separate"/>
      </w:r>
      <w:r w:rsidR="00B3040B">
        <w:t>6.4.7</w:t>
      </w:r>
      <w:r w:rsidR="00F71B15">
        <w:fldChar w:fldCharType="end"/>
      </w:r>
      <w:r w:rsidRPr="00C44468">
        <w:t xml:space="preserve">; </w:t>
      </w:r>
    </w:p>
    <w:p w:rsidR="00F20C99" w:rsidRDefault="00695FE2" w:rsidP="002E61F2">
      <w:pPr>
        <w:pStyle w:val="GPSL3numberedclause"/>
      </w:pPr>
      <w:r w:rsidRPr="00C44468">
        <w:t>the arbitration shall be administered by the LCIA;</w:t>
      </w:r>
    </w:p>
    <w:p w:rsidR="00F20C99" w:rsidRDefault="00695FE2" w:rsidP="002E61F2">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rsidR="00F20C99" w:rsidRDefault="00695FE2" w:rsidP="002E61F2">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rsidR="00F20C99" w:rsidRDefault="00695FE2" w:rsidP="002E61F2">
      <w:pPr>
        <w:pStyle w:val="GPSL3numberedclause"/>
      </w:pPr>
      <w:bookmarkStart w:id="974" w:name="_Ref366050645"/>
      <w:r w:rsidRPr="00C44468">
        <w:t xml:space="preserve">the chair of the </w:t>
      </w:r>
      <w:r>
        <w:t>a</w:t>
      </w:r>
      <w:r w:rsidRPr="00C44468">
        <w:t xml:space="preserve">rbitral </w:t>
      </w:r>
      <w:r>
        <w:t>t</w:t>
      </w:r>
      <w:r w:rsidRPr="00C44468">
        <w:t>ribunal shall be British;</w:t>
      </w:r>
      <w:bookmarkEnd w:id="974"/>
    </w:p>
    <w:p w:rsidR="00F20C99" w:rsidRDefault="00695FE2" w:rsidP="002E61F2">
      <w:pPr>
        <w:pStyle w:val="GPSL3numberedclause"/>
      </w:pPr>
      <w:bookmarkStart w:id="975" w:name="_Ref366050660"/>
      <w:r w:rsidRPr="00C44468">
        <w:t>the arbitration proceedings shall take place in London and in the English language; and</w:t>
      </w:r>
      <w:bookmarkEnd w:id="975"/>
    </w:p>
    <w:p w:rsidR="00F20C99" w:rsidRDefault="00695FE2" w:rsidP="002E61F2">
      <w:pPr>
        <w:pStyle w:val="GPSL3numberedclause"/>
      </w:pPr>
      <w:bookmarkStart w:id="976" w:name="_Ref366050694"/>
      <w:r w:rsidRPr="00C44468">
        <w:lastRenderedPageBreak/>
        <w:t>the seat of the arbitration shall be London.</w:t>
      </w:r>
      <w:bookmarkEnd w:id="976"/>
      <w:r w:rsidRPr="00C44468">
        <w:t xml:space="preserve"> </w:t>
      </w:r>
    </w:p>
    <w:p w:rsidR="00F20C99" w:rsidRDefault="00695FE2" w:rsidP="002E61F2">
      <w:pPr>
        <w:pStyle w:val="GPSL1SCHEDULEHeading"/>
      </w:pPr>
      <w:r w:rsidRPr="00A7402E">
        <w:t>URGENT RELIEF</w:t>
      </w:r>
    </w:p>
    <w:p w:rsidR="00F20C99" w:rsidRDefault="00695FE2" w:rsidP="002E61F2">
      <w:pPr>
        <w:pStyle w:val="GPSL2Numbered"/>
      </w:pPr>
      <w:r w:rsidRPr="00C44468">
        <w:t>Either Party may at any time take proceedings or seek remedies before any court or tribunal of competent jurisdiction:</w:t>
      </w:r>
    </w:p>
    <w:p w:rsidR="00F20C99" w:rsidRDefault="00695FE2" w:rsidP="002E61F2">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rsidR="00F20C99" w:rsidRDefault="00695FE2" w:rsidP="002E61F2">
      <w:pPr>
        <w:pStyle w:val="GPSL3numberedclause"/>
        <w:rPr>
          <w:color w:val="000000"/>
        </w:rPr>
      </w:pPr>
      <w:r w:rsidRPr="00C44468">
        <w:t xml:space="preserve">where compliance with </w:t>
      </w:r>
      <w:r>
        <w:t>p</w:t>
      </w:r>
      <w:r w:rsidRPr="00C44468">
        <w:t>aragraph </w:t>
      </w:r>
      <w:r w:rsidR="00F71B15">
        <w:fldChar w:fldCharType="begin"/>
      </w:r>
      <w:r w:rsidR="002F7201">
        <w:instrText xml:space="preserve"> REF _Ref366050930 \r \h </w:instrText>
      </w:r>
      <w:r w:rsidR="00F71B15">
        <w:fldChar w:fldCharType="separate"/>
      </w:r>
      <w:r w:rsidR="00B3040B">
        <w:t>2.1</w:t>
      </w:r>
      <w:r w:rsidR="00F71B15">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rsidR="00F20C99" w:rsidRDefault="00F71B15">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977" w:author="potterj" w:date="2014-08-28T12:26:00Z" w:original="0."/>
        </w:fldChar>
      </w:r>
    </w:p>
    <w:p w:rsidR="002D6D6C" w:rsidRPr="002D6D6C" w:rsidRDefault="008770CA">
      <w:pPr>
        <w:overflowPunct/>
        <w:autoSpaceDE/>
        <w:autoSpaceDN/>
        <w:adjustRightInd/>
        <w:spacing w:after="0"/>
        <w:jc w:val="left"/>
        <w:textAlignment w:val="auto"/>
        <w:rPr>
          <w:color w:val="FFFFFF"/>
          <w:sz w:val="16"/>
          <w:szCs w:val="16"/>
        </w:rPr>
      </w:pPr>
      <w:r w:rsidRPr="008770CA">
        <w:br w:type="page"/>
      </w:r>
    </w:p>
    <w:p w:rsidR="002B49ED" w:rsidRDefault="002B49ED" w:rsidP="007E2634">
      <w:pPr>
        <w:pStyle w:val="GPSSchTitleandNumber"/>
      </w:pPr>
      <w:bookmarkStart w:id="978" w:name="_Toc366085208"/>
      <w:bookmarkStart w:id="979" w:name="_Toc379488111"/>
      <w:bookmarkStart w:id="980" w:name="_Toc380052213"/>
      <w:bookmarkStart w:id="981" w:name="_Toc380052724"/>
      <w:bookmarkStart w:id="982" w:name="_Toc391545410"/>
      <w:r w:rsidRPr="002B49ED">
        <w:lastRenderedPageBreak/>
        <w:t>F</w:t>
      </w:r>
      <w:r w:rsidR="00932F6E">
        <w:t xml:space="preserve">RAMEWORK SCHEDULE </w:t>
      </w:r>
      <w:r w:rsidR="007C6448">
        <w:t>19</w:t>
      </w:r>
      <w:r w:rsidR="00932F6E">
        <w:t>: VARIATION FORM</w:t>
      </w:r>
      <w:bookmarkEnd w:id="978"/>
      <w:bookmarkEnd w:id="979"/>
      <w:bookmarkEnd w:id="980"/>
      <w:bookmarkEnd w:id="981"/>
      <w:bookmarkEnd w:id="982"/>
    </w:p>
    <w:p w:rsidR="00002C1D" w:rsidRPr="00D03934" w:rsidRDefault="00002C1D" w:rsidP="00002C1D">
      <w:pPr>
        <w:pStyle w:val="TableNormal1"/>
      </w:pPr>
      <w:r w:rsidRPr="00D03934">
        <w:t>Variation Form No:</w:t>
      </w:r>
    </w:p>
    <w:p w:rsidR="00002C1D" w:rsidRPr="00D03934" w:rsidRDefault="00002C1D" w:rsidP="00002C1D">
      <w:pPr>
        <w:pStyle w:val="TableNormal1"/>
      </w:pPr>
      <w:r w:rsidRPr="00D03934">
        <w:t>……………………………………………………………………………………</w:t>
      </w:r>
    </w:p>
    <w:p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 xml:space="preserve">Authority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rsidR="00002C1D" w:rsidRPr="00D03934" w:rsidRDefault="00002C1D" w:rsidP="0073096D">
            <w:pPr>
              <w:pStyle w:val="TableNormal1"/>
            </w:pPr>
            <w:r w:rsidRPr="00D03934">
              <w:t>and</w:t>
            </w:r>
          </w:p>
          <w:p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002C1D" w:rsidRPr="00D03934" w:rsidRDefault="00002C1D" w:rsidP="00002C1D">
      <w:pPr>
        <w:pStyle w:val="MarginText"/>
        <w:numPr>
          <w:ilvl w:val="0"/>
          <w:numId w:val="385"/>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rsidR="00002C1D" w:rsidRPr="00D03934" w:rsidRDefault="007C6448" w:rsidP="00002C1D">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rsidR="00002C1D" w:rsidRPr="00D03934" w:rsidRDefault="00002C1D" w:rsidP="00002C1D">
      <w:pPr>
        <w:pStyle w:val="MarginText"/>
        <w:numPr>
          <w:ilvl w:val="0"/>
          <w:numId w:val="385"/>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Default="00002C1D" w:rsidP="002B49ED">
      <w:pPr>
        <w:pStyle w:val="MarginText"/>
        <w:numPr>
          <w:ilvl w:val="0"/>
          <w:numId w:val="385"/>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73096D">
            <w:pPr>
              <w:pStyle w:val="TableNormal1"/>
            </w:pPr>
            <w:r w:rsidRPr="00D03934">
              <w:t>Signature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Date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Name (in Capitals)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Address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dotted" w:sz="4" w:space="0" w:color="auto"/>
            </w:tcBorders>
          </w:tcPr>
          <w:p w:rsidR="00002C1D" w:rsidRPr="00D03934" w:rsidRDefault="00002C1D" w:rsidP="0073096D">
            <w:pPr>
              <w:pStyle w:val="TSOLScheduleNormalLeft"/>
            </w:pPr>
          </w:p>
        </w:tc>
        <w:tc>
          <w:tcPr>
            <w:tcW w:w="5940" w:type="dxa"/>
          </w:tcPr>
          <w:p w:rsidR="00002C1D" w:rsidRPr="00D03934" w:rsidRDefault="00002C1D" w:rsidP="0073096D">
            <w:pPr>
              <w:pStyle w:val="TSOLScheduleNormalLeft"/>
            </w:pPr>
          </w:p>
        </w:tc>
      </w:tr>
    </w:tbl>
    <w:p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73096D">
            <w:pPr>
              <w:pStyle w:val="TableNormal1"/>
            </w:pPr>
            <w:r w:rsidRPr="00D03934">
              <w:t>Signature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Date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Name (in Capitals)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Address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dotted" w:sz="4" w:space="0" w:color="auto"/>
            </w:tcBorders>
          </w:tcPr>
          <w:p w:rsidR="00002C1D" w:rsidRPr="00D03934" w:rsidRDefault="00002C1D" w:rsidP="0073096D">
            <w:pPr>
              <w:pStyle w:val="TSOLScheduleNormalLeft"/>
            </w:pPr>
          </w:p>
        </w:tc>
        <w:tc>
          <w:tcPr>
            <w:tcW w:w="5980" w:type="dxa"/>
          </w:tcPr>
          <w:p w:rsidR="00002C1D" w:rsidRPr="00D03934" w:rsidRDefault="00002C1D" w:rsidP="0073096D">
            <w:pPr>
              <w:pStyle w:val="TSOLScheduleNormalLeft"/>
            </w:pPr>
          </w:p>
        </w:tc>
      </w:tr>
    </w:tbl>
    <w:p w:rsidR="007C6448" w:rsidRDefault="007C6448" w:rsidP="007C6448">
      <w:pPr>
        <w:pStyle w:val="GPSSchTitleandNumber"/>
      </w:pPr>
      <w:bookmarkStart w:id="983" w:name="_Toc365027632"/>
      <w:bookmarkStart w:id="984" w:name="_Toc366085207"/>
      <w:r>
        <w:br w:type="page"/>
      </w:r>
      <w:bookmarkStart w:id="985" w:name="_Toc379488112"/>
      <w:bookmarkStart w:id="986" w:name="_Toc380052214"/>
      <w:bookmarkStart w:id="987" w:name="_Toc380052725"/>
      <w:bookmarkStart w:id="988" w:name="_Toc391545411"/>
      <w:r w:rsidRPr="006875AD">
        <w:lastRenderedPageBreak/>
        <w:t xml:space="preserve">FRAMEWORK SCHEDULE </w:t>
      </w:r>
      <w:r>
        <w:t>20</w:t>
      </w:r>
      <w:r w:rsidRPr="006875AD">
        <w:t>: TENDER</w:t>
      </w:r>
      <w:bookmarkEnd w:id="983"/>
      <w:bookmarkEnd w:id="984"/>
      <w:bookmarkEnd w:id="985"/>
      <w:bookmarkEnd w:id="986"/>
      <w:bookmarkEnd w:id="987"/>
      <w:bookmarkEnd w:id="988"/>
    </w:p>
    <w:p w:rsidR="007C6448" w:rsidRDefault="007C6448" w:rsidP="007C6448">
      <w:pPr>
        <w:pStyle w:val="GPSL1SCHEDULEHeading"/>
      </w:pPr>
      <w:r>
        <w:t>General</w:t>
      </w:r>
    </w:p>
    <w:p w:rsidR="007C6448" w:rsidRDefault="007C6448" w:rsidP="007C6448">
      <w:pPr>
        <w:pStyle w:val="GPSL2Numbered"/>
      </w:pPr>
      <w:r w:rsidRPr="00430533">
        <w:t xml:space="preserve">This Framework Schedule </w:t>
      </w:r>
      <w:r>
        <w:t>20</w:t>
      </w:r>
      <w:r w:rsidRPr="00430533">
        <w:t xml:space="preserve"> sets out a copy of the Supplier’s Tender including the Supplier’s responses to the whole </w:t>
      </w:r>
      <w:r>
        <w:t>a</w:t>
      </w:r>
      <w:r w:rsidRPr="00430533">
        <w:t xml:space="preserve">ward </w:t>
      </w:r>
      <w:r>
        <w:t>q</w:t>
      </w:r>
      <w:r w:rsidRPr="00430533">
        <w:t>uestionnaire</w:t>
      </w:r>
      <w:r w:rsidR="00954001">
        <w:t>.</w:t>
      </w:r>
      <w:r w:rsidRPr="00430533">
        <w:t xml:space="preserve"> </w:t>
      </w:r>
    </w:p>
    <w:p w:rsidR="007C6448" w:rsidRDefault="007C6448" w:rsidP="007C6448">
      <w:pPr>
        <w:pStyle w:val="GPSL2Numbered"/>
        <w:rPr>
          <w:color w:val="000000"/>
        </w:rPr>
      </w:pPr>
      <w:r w:rsidRPr="00430533">
        <w:t xml:space="preserve">Subject to Clauses </w:t>
      </w:r>
      <w:r w:rsidR="000822F5">
        <w:fldChar w:fldCharType="begin"/>
      </w:r>
      <w:r w:rsidR="000822F5">
        <w:instrText xml:space="preserve"> REF _Ref350358574 \r \h  \* MERGEFORMAT </w:instrText>
      </w:r>
      <w:r w:rsidR="000822F5">
        <w:fldChar w:fldCharType="separate"/>
      </w:r>
      <w:r w:rsidR="00B3040B">
        <w:t>1.2.2</w:t>
      </w:r>
      <w:r w:rsidR="000822F5">
        <w:fldChar w:fldCharType="end"/>
      </w:r>
      <w:r>
        <w:t xml:space="preserve"> </w:t>
      </w:r>
      <w:r w:rsidRPr="00430533">
        <w:t xml:space="preserve">and </w:t>
      </w:r>
      <w:r w:rsidR="000822F5">
        <w:fldChar w:fldCharType="begin"/>
      </w:r>
      <w:r w:rsidR="000822F5">
        <w:instrText xml:space="preserve"> REF _Ref350358581 \r \h  \* MERGEFORMAT </w:instrText>
      </w:r>
      <w:r w:rsidR="000822F5">
        <w:fldChar w:fldCharType="separate"/>
      </w:r>
      <w:r w:rsidR="00B3040B">
        <w:t>1.2.3</w:t>
      </w:r>
      <w:r w:rsidR="000822F5">
        <w:fldChar w:fldCharType="end"/>
      </w:r>
      <w:r>
        <w:t xml:space="preserve">, </w:t>
      </w:r>
      <w:r w:rsidRPr="00430533">
        <w:t>in addition to any other obligations on the Supplier under th</w:t>
      </w:r>
      <w:r>
        <w:t>is</w:t>
      </w:r>
      <w:r w:rsidRPr="00430533">
        <w:t xml:space="preserve"> Framework Agreement and any Call Off </w:t>
      </w:r>
      <w:r w:rsidRPr="00374134">
        <w:rPr>
          <w:color w:val="000000"/>
        </w:rPr>
        <w:t>Agreement, the Supplier shall provide the Services to Contracting Bodies in accordance with the Tender.</w:t>
      </w:r>
    </w:p>
    <w:p w:rsidR="00422402" w:rsidRDefault="007C6448" w:rsidP="00422402">
      <w:pPr>
        <w:pStyle w:val="GPSSchTitleandNumber"/>
      </w:pPr>
      <w:r>
        <w:rPr>
          <w:highlight w:val="cyan"/>
        </w:rPr>
        <w:br w:type="page"/>
      </w:r>
      <w:bookmarkStart w:id="989" w:name="_Toc379488113"/>
      <w:bookmarkStart w:id="990" w:name="_Toc380052215"/>
      <w:bookmarkStart w:id="991" w:name="_Toc380052726"/>
      <w:bookmarkStart w:id="992" w:name="_Toc391545412"/>
      <w:r w:rsidR="00422402" w:rsidRPr="006875AD">
        <w:lastRenderedPageBreak/>
        <w:t xml:space="preserve">FRAMEWORK SCHEDULE </w:t>
      </w:r>
      <w:r w:rsidR="00422402">
        <w:t>21: psn compliance</w:t>
      </w:r>
      <w:bookmarkEnd w:id="989"/>
      <w:bookmarkEnd w:id="990"/>
      <w:bookmarkEnd w:id="991"/>
      <w:bookmarkEnd w:id="992"/>
    </w:p>
    <w:p w:rsidR="00422402" w:rsidRDefault="00422402" w:rsidP="002C741A">
      <w:pPr>
        <w:pStyle w:val="GPSL1CLAUSEHEADING"/>
        <w:numPr>
          <w:ilvl w:val="0"/>
          <w:numId w:val="541"/>
        </w:numPr>
      </w:pPr>
      <w:bookmarkStart w:id="993" w:name="_Toc379488114"/>
      <w:bookmarkStart w:id="994" w:name="_Toc380052216"/>
      <w:bookmarkStart w:id="995" w:name="_Toc380052727"/>
      <w:bookmarkStart w:id="996" w:name="_Toc380053751"/>
      <w:bookmarkStart w:id="997" w:name="_Toc391545413"/>
      <w:bookmarkStart w:id="998" w:name="_Toc367959235"/>
      <w:r w:rsidRPr="00B516BB">
        <w:t>DEFINITIONS</w:t>
      </w:r>
      <w:bookmarkEnd w:id="993"/>
      <w:bookmarkEnd w:id="994"/>
      <w:bookmarkEnd w:id="995"/>
      <w:bookmarkEnd w:id="996"/>
      <w:bookmarkEnd w:id="997"/>
    </w:p>
    <w:p w:rsidR="00422402" w:rsidRDefault="00422402" w:rsidP="00422402">
      <w:pPr>
        <w:pStyle w:val="GPSL2Numbered"/>
        <w:numPr>
          <w:ilvl w:val="1"/>
          <w:numId w:val="323"/>
        </w:numPr>
      </w:pPr>
      <w:r w:rsidRPr="00C44468">
        <w:t xml:space="preserve">In this </w:t>
      </w:r>
      <w:r>
        <w:t xml:space="preserve">Framework </w:t>
      </w:r>
      <w:r w:rsidRPr="00C44468">
        <w:t>Schedule</w:t>
      </w:r>
      <w:r>
        <w:t xml:space="preserve"> 21</w:t>
      </w:r>
      <w:r w:rsidRPr="00C44468">
        <w:t>, the following definitions shall apply:</w:t>
      </w:r>
    </w:p>
    <w:tbl>
      <w:tblPr>
        <w:tblW w:w="8363" w:type="dxa"/>
        <w:tblInd w:w="1101" w:type="dxa"/>
        <w:tblLook w:val="0000" w:firstRow="0" w:lastRow="0" w:firstColumn="0" w:lastColumn="0" w:noHBand="0" w:noVBand="0"/>
      </w:tblPr>
      <w:tblGrid>
        <w:gridCol w:w="2410"/>
        <w:gridCol w:w="5953"/>
      </w:tblGrid>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“Code of Connection”</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obligations and requirements for PSN Customers wanting to participate in the PSN, together with all documents annexed to it and referenced within it as set out in the Code Template;</w:t>
            </w:r>
            <w:r w:rsidRPr="002450C8" w:rsidDel="00EF71F2">
              <w:rPr>
                <w:sz w:val="20"/>
                <w:szCs w:val="20"/>
              </w:rPr>
              <w:t xml:space="preserve">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“Code of Interconnection”</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is the obligations and requirements for PSN Service Providers who want to connect directly to the GCN together with all documents annexed to it and referenced within it, as set out in the Code Template</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“Code of Practice”</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obligations and requirements for PSN Service Providers wanting to participate in the PSN, but not wanting to connect directly to the GCN, together with all documents annexed to it and referenced within it, as set out in the Code Template;</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“Code Template”</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a template which sets out the obligations and requirements against which PSN Compliance is verified, as published from time to time by the PSN Authority;</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 xml:space="preserve">“Direct Network Service” </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a PSN Compliant network with direct connectivity to the GCN;</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“Direct Network Service Providers” or “DNSP”</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PSN Service Providers that have fulfilled the terms of the Code of Interconnection, and which may as a result connect directly to the GCN subsequent to a GCN Service Agreement;</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“GCN” or “Government Conveyance Network”</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the total network of all GCN services provided by all GCN Service Providers to which DNSPs connect;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“GCN Services”</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GCNSP services relating to its provision of the GCN</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“GCN Service Agreements”</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the agreement between a GCNSP and a Direct Network Service Provider for the provision of access to and use of the GCN Services;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“GCN Service Provider” or “GCNSP”</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an entity that intends to or currently provides GCN services, and that has a current GCN compliance certificate for its GCN services (including GCN Services);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Compliance Conditions”</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governance, technical, security  and other conditions applied to the PSN as specified from time to time by the PSNA;</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Compliance”</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the process to ensure </w:t>
            </w:r>
            <w:proofErr w:type="spellStart"/>
            <w:r w:rsidRPr="002450C8">
              <w:rPr>
                <w:sz w:val="20"/>
                <w:szCs w:val="20"/>
              </w:rPr>
              <w:t>ongoing</w:t>
            </w:r>
            <w:proofErr w:type="spellEnd"/>
            <w:r w:rsidRPr="002450C8">
              <w:rPr>
                <w:sz w:val="20"/>
                <w:szCs w:val="20"/>
              </w:rPr>
              <w:t xml:space="preserve"> adherence to the rules, conditions and obligations identified in the Codes;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Compliant”</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a state describing </w:t>
            </w:r>
            <w:proofErr w:type="spellStart"/>
            <w:r w:rsidRPr="002450C8">
              <w:rPr>
                <w:sz w:val="20"/>
                <w:szCs w:val="20"/>
              </w:rPr>
              <w:t>ongoing</w:t>
            </w:r>
            <w:proofErr w:type="spellEnd"/>
            <w:r w:rsidRPr="002450C8">
              <w:rPr>
                <w:sz w:val="20"/>
                <w:szCs w:val="20"/>
              </w:rPr>
              <w:t xml:space="preserve"> adherence to the rules, conditions, and obligations identified in a signed Code;</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Customers”</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A </w:t>
            </w:r>
            <w:r w:rsidR="001A0B07">
              <w:rPr>
                <w:sz w:val="20"/>
                <w:szCs w:val="20"/>
              </w:rPr>
              <w:t>Contracting Body</w:t>
            </w:r>
            <w:r w:rsidRPr="002450C8">
              <w:rPr>
                <w:sz w:val="20"/>
                <w:szCs w:val="20"/>
              </w:rPr>
              <w:t xml:space="preserve"> who has achieved PSN Compliance Certification for their Customer Environments and who holds PSN Supply Agreement(s) with PSN Service Providers for the services concerned;</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Operating Model”</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document produced by the PSNA which contains information relating to the PSN including the PSN Compliance Conditions, the PSN Environment and the PSN Security Model.  This document will (</w:t>
            </w:r>
            <w:proofErr w:type="spellStart"/>
            <w:r w:rsidRPr="002450C8">
              <w:rPr>
                <w:sz w:val="20"/>
                <w:szCs w:val="20"/>
              </w:rPr>
              <w:t>i</w:t>
            </w:r>
            <w:proofErr w:type="spellEnd"/>
            <w:r w:rsidRPr="002450C8">
              <w:rPr>
                <w:sz w:val="20"/>
                <w:szCs w:val="20"/>
              </w:rPr>
              <w:t xml:space="preserve">) be subject to change from time to time by the PSNA and (ii) be maintained by the PSNA with the assistance of the PSN Design Authority and PSN </w:t>
            </w:r>
            <w:r w:rsidRPr="002450C8">
              <w:rPr>
                <w:sz w:val="20"/>
                <w:szCs w:val="20"/>
              </w:rPr>
              <w:lastRenderedPageBreak/>
              <w:t xml:space="preserve">Commercial Authority;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lastRenderedPageBreak/>
              <w:t>“PSN Service Provider”</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 xml:space="preserve">an organisation that is supplying or is approved to supply PSN Services in accordance with a Code; </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 Service” or “PSN Services”</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a service which is offered by a PSN Service Provider and for which a PSN Compliance Certification has been awarded by the PSNA;</w:t>
            </w:r>
          </w:p>
        </w:tc>
      </w:tr>
      <w:tr w:rsidR="00422402" w:rsidRPr="00C44468" w:rsidTr="00964FCB">
        <w:tc>
          <w:tcPr>
            <w:tcW w:w="2410" w:type="dxa"/>
          </w:tcPr>
          <w:p w:rsidR="00422402" w:rsidRPr="002450C8" w:rsidRDefault="00422402" w:rsidP="00964FCB">
            <w:pPr>
              <w:pStyle w:val="GPSDefinitionTerm"/>
              <w:rPr>
                <w:b w:val="0"/>
                <w:sz w:val="20"/>
                <w:szCs w:val="20"/>
              </w:rPr>
            </w:pPr>
            <w:r w:rsidRPr="002450C8">
              <w:rPr>
                <w:b w:val="0"/>
                <w:sz w:val="20"/>
                <w:szCs w:val="20"/>
              </w:rPr>
              <w:t>“PSNA” or “PSN Authority”</w:t>
            </w:r>
          </w:p>
        </w:tc>
        <w:tc>
          <w:tcPr>
            <w:tcW w:w="5953" w:type="dxa"/>
          </w:tcPr>
          <w:p w:rsidR="00422402" w:rsidRPr="002450C8" w:rsidRDefault="00422402" w:rsidP="00422402">
            <w:pPr>
              <w:pStyle w:val="GPsDefinition"/>
              <w:numPr>
                <w:ilvl w:val="0"/>
                <w:numId w:val="338"/>
              </w:numPr>
              <w:tabs>
                <w:tab w:val="clear" w:pos="175"/>
                <w:tab w:val="left" w:pos="-9"/>
              </w:tabs>
              <w:rPr>
                <w:sz w:val="20"/>
                <w:szCs w:val="20"/>
              </w:rPr>
            </w:pPr>
            <w:r w:rsidRPr="002450C8">
              <w:rPr>
                <w:sz w:val="20"/>
                <w:szCs w:val="20"/>
              </w:rPr>
              <w:t>the Government body which administers the PSN;</w:t>
            </w:r>
          </w:p>
        </w:tc>
      </w:tr>
    </w:tbl>
    <w:p w:rsidR="00422402" w:rsidRDefault="00422402" w:rsidP="00422402">
      <w:pPr>
        <w:pStyle w:val="GPSL1CLAUSEHEADING"/>
        <w:numPr>
          <w:ilvl w:val="0"/>
          <w:numId w:val="0"/>
        </w:numPr>
        <w:ind w:left="720"/>
      </w:pPr>
    </w:p>
    <w:p w:rsidR="00422402" w:rsidRDefault="00422402" w:rsidP="002C741A">
      <w:pPr>
        <w:pStyle w:val="GPSL1CLAUSEHEADING"/>
      </w:pPr>
      <w:bookmarkStart w:id="999" w:name="_Toc379488115"/>
      <w:bookmarkStart w:id="1000" w:name="_Toc380052217"/>
      <w:bookmarkStart w:id="1001" w:name="_Toc380052728"/>
      <w:bookmarkStart w:id="1002" w:name="_Toc380053752"/>
      <w:bookmarkStart w:id="1003" w:name="_Toc391545414"/>
      <w:r w:rsidRPr="00B16D45">
        <w:t>GENERAL</w:t>
      </w:r>
      <w:bookmarkEnd w:id="998"/>
      <w:bookmarkEnd w:id="999"/>
      <w:bookmarkEnd w:id="1000"/>
      <w:bookmarkEnd w:id="1001"/>
      <w:bookmarkEnd w:id="1002"/>
      <w:bookmarkEnd w:id="1003"/>
    </w:p>
    <w:p w:rsidR="00422402" w:rsidRDefault="00422402" w:rsidP="00422402">
      <w:pPr>
        <w:pStyle w:val="GPSL2Numbered"/>
        <w:numPr>
          <w:ilvl w:val="1"/>
          <w:numId w:val="323"/>
        </w:numPr>
        <w:ind w:left="1418" w:hanging="709"/>
      </w:pPr>
      <w:r w:rsidRPr="002B5109">
        <w:t xml:space="preserve">The purpose of this Framework Schedule </w:t>
      </w:r>
      <w:r>
        <w:t>21</w:t>
      </w:r>
      <w:r w:rsidRPr="002B5109">
        <w:t xml:space="preserve"> (</w:t>
      </w:r>
      <w:r>
        <w:t>PSN Compliance) is to set out the Supplier’s general obligations to participate in the operation of the Public Services Network where it provides PSN Services.</w:t>
      </w:r>
    </w:p>
    <w:p w:rsidR="00422402" w:rsidRDefault="00422402" w:rsidP="00422402">
      <w:pPr>
        <w:pStyle w:val="GPSL2Numbered"/>
        <w:numPr>
          <w:ilvl w:val="0"/>
          <w:numId w:val="0"/>
        </w:numPr>
        <w:ind w:left="1418"/>
      </w:pPr>
    </w:p>
    <w:p w:rsidR="00422402" w:rsidRDefault="00422402" w:rsidP="002C741A">
      <w:pPr>
        <w:pStyle w:val="GPSL1CLAUSEHEADING"/>
        <w:numPr>
          <w:ilvl w:val="0"/>
          <w:numId w:val="323"/>
        </w:numPr>
      </w:pPr>
      <w:bookmarkStart w:id="1004" w:name="_Toc367959236"/>
      <w:bookmarkStart w:id="1005" w:name="_Toc379488116"/>
      <w:bookmarkStart w:id="1006" w:name="_Toc380052218"/>
      <w:bookmarkStart w:id="1007" w:name="_Toc380052729"/>
      <w:bookmarkStart w:id="1008" w:name="_Toc380053753"/>
      <w:bookmarkStart w:id="1009" w:name="_Toc391545415"/>
      <w:r>
        <w:t>PROVISION OF PSN SERVICES</w:t>
      </w:r>
      <w:bookmarkEnd w:id="1004"/>
      <w:bookmarkEnd w:id="1005"/>
      <w:bookmarkEnd w:id="1006"/>
      <w:bookmarkEnd w:id="1007"/>
      <w:bookmarkEnd w:id="1008"/>
      <w:bookmarkEnd w:id="1009"/>
    </w:p>
    <w:p w:rsidR="00422402" w:rsidRDefault="00422402" w:rsidP="00422402">
      <w:pPr>
        <w:pStyle w:val="GPSL2Numbered"/>
        <w:numPr>
          <w:ilvl w:val="1"/>
          <w:numId w:val="323"/>
        </w:numPr>
        <w:ind w:left="1418" w:hanging="709"/>
      </w:pPr>
      <w:r w:rsidRPr="00CC7A1E">
        <w:t xml:space="preserve">The Supplier shall not provide any PSN Services to a </w:t>
      </w:r>
      <w:r w:rsidR="001A0B07">
        <w:t>Contracting Body</w:t>
      </w:r>
      <w:r w:rsidRPr="00CC7A1E">
        <w:t xml:space="preserve"> until </w:t>
      </w:r>
      <w:r>
        <w:t xml:space="preserve">the </w:t>
      </w:r>
      <w:r w:rsidR="001A0B07">
        <w:t>Contracting Body</w:t>
      </w:r>
      <w:r>
        <w:t xml:space="preserve"> has</w:t>
      </w:r>
      <w:r w:rsidRPr="00CC7A1E">
        <w:t xml:space="preserve"> been issued wit</w:t>
      </w:r>
      <w:r>
        <w:t>h a valid and relevant Code of Connection</w:t>
      </w:r>
      <w:r w:rsidRPr="00CC7A1E">
        <w:t xml:space="preserve">.  The Supplier must ensure that such authorisation has been given and is in place throughout the duration of the Call-Off Contract by asking the </w:t>
      </w:r>
      <w:r w:rsidR="001A0B07">
        <w:t>Contracting Body</w:t>
      </w:r>
      <w:r w:rsidRPr="00CC7A1E">
        <w:t xml:space="preserve"> for a copy of their valid </w:t>
      </w:r>
      <w:r>
        <w:t>Code of Connection</w:t>
      </w:r>
      <w:r w:rsidRPr="00CC7A1E">
        <w:t xml:space="preserve">. </w:t>
      </w:r>
    </w:p>
    <w:p w:rsidR="00422402" w:rsidRPr="003D1274" w:rsidRDefault="00422402" w:rsidP="00422402">
      <w:pPr>
        <w:pStyle w:val="GPSL2Numbered"/>
        <w:numPr>
          <w:ilvl w:val="1"/>
          <w:numId w:val="323"/>
        </w:numPr>
        <w:ind w:left="1418" w:hanging="709"/>
      </w:pPr>
      <w:r>
        <w:t xml:space="preserve">The supplier shall </w:t>
      </w:r>
      <w:r w:rsidRPr="003D1274">
        <w:t xml:space="preserve">take reasonable steps to monitor whether </w:t>
      </w:r>
      <w:r w:rsidR="001A0B07">
        <w:t>Contracting Bodies</w:t>
      </w:r>
      <w:r w:rsidRPr="003D1274">
        <w:t xml:space="preserve"> it has Call-Off Contracts with are failing to comply with any obligations under the</w:t>
      </w:r>
      <w:r>
        <w:t>ir</w:t>
      </w:r>
      <w:r w:rsidRPr="003D1274">
        <w:t xml:space="preserve"> Code of Connection.  If it becomes aware of any such failure the </w:t>
      </w:r>
      <w:r>
        <w:t>Supplier</w:t>
      </w:r>
      <w:r w:rsidRPr="003D1274">
        <w:t xml:space="preserve"> shall immediately (and simultaneously) notify the </w:t>
      </w:r>
      <w:r w:rsidR="001A0B07">
        <w:t>Contracting Body</w:t>
      </w:r>
      <w:r w:rsidRPr="003D1274">
        <w:t xml:space="preserve"> and the </w:t>
      </w:r>
      <w:r>
        <w:t>Framework</w:t>
      </w:r>
      <w:r w:rsidRPr="003D1274">
        <w:t xml:space="preserve"> Authority and keep them informed of further developments; </w:t>
      </w:r>
    </w:p>
    <w:p w:rsidR="00422402" w:rsidRDefault="00422402" w:rsidP="00422402">
      <w:pPr>
        <w:pStyle w:val="GPSL2Numbered"/>
        <w:numPr>
          <w:ilvl w:val="1"/>
          <w:numId w:val="323"/>
        </w:numPr>
        <w:ind w:left="1418" w:hanging="709"/>
      </w:pPr>
      <w:r w:rsidRPr="003D1274">
        <w:t xml:space="preserve">if required by the Framework Authority acting on behalf of the PSNA (and within the timescales required by the Framework Authority), </w:t>
      </w:r>
      <w:r>
        <w:t xml:space="preserve">the Supplier shall </w:t>
      </w:r>
      <w:r w:rsidRPr="003D1274">
        <w:t xml:space="preserve">restrict or cease providing all or some part of the Services it provides to any </w:t>
      </w:r>
      <w:r w:rsidR="001A0B07">
        <w:t>Contracting Bodies</w:t>
      </w:r>
      <w:r w:rsidRPr="003D1274">
        <w:t xml:space="preserve"> if such </w:t>
      </w:r>
      <w:r w:rsidR="001A0B07">
        <w:t>Contracting Bodies</w:t>
      </w:r>
      <w:r w:rsidRPr="003D1274">
        <w:t xml:space="preserve"> are failing to comply with any obligations</w:t>
      </w:r>
      <w:r>
        <w:t xml:space="preserve"> under the Code of Connection. </w:t>
      </w:r>
      <w:r w:rsidRPr="003D1274">
        <w:t xml:space="preserve">On receiving such request, the </w:t>
      </w:r>
      <w:r>
        <w:t>Supplier</w:t>
      </w:r>
      <w:r w:rsidRPr="003D1274">
        <w:t xml:space="preserve"> shall comply with the request without any inquiry into the merits of or j</w:t>
      </w:r>
      <w:r>
        <w:t>ustifications for such actions.</w:t>
      </w:r>
    </w:p>
    <w:p w:rsidR="00422402" w:rsidRDefault="00422402" w:rsidP="00422402">
      <w:pPr>
        <w:pStyle w:val="GPSL2Numbered"/>
        <w:numPr>
          <w:ilvl w:val="1"/>
          <w:numId w:val="323"/>
        </w:numPr>
        <w:ind w:left="1418" w:hanging="709"/>
      </w:pPr>
      <w:r>
        <w:t>Failure to maintain PSN Compliance for any Service which the Supplier is providing to a Contracting Body as a PSN Service shall constitute a material Default.</w:t>
      </w:r>
    </w:p>
    <w:p w:rsidR="00422402" w:rsidRPr="003D1274" w:rsidRDefault="00422402" w:rsidP="00422402">
      <w:pPr>
        <w:pStyle w:val="GPSL2Numbered"/>
        <w:numPr>
          <w:ilvl w:val="0"/>
          <w:numId w:val="0"/>
        </w:numPr>
        <w:ind w:left="1418"/>
      </w:pPr>
    </w:p>
    <w:p w:rsidR="00422402" w:rsidRDefault="00422402" w:rsidP="002C741A">
      <w:pPr>
        <w:pStyle w:val="GPSL1CLAUSEHEADING"/>
        <w:numPr>
          <w:ilvl w:val="0"/>
          <w:numId w:val="323"/>
        </w:numPr>
      </w:pPr>
      <w:bookmarkStart w:id="1010" w:name="_Toc367959237"/>
      <w:bookmarkStart w:id="1011" w:name="_Toc379488117"/>
      <w:bookmarkStart w:id="1012" w:name="_Toc380052219"/>
      <w:bookmarkStart w:id="1013" w:name="_Toc380052730"/>
      <w:bookmarkStart w:id="1014" w:name="_Toc380053754"/>
      <w:bookmarkStart w:id="1015" w:name="_Toc391545416"/>
      <w:r>
        <w:t>PARTICIPATION IN PSN</w:t>
      </w:r>
      <w:bookmarkEnd w:id="1010"/>
      <w:bookmarkEnd w:id="1011"/>
      <w:bookmarkEnd w:id="1012"/>
      <w:bookmarkEnd w:id="1013"/>
      <w:bookmarkEnd w:id="1014"/>
      <w:bookmarkEnd w:id="1015"/>
    </w:p>
    <w:p w:rsidR="00422402" w:rsidRPr="003D1274" w:rsidRDefault="00422402" w:rsidP="00422402">
      <w:pPr>
        <w:pStyle w:val="GPSL2NumberedBoldHeading"/>
        <w:numPr>
          <w:ilvl w:val="1"/>
          <w:numId w:val="323"/>
        </w:numPr>
        <w:ind w:left="1418" w:hanging="709"/>
        <w:rPr>
          <w:b w:val="0"/>
        </w:rPr>
      </w:pPr>
      <w:r w:rsidRPr="003D1274">
        <w:rPr>
          <w:b w:val="0"/>
        </w:rPr>
        <w:t xml:space="preserve">During the Framework Period and thereafter in respect of any existing Call-Off Contracts, </w:t>
      </w:r>
      <w:r>
        <w:rPr>
          <w:b w:val="0"/>
        </w:rPr>
        <w:t xml:space="preserve">to the extent that the Supplier delivers PSN Services, </w:t>
      </w:r>
      <w:r w:rsidRPr="003D1274">
        <w:rPr>
          <w:b w:val="0"/>
        </w:rPr>
        <w:t xml:space="preserve">the Supplier shall:  </w:t>
      </w:r>
    </w:p>
    <w:p w:rsidR="00422402" w:rsidRPr="003D1274" w:rsidRDefault="00422402" w:rsidP="00422402">
      <w:pPr>
        <w:pStyle w:val="GPSL3numberedclause"/>
        <w:numPr>
          <w:ilvl w:val="2"/>
          <w:numId w:val="323"/>
        </w:numPr>
        <w:ind w:left="2127"/>
      </w:pPr>
      <w:r w:rsidRPr="003D1274">
        <w:t>ensure that it actively support</w:t>
      </w:r>
      <w:r>
        <w:t>s</w:t>
      </w:r>
      <w:r w:rsidRPr="003D1274">
        <w:t xml:space="preserve"> and participate</w:t>
      </w:r>
      <w:r>
        <w:t>s</w:t>
      </w:r>
      <w:r w:rsidRPr="003D1274">
        <w:t xml:space="preserve"> in the </w:t>
      </w:r>
      <w:r>
        <w:t xml:space="preserve">governance </w:t>
      </w:r>
      <w:r w:rsidRPr="003D1274">
        <w:t xml:space="preserve">and administration of the PSN and will comply with all obligations it has in relation to the PSN (whether under this Framework Agreement, any </w:t>
      </w:r>
      <w:r w:rsidRPr="003D1274">
        <w:lastRenderedPageBreak/>
        <w:t>Call-Off Contracts, the PSN Operating Model, the GCN Service Agreements, Code of Interconnection, the Code of Practice or any other relevant agreements or codes);</w:t>
      </w:r>
    </w:p>
    <w:p w:rsidR="00422402" w:rsidRPr="003D1274" w:rsidRDefault="00422402" w:rsidP="00422402">
      <w:pPr>
        <w:pStyle w:val="GPSL3numberedclause"/>
        <w:numPr>
          <w:ilvl w:val="2"/>
          <w:numId w:val="323"/>
        </w:numPr>
        <w:ind w:left="2127"/>
      </w:pPr>
      <w:r w:rsidRPr="003D1274">
        <w:t>cooperate with suppliers of other PSN Services and GCN Service Providers to enable the efficient operation of the Public Services Network in accordance with the PSN Operating Model;</w:t>
      </w:r>
    </w:p>
    <w:p w:rsidR="00422402" w:rsidRPr="003D1274" w:rsidRDefault="00422402" w:rsidP="00422402">
      <w:pPr>
        <w:pStyle w:val="GPSL3numberedclause"/>
        <w:numPr>
          <w:ilvl w:val="2"/>
          <w:numId w:val="323"/>
        </w:numPr>
        <w:ind w:left="2127"/>
      </w:pPr>
      <w:r w:rsidRPr="003D1274">
        <w:t xml:space="preserve">deliver the PSN Services in such a way that enables the sharing of Services across </w:t>
      </w:r>
      <w:r w:rsidR="001A0B07">
        <w:t>Contracting Bodies</w:t>
      </w:r>
      <w:r w:rsidRPr="003D1274">
        <w:t xml:space="preserve"> of PSN Services and optimises the savings to be achieved </w:t>
      </w:r>
      <w:r>
        <w:t>by the sharing of such services.</w:t>
      </w:r>
    </w:p>
    <w:p w:rsidR="00422402" w:rsidRDefault="00422402" w:rsidP="00422402">
      <w:pPr>
        <w:pStyle w:val="GPSL2Numbered"/>
        <w:numPr>
          <w:ilvl w:val="1"/>
          <w:numId w:val="323"/>
        </w:numPr>
        <w:ind w:left="1418" w:hanging="709"/>
      </w:pPr>
      <w:r>
        <w:t xml:space="preserve">The Supplier </w:t>
      </w:r>
      <w:r w:rsidRPr="00C03EEC">
        <w:t>(and, to the extent relevant, its Sub-Contractors) shall maintain records relating to achievement and maintenance of PSN Compliance in accordance with clause 15 (Records, Audit Access And Open Book Data).</w:t>
      </w:r>
    </w:p>
    <w:p w:rsidR="00422402" w:rsidRDefault="00422402" w:rsidP="00422402">
      <w:pPr>
        <w:pStyle w:val="GPSL2Numbered"/>
        <w:numPr>
          <w:ilvl w:val="1"/>
          <w:numId w:val="323"/>
        </w:numPr>
        <w:ind w:left="1418" w:hanging="709"/>
      </w:pPr>
      <w:r w:rsidRPr="003D1274">
        <w:t>Notwithstanding anything to the contrary in this Framework Agreement, the Framework Authority may disclose to the PSNA (or such other entity nominated from time to time by the PSNA) any information (including Supplier</w:t>
      </w:r>
      <w:r>
        <w:t>’s</w:t>
      </w:r>
      <w:r w:rsidRPr="003D1274">
        <w:t xml:space="preserve"> Confidential Information) it obtains from or on behalf of the Supplier under or in connection with this Framework Agreement and any Call-Off Contracts</w:t>
      </w:r>
      <w:r>
        <w:t xml:space="preserve"> where such disclosure may be required to enable the smooth operation of the Public Services Network</w:t>
      </w:r>
      <w:r w:rsidRPr="003D1274">
        <w:t>.</w:t>
      </w:r>
    </w:p>
    <w:p w:rsidR="00C51F8D" w:rsidRDefault="00C51F8D" w:rsidP="00C51F8D">
      <w:pPr>
        <w:spacing w:before="120" w:after="120"/>
      </w:pPr>
      <w:r>
        <w:br w:type="page"/>
      </w:r>
    </w:p>
    <w:p w:rsidR="000B7EC6" w:rsidRPr="00D6538E" w:rsidRDefault="000B7EC6" w:rsidP="000B7EC6">
      <w:pPr>
        <w:pStyle w:val="GPSSchTitleandNumber"/>
      </w:pPr>
      <w:bookmarkStart w:id="1016" w:name="_Toc378672461"/>
      <w:bookmarkStart w:id="1017" w:name="_Toc379488118"/>
      <w:bookmarkStart w:id="1018" w:name="_Toc380052220"/>
      <w:bookmarkStart w:id="1019" w:name="_Toc380052731"/>
      <w:bookmarkStart w:id="1020" w:name="_Toc391545417"/>
      <w:r w:rsidRPr="00D6538E">
        <w:lastRenderedPageBreak/>
        <w:t>FRAMEWORK SCHEDULE 22: Service Catalogue Variation Form</w:t>
      </w:r>
      <w:bookmarkEnd w:id="1016"/>
      <w:bookmarkEnd w:id="1017"/>
      <w:bookmarkEnd w:id="1018"/>
      <w:bookmarkEnd w:id="1019"/>
      <w:bookmarkEnd w:id="1020"/>
    </w:p>
    <w:p w:rsidR="000B7EC6" w:rsidRPr="00D6538E" w:rsidRDefault="000B7EC6" w:rsidP="000B7EC6">
      <w:pPr>
        <w:spacing w:before="120" w:after="120"/>
        <w:rPr>
          <w:b/>
        </w:rPr>
      </w:pPr>
      <w:r w:rsidRPr="00D6538E">
        <w:rPr>
          <w:b/>
        </w:rPr>
        <w:t>Variation Form No: …………………………………………………………………………………</w:t>
      </w:r>
    </w:p>
    <w:p w:rsidR="000B7EC6" w:rsidRDefault="000B7EC6" w:rsidP="000B7EC6">
      <w:pPr>
        <w:spacing w:before="120" w:after="120"/>
        <w:rPr>
          <w:b/>
        </w:rPr>
      </w:pPr>
    </w:p>
    <w:p w:rsidR="000B7EC6" w:rsidRPr="00D6538E" w:rsidRDefault="000B7EC6" w:rsidP="000B7EC6">
      <w:pPr>
        <w:spacing w:before="120" w:after="120"/>
        <w:rPr>
          <w:b/>
        </w:rPr>
      </w:pPr>
      <w:r w:rsidRPr="00D6538E">
        <w:rPr>
          <w:b/>
        </w:rPr>
        <w:t xml:space="preserve">Effective From Date: ………………………………………………………………………………… </w:t>
      </w:r>
    </w:p>
    <w:p w:rsidR="000B7EC6" w:rsidRPr="00D6538E" w:rsidRDefault="000B7EC6" w:rsidP="000B7EC6">
      <w:pPr>
        <w:spacing w:before="120" w:after="120"/>
        <w:rPr>
          <w:b/>
        </w:rPr>
      </w:pPr>
      <w:r w:rsidRPr="00D6538E">
        <w:rPr>
          <w:b/>
        </w:rPr>
        <w:t>[</w:t>
      </w:r>
      <w:r w:rsidRPr="00D6538E">
        <w:rPr>
          <w:b/>
          <w:highlight w:val="green"/>
        </w:rPr>
        <w:t>Guidance</w:t>
      </w:r>
      <w:r w:rsidRPr="00D6538E">
        <w:rPr>
          <w:b/>
        </w:rPr>
        <w:t xml:space="preserve"> </w:t>
      </w:r>
      <w:r w:rsidRPr="00D6538E">
        <w:rPr>
          <w:b/>
          <w:highlight w:val="green"/>
        </w:rPr>
        <w:t>Note to Supplier: the Effective Date shall be the date when the amended Service Catalogue will be available to the Contracting Bodies.</w:t>
      </w:r>
      <w:r w:rsidRPr="00D6538E">
        <w:rPr>
          <w:b/>
        </w:rPr>
        <w:t>]</w:t>
      </w:r>
    </w:p>
    <w:p w:rsidR="000B7EC6" w:rsidRDefault="000B7EC6" w:rsidP="000B7EC6">
      <w:pPr>
        <w:spacing w:before="120" w:after="120"/>
        <w:rPr>
          <w:b/>
        </w:rPr>
      </w:pPr>
    </w:p>
    <w:p w:rsidR="000B7EC6" w:rsidRPr="00D6538E" w:rsidRDefault="000B7EC6" w:rsidP="000B7EC6">
      <w:pPr>
        <w:spacing w:before="120" w:after="120"/>
        <w:rPr>
          <w:b/>
        </w:rPr>
      </w:pPr>
      <w:r w:rsidRPr="00D6538E">
        <w:rPr>
          <w:b/>
        </w:rPr>
        <w:t xml:space="preserve">Expiry Date: ………………………………………………………………………………… </w:t>
      </w:r>
    </w:p>
    <w:p w:rsidR="000B7EC6" w:rsidRPr="00D6538E" w:rsidRDefault="000B7EC6" w:rsidP="000B7EC6">
      <w:pPr>
        <w:spacing w:before="120" w:after="120"/>
        <w:rPr>
          <w:b/>
        </w:rPr>
      </w:pPr>
      <w:r w:rsidRPr="00D6538E">
        <w:rPr>
          <w:b/>
        </w:rPr>
        <w:t>[</w:t>
      </w:r>
      <w:r w:rsidRPr="00D6538E">
        <w:rPr>
          <w:b/>
          <w:highlight w:val="green"/>
        </w:rPr>
        <w:t>Guidance Note to Supplier: Insert the date you would like the Service Package to be removed from the Service Catalogue</w:t>
      </w:r>
      <w:r w:rsidRPr="00D6538E">
        <w:rPr>
          <w:b/>
        </w:rPr>
        <w:t>]</w:t>
      </w:r>
    </w:p>
    <w:p w:rsidR="000B7EC6" w:rsidRPr="00D6538E" w:rsidRDefault="000B7EC6" w:rsidP="000B7EC6">
      <w:pPr>
        <w:spacing w:before="120" w:after="120"/>
        <w:rPr>
          <w:b/>
        </w:rPr>
      </w:pPr>
      <w:r w:rsidRPr="00D6538E">
        <w:rPr>
          <w:b/>
        </w:rPr>
        <w:t>BETWEEN:</w:t>
      </w:r>
    </w:p>
    <w:p w:rsidR="000B7EC6" w:rsidRPr="00D6538E" w:rsidRDefault="000B7EC6" w:rsidP="000B7EC6">
      <w:pPr>
        <w:spacing w:before="120" w:after="120"/>
      </w:pPr>
      <w:r w:rsidRPr="00D6538E">
        <w:t>[insert name of the Authority] (</w:t>
      </w:r>
      <w:r w:rsidRPr="00D6538E">
        <w:rPr>
          <w:b/>
        </w:rPr>
        <w:t>the Authority</w:t>
      </w:r>
      <w:r w:rsidRPr="00D6538E">
        <w:t>)</w:t>
      </w:r>
    </w:p>
    <w:p w:rsidR="000B7EC6" w:rsidRDefault="000B7EC6" w:rsidP="000B7EC6">
      <w:pPr>
        <w:spacing w:before="120" w:after="120"/>
      </w:pPr>
    </w:p>
    <w:p w:rsidR="000B7EC6" w:rsidRPr="00D6538E" w:rsidRDefault="000B7EC6" w:rsidP="000B7EC6">
      <w:pPr>
        <w:spacing w:before="120" w:after="120"/>
      </w:pPr>
      <w:r w:rsidRPr="00D6538E">
        <w:t>and</w:t>
      </w:r>
    </w:p>
    <w:p w:rsidR="000B7EC6" w:rsidRDefault="000B7EC6" w:rsidP="000B7EC6">
      <w:pPr>
        <w:spacing w:before="120" w:after="120"/>
      </w:pPr>
    </w:p>
    <w:p w:rsidR="000B7EC6" w:rsidRPr="00D6538E" w:rsidRDefault="000B7EC6" w:rsidP="000B7EC6">
      <w:pPr>
        <w:spacing w:before="120" w:after="120"/>
      </w:pPr>
      <w:r w:rsidRPr="00D6538E">
        <w:t>[insert name of Supplier] (</w:t>
      </w:r>
      <w:r w:rsidRPr="00D6538E">
        <w:rPr>
          <w:b/>
        </w:rPr>
        <w:t>the Supplier</w:t>
      </w:r>
      <w:r w:rsidRPr="00D6538E">
        <w:t>)</w:t>
      </w:r>
    </w:p>
    <w:p w:rsidR="000B7EC6" w:rsidRDefault="000B7EC6" w:rsidP="000B7EC6">
      <w:pPr>
        <w:spacing w:before="120" w:after="120"/>
      </w:pPr>
    </w:p>
    <w:p w:rsidR="000B7EC6" w:rsidRPr="00D6538E" w:rsidRDefault="000B7EC6" w:rsidP="000B7EC6">
      <w:pPr>
        <w:spacing w:before="120" w:after="120"/>
      </w:pPr>
      <w:r w:rsidRPr="00D6538E">
        <w:t xml:space="preserve">[The Service Catalogue is varied as set out in the attached Service Package Template, such variation to take effect on the Effective From Date] </w:t>
      </w:r>
    </w:p>
    <w:p w:rsidR="000B7EC6" w:rsidRPr="00D6538E" w:rsidRDefault="000B7EC6" w:rsidP="000B7EC6">
      <w:pPr>
        <w:spacing w:before="120" w:after="120"/>
      </w:pPr>
      <w:r w:rsidRPr="00D6538E">
        <w:rPr>
          <w:b/>
        </w:rPr>
        <w:t>[</w:t>
      </w:r>
      <w:r w:rsidRPr="00D6538E">
        <w:rPr>
          <w:b/>
          <w:highlight w:val="green"/>
        </w:rPr>
        <w:t>Guidance Note to Supplier:  Insert the revised Service Package Template</w:t>
      </w:r>
      <w:r w:rsidRPr="00D6538E">
        <w:rPr>
          <w:b/>
        </w:rPr>
        <w:t xml:space="preserve">]  </w:t>
      </w:r>
    </w:p>
    <w:p w:rsidR="000B7EC6" w:rsidRPr="00D6538E" w:rsidRDefault="000B7EC6" w:rsidP="000B7EC6">
      <w:pPr>
        <w:spacing w:before="120" w:after="120"/>
      </w:pPr>
      <w:r w:rsidRPr="00D6538E">
        <w:t xml:space="preserve">The changes proposed in this Variation to the Service Catalogue shall expire on the Expiry Date. </w:t>
      </w:r>
    </w:p>
    <w:p w:rsidR="000B7EC6" w:rsidRPr="00D6538E" w:rsidRDefault="000B7EC6" w:rsidP="000B7EC6">
      <w:pPr>
        <w:spacing w:before="120" w:after="120"/>
      </w:pPr>
      <w:r w:rsidRPr="00D6538E">
        <w:t>{Service Package [</w:t>
      </w:r>
      <w:r w:rsidRPr="00D6538E">
        <w:rPr>
          <w:i/>
          <w:highlight w:val="green"/>
        </w:rPr>
        <w:t>reference from Service Catalogue to be inserted</w:t>
      </w:r>
      <w:r w:rsidRPr="00D6538E">
        <w:t>] shall be deleted from the Service Catalogue on the Effective Date.]</w:t>
      </w:r>
    </w:p>
    <w:p w:rsidR="000B7EC6" w:rsidRPr="00D6538E" w:rsidRDefault="000B7EC6" w:rsidP="000B7EC6">
      <w:pPr>
        <w:spacing w:before="120" w:after="120"/>
      </w:pPr>
      <w:r w:rsidRPr="00D6538E">
        <w:t>Words and expressions in this Variation shall have the meanings given to them in the Framework Agreement.</w:t>
      </w:r>
    </w:p>
    <w:p w:rsidR="000B7EC6" w:rsidRPr="00D6538E" w:rsidRDefault="000B7EC6" w:rsidP="000B7EC6">
      <w:pPr>
        <w:spacing w:before="120" w:after="120"/>
      </w:pPr>
      <w:r w:rsidRPr="00D6538E">
        <w:t>The Framework Agreement, including the Service Catalogue, shall remain effective and unaltered except as amended by the changes expressly set out above.</w:t>
      </w:r>
    </w:p>
    <w:p w:rsidR="000B7EC6" w:rsidRPr="00D6538E" w:rsidRDefault="000B7EC6" w:rsidP="000B7EC6">
      <w:pPr>
        <w:spacing w:before="120" w:after="120"/>
        <w:rPr>
          <w:b/>
        </w:rPr>
      </w:pPr>
      <w:r w:rsidRPr="00D6538E">
        <w:rPr>
          <w:b/>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B7EC6" w:rsidRPr="00D6538E" w:rsidTr="000A286C">
        <w:tc>
          <w:tcPr>
            <w:tcW w:w="2210" w:type="dxa"/>
            <w:tcBorders>
              <w:bottom w:val="nil"/>
            </w:tcBorders>
          </w:tcPr>
          <w:p w:rsidR="000B7EC6" w:rsidRPr="00D6538E" w:rsidRDefault="000B7EC6" w:rsidP="000A286C">
            <w:pPr>
              <w:spacing w:before="120" w:after="120"/>
            </w:pPr>
            <w:r w:rsidRPr="00D6538E">
              <w:t>Signature</w:t>
            </w:r>
          </w:p>
        </w:tc>
        <w:tc>
          <w:tcPr>
            <w:tcW w:w="5940" w:type="dxa"/>
            <w:tcBorders>
              <w:top w:val="nil"/>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Date</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Name (in Capitals)</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Address</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8150" w:type="dxa"/>
            <w:gridSpan w:val="2"/>
            <w:tcBorders>
              <w:top w:val="nil"/>
              <w:bottom w:val="single" w:sz="4" w:space="0" w:color="auto"/>
            </w:tcBorders>
          </w:tcPr>
          <w:p w:rsidR="000B7EC6" w:rsidRPr="00D6538E" w:rsidRDefault="000B7EC6" w:rsidP="000A286C">
            <w:pPr>
              <w:spacing w:before="120" w:after="120"/>
            </w:pPr>
          </w:p>
        </w:tc>
      </w:tr>
    </w:tbl>
    <w:p w:rsidR="000B7EC6" w:rsidRPr="00D6538E" w:rsidRDefault="000B7EC6" w:rsidP="000B7EC6">
      <w:pPr>
        <w:spacing w:before="120" w:after="120"/>
        <w:rPr>
          <w:b/>
        </w:rPr>
      </w:pPr>
    </w:p>
    <w:p w:rsidR="000B7EC6" w:rsidRPr="00D6538E" w:rsidRDefault="000B7EC6" w:rsidP="000B7EC6">
      <w:pPr>
        <w:spacing w:before="120" w:after="120"/>
        <w:rPr>
          <w:b/>
        </w:rPr>
      </w:pPr>
      <w:r w:rsidRPr="00D6538E">
        <w:rPr>
          <w:b/>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B7EC6" w:rsidRPr="00D6538E" w:rsidTr="000A286C">
        <w:tc>
          <w:tcPr>
            <w:tcW w:w="2210" w:type="dxa"/>
            <w:tcBorders>
              <w:bottom w:val="nil"/>
            </w:tcBorders>
          </w:tcPr>
          <w:p w:rsidR="000B7EC6" w:rsidRPr="00D6538E" w:rsidRDefault="000B7EC6" w:rsidP="000A286C">
            <w:pPr>
              <w:spacing w:before="120" w:after="120"/>
            </w:pPr>
            <w:r w:rsidRPr="00D6538E">
              <w:lastRenderedPageBreak/>
              <w:t>Signature</w:t>
            </w:r>
          </w:p>
        </w:tc>
        <w:tc>
          <w:tcPr>
            <w:tcW w:w="5940" w:type="dxa"/>
            <w:tcBorders>
              <w:top w:val="nil"/>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Date</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Name (in Capitals)</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2210" w:type="dxa"/>
            <w:tcBorders>
              <w:top w:val="nil"/>
              <w:bottom w:val="nil"/>
            </w:tcBorders>
          </w:tcPr>
          <w:p w:rsidR="000B7EC6" w:rsidRPr="00D6538E" w:rsidRDefault="000B7EC6" w:rsidP="000A286C">
            <w:pPr>
              <w:spacing w:before="120" w:after="120"/>
            </w:pPr>
            <w:r w:rsidRPr="00D6538E">
              <w:t>Address</w:t>
            </w:r>
          </w:p>
        </w:tc>
        <w:tc>
          <w:tcPr>
            <w:tcW w:w="5940" w:type="dxa"/>
            <w:tcBorders>
              <w:top w:val="single" w:sz="4" w:space="0" w:color="auto"/>
              <w:bottom w:val="single" w:sz="4" w:space="0" w:color="auto"/>
            </w:tcBorders>
          </w:tcPr>
          <w:p w:rsidR="000B7EC6" w:rsidRPr="00D6538E" w:rsidRDefault="000B7EC6" w:rsidP="000A286C">
            <w:pPr>
              <w:spacing w:before="120" w:after="120"/>
            </w:pPr>
          </w:p>
        </w:tc>
      </w:tr>
      <w:tr w:rsidR="000B7EC6" w:rsidRPr="00D6538E" w:rsidTr="000A286C">
        <w:tc>
          <w:tcPr>
            <w:tcW w:w="8150" w:type="dxa"/>
            <w:gridSpan w:val="2"/>
            <w:tcBorders>
              <w:top w:val="nil"/>
              <w:bottom w:val="single" w:sz="4" w:space="0" w:color="auto"/>
            </w:tcBorders>
          </w:tcPr>
          <w:p w:rsidR="000B7EC6" w:rsidRPr="00D6538E" w:rsidRDefault="000B7EC6" w:rsidP="000A286C">
            <w:pPr>
              <w:spacing w:before="120" w:after="120"/>
            </w:pPr>
          </w:p>
        </w:tc>
      </w:tr>
    </w:tbl>
    <w:p w:rsidR="000B7EC6" w:rsidRDefault="000B7EC6" w:rsidP="000B7EC6">
      <w:pPr>
        <w:pStyle w:val="GPSSchAnnexname"/>
      </w:pPr>
      <w:bookmarkStart w:id="1021" w:name="_Toc378672462"/>
    </w:p>
    <w:p w:rsidR="000B7EC6" w:rsidRDefault="000B7EC6" w:rsidP="000B7EC6">
      <w:pPr>
        <w:overflowPunct/>
        <w:autoSpaceDE/>
        <w:autoSpaceDN/>
        <w:adjustRightInd/>
        <w:spacing w:after="200" w:line="276" w:lineRule="auto"/>
        <w:jc w:val="left"/>
        <w:textAlignment w:val="auto"/>
        <w:rPr>
          <w:rFonts w:ascii="Arial Bold" w:eastAsia="STZhongsong" w:hAnsi="Arial Bold" w:cs="Times New Roman"/>
          <w:b/>
          <w:caps/>
          <w:lang w:eastAsia="zh-CN"/>
        </w:rPr>
      </w:pPr>
      <w:r>
        <w:br w:type="page"/>
      </w:r>
    </w:p>
    <w:p w:rsidR="000B7EC6" w:rsidRPr="00D6538E" w:rsidRDefault="000B7EC6" w:rsidP="000B7EC6">
      <w:pPr>
        <w:pStyle w:val="GPSSchAnnexname"/>
      </w:pPr>
      <w:bookmarkStart w:id="1022" w:name="_Toc379488119"/>
      <w:bookmarkStart w:id="1023" w:name="_Toc380052221"/>
      <w:bookmarkStart w:id="1024" w:name="_Toc380052732"/>
      <w:bookmarkStart w:id="1025" w:name="_Toc391545418"/>
      <w:r w:rsidRPr="00D6538E">
        <w:lastRenderedPageBreak/>
        <w:t xml:space="preserve">Annex 1: </w:t>
      </w:r>
      <w:r w:rsidR="002351D3">
        <w:t xml:space="preserve">NEW </w:t>
      </w:r>
      <w:r w:rsidRPr="00D6538E">
        <w:t>SERVICE PACKAGE TEMPLATE</w:t>
      </w:r>
      <w:bookmarkEnd w:id="1021"/>
      <w:bookmarkEnd w:id="1022"/>
      <w:bookmarkEnd w:id="1023"/>
      <w:bookmarkEnd w:id="1024"/>
      <w:bookmarkEnd w:id="1025"/>
    </w:p>
    <w:p w:rsidR="000B7EC6" w:rsidRPr="00D6538E" w:rsidRDefault="000B7EC6" w:rsidP="000B7EC6">
      <w:pPr>
        <w:pStyle w:val="GPSL2Numbered"/>
        <w:numPr>
          <w:ilvl w:val="0"/>
          <w:numId w:val="0"/>
        </w:numPr>
        <w:tabs>
          <w:tab w:val="clear" w:pos="1418"/>
        </w:tabs>
      </w:pPr>
      <w:r w:rsidRPr="00D6538E">
        <w:rPr>
          <w:b/>
        </w:rPr>
        <w:t>Service Description</w:t>
      </w:r>
      <w:r w:rsidRPr="00D6538E">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B7EC6" w:rsidRPr="00D6538E" w:rsidTr="000A286C">
        <w:tc>
          <w:tcPr>
            <w:tcW w:w="9214" w:type="dxa"/>
          </w:tcPr>
          <w:p w:rsidR="000B7EC6" w:rsidRPr="00D6538E" w:rsidRDefault="000B7EC6" w:rsidP="000A286C">
            <w:pPr>
              <w:pStyle w:val="GPSL2Numbered"/>
              <w:numPr>
                <w:ilvl w:val="0"/>
                <w:numId w:val="0"/>
              </w:numPr>
              <w:rPr>
                <w:highlight w:val="cyan"/>
              </w:rPr>
            </w:pPr>
          </w:p>
          <w:p w:rsidR="000B7EC6" w:rsidRPr="00D6538E" w:rsidRDefault="000B7EC6" w:rsidP="000A286C">
            <w:pPr>
              <w:pStyle w:val="GPSL2Numbered"/>
              <w:numPr>
                <w:ilvl w:val="0"/>
                <w:numId w:val="0"/>
              </w:numPr>
              <w:rPr>
                <w:highlight w:val="cyan"/>
              </w:rPr>
            </w:pPr>
          </w:p>
          <w:p w:rsidR="000B7EC6" w:rsidRPr="00D6538E" w:rsidRDefault="000B7EC6" w:rsidP="000A286C">
            <w:pPr>
              <w:pStyle w:val="GPSL2Numbered"/>
              <w:numPr>
                <w:ilvl w:val="0"/>
                <w:numId w:val="0"/>
              </w:numPr>
            </w:pPr>
          </w:p>
          <w:p w:rsidR="000B7EC6" w:rsidRPr="00D6538E" w:rsidRDefault="000B7EC6" w:rsidP="00E20EE5">
            <w:pPr>
              <w:pStyle w:val="GPSL2NumberedBoldHeading"/>
              <w:numPr>
                <w:ilvl w:val="0"/>
                <w:numId w:val="0"/>
              </w:numPr>
              <w:ind w:left="34"/>
            </w:pPr>
            <w:r w:rsidRPr="00D6538E">
              <w:t>[</w:t>
            </w:r>
            <w:r w:rsidRPr="000B7EC6">
              <w:rPr>
                <w:highlight w:val="green"/>
              </w:rPr>
              <w:t>Guidance Note: This section is a description of each of the components (core, common and supplementary) being offered by the Supplier as part of the Service Package.  Suppliers may refer to the Framework level Service Descriptions as may be required.]</w:t>
            </w:r>
          </w:p>
          <w:p w:rsidR="000B7EC6" w:rsidRPr="00D6538E" w:rsidRDefault="000B7EC6" w:rsidP="000A286C">
            <w:pPr>
              <w:pStyle w:val="GPSL2Numbered"/>
              <w:numPr>
                <w:ilvl w:val="0"/>
                <w:numId w:val="0"/>
              </w:numPr>
              <w:rPr>
                <w:highlight w:val="cyan"/>
              </w:rPr>
            </w:pPr>
          </w:p>
        </w:tc>
      </w:tr>
    </w:tbl>
    <w:p w:rsidR="000B7EC6" w:rsidRPr="00D6538E" w:rsidRDefault="000B7EC6" w:rsidP="000B7EC6">
      <w:pPr>
        <w:pStyle w:val="GPSL2Numbered"/>
        <w:numPr>
          <w:ilvl w:val="0"/>
          <w:numId w:val="0"/>
        </w:numPr>
        <w:ind w:left="1418"/>
        <w:rPr>
          <w:highlight w:val="cyan"/>
        </w:rPr>
      </w:pPr>
    </w:p>
    <w:p w:rsidR="000B7EC6" w:rsidRPr="00D6538E" w:rsidRDefault="000B7EC6" w:rsidP="000B7EC6">
      <w:pPr>
        <w:pStyle w:val="GPSL2Numbered"/>
        <w:numPr>
          <w:ilvl w:val="0"/>
          <w:numId w:val="0"/>
        </w:numPr>
        <w:tabs>
          <w:tab w:val="clear" w:pos="1418"/>
        </w:tabs>
      </w:pPr>
      <w:r w:rsidRPr="00D6538E">
        <w:rPr>
          <w:b/>
        </w:rPr>
        <w:t xml:space="preserve">Conditions on the </w:t>
      </w:r>
      <w:r w:rsidR="006E32BA">
        <w:rPr>
          <w:b/>
        </w:rPr>
        <w:t>Customer</w:t>
      </w:r>
      <w:r w:rsidRPr="00D6538E">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B7EC6" w:rsidRPr="00D6538E" w:rsidTr="000A286C">
        <w:tc>
          <w:tcPr>
            <w:tcW w:w="9214" w:type="dxa"/>
          </w:tcPr>
          <w:p w:rsidR="000B7EC6" w:rsidRPr="00D6538E" w:rsidRDefault="000B7EC6" w:rsidP="000A286C">
            <w:pPr>
              <w:pStyle w:val="GPSL2Numbered"/>
              <w:numPr>
                <w:ilvl w:val="0"/>
                <w:numId w:val="0"/>
              </w:numPr>
              <w:rPr>
                <w:highlight w:val="cyan"/>
              </w:rPr>
            </w:pPr>
          </w:p>
          <w:p w:rsidR="000B7EC6" w:rsidRPr="00D6538E" w:rsidRDefault="000B7EC6" w:rsidP="00E20EE5">
            <w:pPr>
              <w:pStyle w:val="GPSL2Numbered"/>
              <w:numPr>
                <w:ilvl w:val="0"/>
                <w:numId w:val="0"/>
              </w:numPr>
              <w:ind w:left="34"/>
            </w:pPr>
            <w:r w:rsidRPr="00D6538E">
              <w:t>[</w:t>
            </w:r>
            <w:r w:rsidRPr="00D6538E">
              <w:rPr>
                <w:b/>
                <w:highlight w:val="green"/>
              </w:rPr>
              <w:t>Guidance Note: In this section the Supplier may identify any conditions that the Contracting Body must fulfil if the order is to be a valid Order.  For example, the Contracting Body’s existing implementation must be the same as identified by the Supplier in its Service Description (e.g. Microsoft).]</w:t>
            </w:r>
          </w:p>
          <w:p w:rsidR="000B7EC6" w:rsidRPr="00D6538E" w:rsidRDefault="000B7EC6" w:rsidP="000A286C">
            <w:pPr>
              <w:pStyle w:val="GPSL2Numbered"/>
              <w:numPr>
                <w:ilvl w:val="0"/>
                <w:numId w:val="0"/>
              </w:numPr>
              <w:rPr>
                <w:highlight w:val="cyan"/>
              </w:rPr>
            </w:pPr>
          </w:p>
          <w:p w:rsidR="000B7EC6" w:rsidRPr="00D6538E" w:rsidRDefault="000B7EC6" w:rsidP="000A286C">
            <w:pPr>
              <w:pStyle w:val="GPSL2Numbered"/>
              <w:numPr>
                <w:ilvl w:val="0"/>
                <w:numId w:val="0"/>
              </w:numPr>
              <w:rPr>
                <w:highlight w:val="cyan"/>
              </w:rPr>
            </w:pPr>
          </w:p>
        </w:tc>
      </w:tr>
    </w:tbl>
    <w:p w:rsidR="000B7EC6" w:rsidRPr="00D6538E" w:rsidRDefault="000B7EC6" w:rsidP="000B7EC6">
      <w:pPr>
        <w:pStyle w:val="GPSL2Numbered"/>
        <w:numPr>
          <w:ilvl w:val="0"/>
          <w:numId w:val="0"/>
        </w:numPr>
        <w:ind w:left="1418"/>
        <w:rPr>
          <w:highlight w:val="cyan"/>
        </w:rPr>
      </w:pPr>
    </w:p>
    <w:p w:rsidR="000B7EC6" w:rsidRPr="00D6538E" w:rsidRDefault="000B7EC6" w:rsidP="000B7EC6">
      <w:pPr>
        <w:pStyle w:val="GPSL2Numbered"/>
        <w:numPr>
          <w:ilvl w:val="0"/>
          <w:numId w:val="0"/>
        </w:numPr>
        <w:tabs>
          <w:tab w:val="clear" w:pos="1418"/>
        </w:tabs>
      </w:pPr>
      <w:r w:rsidRPr="00D6538E">
        <w:rPr>
          <w:b/>
        </w:rPr>
        <w:t>Outline Implementation Plan</w:t>
      </w:r>
      <w:r w:rsidRPr="00D6538E">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B7EC6" w:rsidRPr="00D6538E" w:rsidTr="000A286C">
        <w:trPr>
          <w:trHeight w:val="85"/>
        </w:trPr>
        <w:tc>
          <w:tcPr>
            <w:tcW w:w="9214" w:type="dxa"/>
          </w:tcPr>
          <w:p w:rsidR="000B7EC6" w:rsidRPr="00D6538E" w:rsidRDefault="000B7EC6" w:rsidP="000A286C">
            <w:pPr>
              <w:pStyle w:val="GPSL2Numbered"/>
              <w:numPr>
                <w:ilvl w:val="0"/>
                <w:numId w:val="0"/>
              </w:numPr>
              <w:rPr>
                <w:highlight w:val="cyan"/>
              </w:rPr>
            </w:pPr>
          </w:p>
          <w:p w:rsidR="000B7EC6" w:rsidRPr="00D6538E" w:rsidRDefault="000B7EC6" w:rsidP="00E20EE5">
            <w:pPr>
              <w:pStyle w:val="GPSL2Numbered"/>
              <w:numPr>
                <w:ilvl w:val="0"/>
                <w:numId w:val="0"/>
              </w:numPr>
              <w:ind w:left="34"/>
              <w:rPr>
                <w:b/>
                <w:highlight w:val="green"/>
              </w:rPr>
            </w:pPr>
            <w:r w:rsidRPr="00D6538E">
              <w:t>[</w:t>
            </w:r>
            <w:r w:rsidRPr="00D6538E">
              <w:rPr>
                <w:b/>
                <w:highlight w:val="green"/>
              </w:rPr>
              <w:t xml:space="preserve">Guidance Note: In this section, the Supplier must provide an outline Implementation Plan.  For example, the Supplier may identify that </w:t>
            </w:r>
            <w:proofErr w:type="spellStart"/>
            <w:r w:rsidRPr="00D6538E">
              <w:rPr>
                <w:b/>
                <w:highlight w:val="green"/>
              </w:rPr>
              <w:t>onboarding</w:t>
            </w:r>
            <w:proofErr w:type="spellEnd"/>
            <w:r w:rsidRPr="00D6538E">
              <w:rPr>
                <w:b/>
                <w:highlight w:val="green"/>
              </w:rPr>
              <w:t xml:space="preserve"> activity cannot commence any earlier than 45 days after the Order is placed.  </w:t>
            </w:r>
          </w:p>
          <w:p w:rsidR="000B7EC6" w:rsidRPr="00D6538E" w:rsidRDefault="000B7EC6" w:rsidP="000A286C">
            <w:pPr>
              <w:pStyle w:val="GPSL2Numbered"/>
              <w:numPr>
                <w:ilvl w:val="0"/>
                <w:numId w:val="0"/>
              </w:numPr>
            </w:pPr>
            <w:r w:rsidRPr="00D6538E">
              <w:rPr>
                <w:b/>
                <w:highlight w:val="green"/>
              </w:rPr>
              <w:t>To note, the outline Implementation Plan will be updated to become the draft Implementation Plan once the Order Form has been received by the Supplier (as described in Clause 6 (Implementation Plan) of the Call Off Terms</w:t>
            </w:r>
            <w:r w:rsidRPr="00D6538E">
              <w:t>].</w:t>
            </w:r>
          </w:p>
          <w:p w:rsidR="000B7EC6" w:rsidRPr="00D6538E" w:rsidRDefault="000B7EC6" w:rsidP="000A286C">
            <w:pPr>
              <w:pStyle w:val="GPSL2Numbered"/>
              <w:numPr>
                <w:ilvl w:val="0"/>
                <w:numId w:val="0"/>
              </w:numPr>
              <w:rPr>
                <w:highlight w:val="cyan"/>
              </w:rPr>
            </w:pPr>
          </w:p>
          <w:p w:rsidR="000B7EC6" w:rsidRPr="00D6538E" w:rsidRDefault="000B7EC6" w:rsidP="000A286C">
            <w:pPr>
              <w:pStyle w:val="GPSL2Numbered"/>
              <w:numPr>
                <w:ilvl w:val="0"/>
                <w:numId w:val="0"/>
              </w:numPr>
              <w:rPr>
                <w:highlight w:val="cyan"/>
              </w:rPr>
            </w:pPr>
          </w:p>
        </w:tc>
      </w:tr>
    </w:tbl>
    <w:p w:rsidR="000B7EC6" w:rsidRPr="00D6538E" w:rsidRDefault="000B7EC6" w:rsidP="000B7EC6">
      <w:pPr>
        <w:pStyle w:val="GPSL2Numbered"/>
        <w:numPr>
          <w:ilvl w:val="0"/>
          <w:numId w:val="0"/>
        </w:numPr>
        <w:rPr>
          <w:highlight w:val="cyan"/>
        </w:rPr>
      </w:pPr>
    </w:p>
    <w:p w:rsidR="000B7EC6" w:rsidRPr="00D6538E" w:rsidRDefault="000B7EC6" w:rsidP="000B7EC6">
      <w:pPr>
        <w:spacing w:after="0"/>
      </w:pPr>
      <w:r w:rsidRPr="00D6538E">
        <w:rPr>
          <w:b/>
        </w:rPr>
        <w:t>Price Card:</w:t>
      </w:r>
    </w:p>
    <w:p w:rsidR="000B7EC6" w:rsidRPr="00D6538E" w:rsidRDefault="000B7EC6" w:rsidP="000B7EC6">
      <w:pPr>
        <w:spacing w:after="0"/>
      </w:pPr>
    </w:p>
    <w:p w:rsidR="000B7EC6" w:rsidRPr="00D6538E" w:rsidRDefault="000B7EC6" w:rsidP="000B7EC6">
      <w:r w:rsidRPr="00D6538E">
        <w:t xml:space="preserve">The Price Card defines the price for services. An example is given below but this can be tailored by suppliers. </w:t>
      </w:r>
    </w:p>
    <w:p w:rsidR="000B7EC6" w:rsidRPr="00D6538E" w:rsidRDefault="000B7EC6" w:rsidP="000B7EC6">
      <w:pPr>
        <w:spacing w:after="0"/>
        <w:rPr>
          <w:i/>
        </w:rPr>
      </w:pPr>
      <w:r w:rsidRPr="00D6538E">
        <w:rPr>
          <w:i/>
        </w:rPr>
        <w:t>Guidance:</w:t>
      </w:r>
    </w:p>
    <w:p w:rsidR="000B7EC6" w:rsidRPr="00D6538E" w:rsidRDefault="000B7EC6" w:rsidP="000B7EC6">
      <w:pPr>
        <w:spacing w:after="0"/>
      </w:pPr>
    </w:p>
    <w:p w:rsidR="000B7EC6" w:rsidRPr="00D6538E" w:rsidRDefault="000B7EC6" w:rsidP="000B7EC6">
      <w:pPr>
        <w:spacing w:after="0"/>
      </w:pPr>
      <w:r w:rsidRPr="00D6538E">
        <w:lastRenderedPageBreak/>
        <w:t>Note that if a separately itemised element in the table below is included by a Supplier as an intrinsic part of their secure email offer (e.g. directory or mobile device management) it should be highlighted as such in their Service Package Service Description (above) and should not be priced separately in the table below.</w:t>
      </w:r>
    </w:p>
    <w:p w:rsidR="000B7EC6" w:rsidRPr="00D6538E" w:rsidRDefault="000B7EC6" w:rsidP="000B7EC6">
      <w:pPr>
        <w:spacing w:after="0"/>
      </w:pPr>
    </w:p>
    <w:p w:rsidR="000B7EC6" w:rsidRPr="00D6538E" w:rsidRDefault="000B7EC6" w:rsidP="000B7EC6">
      <w:pPr>
        <w:spacing w:after="0"/>
      </w:pPr>
      <w:r w:rsidRPr="00D6538E">
        <w:t>“Licences” means any licence where the cost of which is over 5% of the total cost.</w:t>
      </w:r>
    </w:p>
    <w:p w:rsidR="000B7EC6" w:rsidRPr="00D6538E" w:rsidRDefault="000B7EC6" w:rsidP="000B7EC6">
      <w:pPr>
        <w:spacing w:after="0"/>
      </w:pPr>
    </w:p>
    <w:p w:rsidR="000B7EC6" w:rsidRPr="00D6538E" w:rsidRDefault="000B7EC6" w:rsidP="000B7EC6">
      <w:pPr>
        <w:spacing w:after="0"/>
      </w:pPr>
      <w:r w:rsidRPr="00D6538E">
        <w:t>All prices per user per month unless otherwise stated and all prices must include the Management Charge.</w:t>
      </w:r>
    </w:p>
    <w:p w:rsidR="000B7EC6" w:rsidRPr="00D6538E" w:rsidRDefault="000B7EC6" w:rsidP="000B7EC6">
      <w:pPr>
        <w:spacing w:after="0"/>
      </w:pPr>
    </w:p>
    <w:p w:rsidR="000B7EC6" w:rsidRDefault="000B7EC6" w:rsidP="000B7EC6">
      <w:pPr>
        <w:spacing w:after="0"/>
      </w:pPr>
      <w:r w:rsidRPr="00D6538E">
        <w:t>All prices must assume the Basic Service Level; and the Supplier shall provide percentage uplifts for Standard and Enhanced Service levels in the relevant section below.</w:t>
      </w:r>
    </w:p>
    <w:p w:rsidR="000B7EC6" w:rsidRDefault="000B7EC6" w:rsidP="000B7EC6">
      <w:pPr>
        <w:spacing w:after="0"/>
      </w:pPr>
    </w:p>
    <w:tbl>
      <w:tblPr>
        <w:tblW w:w="9088" w:type="dxa"/>
        <w:tblInd w:w="92" w:type="dxa"/>
        <w:tblLook w:val="04A0" w:firstRow="1" w:lastRow="0" w:firstColumn="1" w:lastColumn="0" w:noHBand="0" w:noVBand="1"/>
      </w:tblPr>
      <w:tblGrid>
        <w:gridCol w:w="4269"/>
        <w:gridCol w:w="2410"/>
        <w:gridCol w:w="2409"/>
      </w:tblGrid>
      <w:tr w:rsidR="000B7EC6" w:rsidRPr="008E1B75" w:rsidTr="000A286C">
        <w:trPr>
          <w:trHeight w:val="315"/>
        </w:trPr>
        <w:tc>
          <w:tcPr>
            <w:tcW w:w="4269" w:type="dxa"/>
            <w:tcBorders>
              <w:top w:val="single" w:sz="8" w:space="0" w:color="000000"/>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 </w:t>
            </w:r>
          </w:p>
        </w:tc>
        <w:tc>
          <w:tcPr>
            <w:tcW w:w="2410"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WITH LICENCES</w:t>
            </w:r>
          </w:p>
        </w:tc>
        <w:tc>
          <w:tcPr>
            <w:tcW w:w="2409"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WITHOUT LICENCES</w:t>
            </w:r>
          </w:p>
        </w:tc>
      </w:tr>
      <w:tr w:rsidR="000B7EC6" w:rsidRPr="008E1B75" w:rsidTr="000A286C">
        <w:trPr>
          <w:trHeight w:val="315"/>
        </w:trPr>
        <w:tc>
          <w:tcPr>
            <w:tcW w:w="9088"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Core Components</w:t>
            </w:r>
          </w:p>
        </w:tc>
      </w:tr>
      <w:tr w:rsidR="000B7EC6" w:rsidRPr="008E1B75" w:rsidTr="000A286C">
        <w:trPr>
          <w:trHeight w:val="315"/>
        </w:trPr>
        <w:tc>
          <w:tcPr>
            <w:tcW w:w="4269" w:type="dxa"/>
            <w:tcBorders>
              <w:top w:val="single" w:sz="8" w:space="0" w:color="auto"/>
              <w:left w:val="single" w:sz="8" w:space="0" w:color="auto"/>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Secure Email (&gt;</w:t>
            </w:r>
            <w:r>
              <w:rPr>
                <w:color w:val="000000"/>
                <w:sz w:val="20"/>
                <w:szCs w:val="20"/>
                <w:lang w:eastAsia="en-GB"/>
              </w:rPr>
              <w:t xml:space="preserve">  X </w:t>
            </w:r>
            <w:r w:rsidR="00B81364">
              <w:rPr>
                <w:color w:val="000000"/>
                <w:sz w:val="20"/>
                <w:szCs w:val="20"/>
                <w:lang w:eastAsia="en-GB"/>
              </w:rPr>
              <w:t>Mailbox</w:t>
            </w:r>
            <w:r w:rsidRPr="008E1B75">
              <w:rPr>
                <w:color w:val="000000"/>
                <w:sz w:val="20"/>
                <w:szCs w:val="20"/>
                <w:lang w:eastAsia="en-GB"/>
              </w:rPr>
              <w:t>es)</w:t>
            </w:r>
          </w:p>
        </w:tc>
        <w:tc>
          <w:tcPr>
            <w:tcW w:w="2410" w:type="dxa"/>
            <w:tcBorders>
              <w:top w:val="single" w:sz="8" w:space="0" w:color="auto"/>
              <w:left w:val="nil"/>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 / </w:t>
            </w:r>
            <w:r w:rsidR="00B81364">
              <w:rPr>
                <w:color w:val="000000"/>
                <w:sz w:val="20"/>
                <w:szCs w:val="20"/>
                <w:lang w:eastAsia="en-GB"/>
              </w:rPr>
              <w:t>Mailbox</w:t>
            </w:r>
            <w:r w:rsidRPr="008E1B75">
              <w:rPr>
                <w:color w:val="000000"/>
                <w:sz w:val="20"/>
                <w:szCs w:val="20"/>
                <w:lang w:eastAsia="en-GB"/>
              </w:rPr>
              <w:t xml:space="preserve"> / month</w:t>
            </w:r>
          </w:p>
        </w:tc>
        <w:tc>
          <w:tcPr>
            <w:tcW w:w="2409" w:type="dxa"/>
            <w:tcBorders>
              <w:top w:val="single" w:sz="8" w:space="0" w:color="auto"/>
              <w:left w:val="nil"/>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 / </w:t>
            </w:r>
            <w:r w:rsidR="00B81364">
              <w:rPr>
                <w:color w:val="000000"/>
                <w:sz w:val="20"/>
                <w:szCs w:val="20"/>
                <w:lang w:eastAsia="en-GB"/>
              </w:rPr>
              <w:t>Mailbox</w:t>
            </w:r>
            <w:r w:rsidRPr="008E1B75">
              <w:rPr>
                <w:color w:val="000000"/>
                <w:sz w:val="20"/>
                <w:szCs w:val="20"/>
                <w:lang w:eastAsia="en-GB"/>
              </w:rPr>
              <w:t xml:space="preserve"> / month</w:t>
            </w:r>
          </w:p>
        </w:tc>
      </w:tr>
      <w:tr w:rsidR="000B7EC6" w:rsidRPr="008E1B75" w:rsidTr="000A286C">
        <w:trPr>
          <w:trHeight w:val="300"/>
        </w:trPr>
        <w:tc>
          <w:tcPr>
            <w:tcW w:w="4269" w:type="dxa"/>
            <w:tcBorders>
              <w:top w:val="nil"/>
              <w:left w:val="single" w:sz="8" w:space="0" w:color="auto"/>
              <w:bottom w:val="nil"/>
              <w:right w:val="nil"/>
            </w:tcBorders>
            <w:shd w:val="clear" w:color="auto" w:fill="auto"/>
            <w:hideMark/>
          </w:tcPr>
          <w:p w:rsidR="000B7EC6" w:rsidRPr="008E1B75" w:rsidRDefault="000B7EC6" w:rsidP="000A286C">
            <w:pPr>
              <w:overflowPunct/>
              <w:autoSpaceDE/>
              <w:autoSpaceDN/>
              <w:adjustRightInd/>
              <w:spacing w:after="0"/>
              <w:ind w:firstLineChars="500" w:firstLine="1000"/>
              <w:jc w:val="left"/>
              <w:textAlignment w:val="auto"/>
              <w:rPr>
                <w:rFonts w:ascii="Symbol" w:hAnsi="Symbol" w:cs="Times New Roman"/>
                <w:color w:val="000000"/>
                <w:sz w:val="20"/>
                <w:szCs w:val="20"/>
                <w:lang w:eastAsia="en-GB"/>
              </w:rPr>
            </w:pPr>
            <w:r w:rsidRPr="008E1B75">
              <w:rPr>
                <w:rFonts w:ascii="Symbol" w:hAnsi="Symbol" w:cs="Times New Roman"/>
                <w:color w:val="000000"/>
                <w:sz w:val="20"/>
                <w:szCs w:val="20"/>
                <w:lang w:eastAsia="en-GB"/>
              </w:rPr>
              <w:t></w:t>
            </w:r>
            <w:r w:rsidRPr="008E1B75">
              <w:rPr>
                <w:rFonts w:ascii="Times New Roman" w:hAnsi="Times New Roman" w:cs="Times New Roman"/>
                <w:color w:val="000000"/>
                <w:sz w:val="14"/>
                <w:szCs w:val="14"/>
                <w:lang w:eastAsia="en-GB"/>
              </w:rPr>
              <w:t xml:space="preserve">         </w:t>
            </w:r>
            <w:r w:rsidRPr="008E1B75">
              <w:rPr>
                <w:color w:val="000000"/>
                <w:sz w:val="20"/>
                <w:szCs w:val="20"/>
                <w:lang w:eastAsia="en-GB"/>
              </w:rPr>
              <w:t>Thick client/mobile user</w:t>
            </w:r>
          </w:p>
        </w:tc>
        <w:tc>
          <w:tcPr>
            <w:tcW w:w="2410" w:type="dxa"/>
            <w:tcBorders>
              <w:top w:val="single" w:sz="8" w:space="0" w:color="auto"/>
              <w:left w:val="single" w:sz="8" w:space="0" w:color="auto"/>
              <w:bottom w:val="single" w:sz="4" w:space="0" w:color="auto"/>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single" w:sz="8" w:space="0" w:color="auto"/>
              <w:left w:val="single" w:sz="8" w:space="0" w:color="auto"/>
              <w:bottom w:val="single" w:sz="4"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00"/>
        </w:trPr>
        <w:tc>
          <w:tcPr>
            <w:tcW w:w="4269" w:type="dxa"/>
            <w:tcBorders>
              <w:top w:val="nil"/>
              <w:left w:val="single" w:sz="8" w:space="0" w:color="auto"/>
              <w:bottom w:val="nil"/>
              <w:right w:val="nil"/>
            </w:tcBorders>
            <w:shd w:val="clear" w:color="auto" w:fill="auto"/>
            <w:hideMark/>
          </w:tcPr>
          <w:p w:rsidR="000B7EC6" w:rsidRPr="008E1B75" w:rsidRDefault="000B7EC6" w:rsidP="000A286C">
            <w:pPr>
              <w:overflowPunct/>
              <w:autoSpaceDE/>
              <w:autoSpaceDN/>
              <w:adjustRightInd/>
              <w:spacing w:after="0"/>
              <w:ind w:firstLineChars="500" w:firstLine="1000"/>
              <w:jc w:val="left"/>
              <w:textAlignment w:val="auto"/>
              <w:rPr>
                <w:rFonts w:ascii="Symbol" w:hAnsi="Symbol" w:cs="Times New Roman"/>
                <w:color w:val="000000"/>
                <w:sz w:val="20"/>
                <w:szCs w:val="20"/>
                <w:lang w:eastAsia="en-GB"/>
              </w:rPr>
            </w:pPr>
            <w:r w:rsidRPr="008E1B75">
              <w:rPr>
                <w:rFonts w:ascii="Symbol" w:hAnsi="Symbol" w:cs="Times New Roman"/>
                <w:color w:val="000000"/>
                <w:sz w:val="20"/>
                <w:szCs w:val="20"/>
                <w:lang w:eastAsia="en-GB"/>
              </w:rPr>
              <w:t></w:t>
            </w:r>
            <w:r w:rsidRPr="008E1B75">
              <w:rPr>
                <w:rFonts w:ascii="Times New Roman" w:hAnsi="Times New Roman" w:cs="Times New Roman"/>
                <w:color w:val="000000"/>
                <w:sz w:val="14"/>
                <w:szCs w:val="14"/>
                <w:lang w:eastAsia="en-GB"/>
              </w:rPr>
              <w:t xml:space="preserve">         </w:t>
            </w:r>
            <w:r w:rsidRPr="008E1B75">
              <w:rPr>
                <w:color w:val="000000"/>
                <w:sz w:val="20"/>
                <w:szCs w:val="20"/>
                <w:lang w:eastAsia="en-GB"/>
              </w:rPr>
              <w:t>Web user</w:t>
            </w:r>
          </w:p>
        </w:tc>
        <w:tc>
          <w:tcPr>
            <w:tcW w:w="2410" w:type="dxa"/>
            <w:tcBorders>
              <w:top w:val="nil"/>
              <w:left w:val="single" w:sz="8" w:space="0" w:color="auto"/>
              <w:bottom w:val="single" w:sz="4" w:space="0" w:color="auto"/>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single" w:sz="8" w:space="0" w:color="auto"/>
              <w:bottom w:val="single" w:sz="4"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00"/>
        </w:trPr>
        <w:tc>
          <w:tcPr>
            <w:tcW w:w="4269" w:type="dxa"/>
            <w:tcBorders>
              <w:top w:val="nil"/>
              <w:left w:val="single" w:sz="8" w:space="0" w:color="auto"/>
              <w:bottom w:val="nil"/>
              <w:right w:val="nil"/>
            </w:tcBorders>
            <w:shd w:val="clear" w:color="auto" w:fill="auto"/>
            <w:hideMark/>
          </w:tcPr>
          <w:p w:rsidR="000B7EC6" w:rsidRPr="008E1B75" w:rsidRDefault="000B7EC6" w:rsidP="000A286C">
            <w:pPr>
              <w:overflowPunct/>
              <w:autoSpaceDE/>
              <w:autoSpaceDN/>
              <w:adjustRightInd/>
              <w:spacing w:after="0"/>
              <w:ind w:firstLineChars="500" w:firstLine="1000"/>
              <w:jc w:val="left"/>
              <w:textAlignment w:val="auto"/>
              <w:rPr>
                <w:rFonts w:ascii="Symbol" w:hAnsi="Symbol" w:cs="Times New Roman"/>
                <w:color w:val="000000"/>
                <w:sz w:val="20"/>
                <w:szCs w:val="20"/>
                <w:lang w:eastAsia="en-GB"/>
              </w:rPr>
            </w:pPr>
            <w:r w:rsidRPr="008E1B75">
              <w:rPr>
                <w:rFonts w:ascii="Symbol" w:hAnsi="Symbol" w:cs="Times New Roman"/>
                <w:color w:val="000000"/>
                <w:sz w:val="20"/>
                <w:szCs w:val="20"/>
                <w:lang w:eastAsia="en-GB"/>
              </w:rPr>
              <w:t></w:t>
            </w:r>
            <w:r w:rsidRPr="008E1B75">
              <w:rPr>
                <w:rFonts w:ascii="Times New Roman" w:hAnsi="Times New Roman" w:cs="Times New Roman"/>
                <w:color w:val="000000"/>
                <w:sz w:val="14"/>
                <w:szCs w:val="14"/>
                <w:lang w:eastAsia="en-GB"/>
              </w:rPr>
              <w:t xml:space="preserve">         </w:t>
            </w:r>
            <w:r w:rsidRPr="008E1B75">
              <w:rPr>
                <w:color w:val="000000"/>
                <w:sz w:val="20"/>
                <w:szCs w:val="20"/>
                <w:lang w:eastAsia="en-GB"/>
              </w:rPr>
              <w:t>IT application</w:t>
            </w:r>
          </w:p>
        </w:tc>
        <w:tc>
          <w:tcPr>
            <w:tcW w:w="2410" w:type="dxa"/>
            <w:tcBorders>
              <w:top w:val="nil"/>
              <w:left w:val="single" w:sz="8" w:space="0" w:color="auto"/>
              <w:bottom w:val="single" w:sz="4" w:space="0" w:color="auto"/>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single" w:sz="8" w:space="0" w:color="auto"/>
              <w:bottom w:val="single" w:sz="4"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00"/>
        </w:trPr>
        <w:tc>
          <w:tcPr>
            <w:tcW w:w="4269" w:type="dxa"/>
            <w:tcBorders>
              <w:top w:val="nil"/>
              <w:left w:val="single" w:sz="8" w:space="0" w:color="auto"/>
              <w:bottom w:val="nil"/>
              <w:right w:val="nil"/>
            </w:tcBorders>
            <w:shd w:val="clear" w:color="auto" w:fill="auto"/>
            <w:hideMark/>
          </w:tcPr>
          <w:p w:rsidR="000B7EC6" w:rsidRPr="008E1B75" w:rsidRDefault="000B7EC6" w:rsidP="000A286C">
            <w:pPr>
              <w:overflowPunct/>
              <w:autoSpaceDE/>
              <w:autoSpaceDN/>
              <w:adjustRightInd/>
              <w:spacing w:after="0"/>
              <w:ind w:firstLineChars="500" w:firstLine="1000"/>
              <w:jc w:val="left"/>
              <w:textAlignment w:val="auto"/>
              <w:rPr>
                <w:rFonts w:ascii="Symbol" w:hAnsi="Symbol" w:cs="Times New Roman"/>
                <w:color w:val="000000"/>
                <w:sz w:val="20"/>
                <w:szCs w:val="20"/>
                <w:lang w:eastAsia="en-GB"/>
              </w:rPr>
            </w:pPr>
            <w:r w:rsidRPr="008E1B75">
              <w:rPr>
                <w:rFonts w:ascii="Symbol" w:hAnsi="Symbol" w:cs="Times New Roman"/>
                <w:color w:val="000000"/>
                <w:sz w:val="20"/>
                <w:szCs w:val="20"/>
                <w:lang w:eastAsia="en-GB"/>
              </w:rPr>
              <w:t></w:t>
            </w:r>
            <w:r w:rsidRPr="008E1B75">
              <w:rPr>
                <w:rFonts w:ascii="Times New Roman" w:hAnsi="Times New Roman" w:cs="Times New Roman"/>
                <w:color w:val="000000"/>
                <w:sz w:val="14"/>
                <w:szCs w:val="14"/>
                <w:lang w:eastAsia="en-GB"/>
              </w:rPr>
              <w:t xml:space="preserve">         </w:t>
            </w:r>
            <w:r w:rsidRPr="008E1B75">
              <w:rPr>
                <w:color w:val="000000"/>
                <w:sz w:val="20"/>
                <w:szCs w:val="20"/>
                <w:lang w:eastAsia="en-GB"/>
              </w:rPr>
              <w:t>Inactive account</w:t>
            </w:r>
          </w:p>
        </w:tc>
        <w:tc>
          <w:tcPr>
            <w:tcW w:w="2410" w:type="dxa"/>
            <w:tcBorders>
              <w:top w:val="nil"/>
              <w:left w:val="single" w:sz="8" w:space="0" w:color="auto"/>
              <w:bottom w:val="single" w:sz="4" w:space="0" w:color="auto"/>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single" w:sz="8" w:space="0" w:color="auto"/>
              <w:bottom w:val="single" w:sz="4"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4269" w:type="dxa"/>
            <w:tcBorders>
              <w:top w:val="nil"/>
              <w:left w:val="single" w:sz="8" w:space="0" w:color="auto"/>
              <w:bottom w:val="nil"/>
              <w:right w:val="nil"/>
            </w:tcBorders>
            <w:shd w:val="clear" w:color="auto" w:fill="auto"/>
            <w:hideMark/>
          </w:tcPr>
          <w:p w:rsidR="000B7EC6" w:rsidRPr="008E1B75" w:rsidRDefault="000B7EC6" w:rsidP="000A286C">
            <w:pPr>
              <w:overflowPunct/>
              <w:autoSpaceDE/>
              <w:autoSpaceDN/>
              <w:adjustRightInd/>
              <w:spacing w:after="0"/>
              <w:ind w:firstLineChars="500" w:firstLine="1000"/>
              <w:jc w:val="left"/>
              <w:textAlignment w:val="auto"/>
              <w:rPr>
                <w:rFonts w:ascii="Symbol" w:hAnsi="Symbol" w:cs="Times New Roman"/>
                <w:color w:val="000000"/>
                <w:sz w:val="20"/>
                <w:szCs w:val="20"/>
                <w:lang w:eastAsia="en-GB"/>
              </w:rPr>
            </w:pPr>
            <w:r w:rsidRPr="008E1B75">
              <w:rPr>
                <w:rFonts w:ascii="Symbol" w:hAnsi="Symbol" w:cs="Times New Roman"/>
                <w:color w:val="000000"/>
                <w:sz w:val="20"/>
                <w:szCs w:val="20"/>
                <w:lang w:eastAsia="en-GB"/>
              </w:rPr>
              <w:t></w:t>
            </w:r>
            <w:r w:rsidRPr="008E1B75">
              <w:rPr>
                <w:rFonts w:ascii="Times New Roman" w:hAnsi="Times New Roman" w:cs="Times New Roman"/>
                <w:color w:val="000000"/>
                <w:sz w:val="14"/>
                <w:szCs w:val="14"/>
                <w:lang w:eastAsia="en-GB"/>
              </w:rPr>
              <w:t xml:space="preserve">         </w:t>
            </w:r>
            <w:r w:rsidRPr="008E1B75">
              <w:rPr>
                <w:color w:val="000000"/>
                <w:sz w:val="20"/>
                <w:szCs w:val="20"/>
                <w:lang w:eastAsia="en-GB"/>
              </w:rPr>
              <w:t xml:space="preserve">Generic </w:t>
            </w:r>
            <w:r w:rsidR="00B81364">
              <w:rPr>
                <w:color w:val="000000"/>
                <w:sz w:val="20"/>
                <w:szCs w:val="20"/>
                <w:lang w:eastAsia="en-GB"/>
              </w:rPr>
              <w:t>Mailbox</w:t>
            </w:r>
          </w:p>
        </w:tc>
        <w:tc>
          <w:tcPr>
            <w:tcW w:w="2410" w:type="dxa"/>
            <w:tcBorders>
              <w:top w:val="nil"/>
              <w:left w:val="single" w:sz="8" w:space="0" w:color="auto"/>
              <w:bottom w:val="single" w:sz="8" w:space="0" w:color="auto"/>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525"/>
        </w:trPr>
        <w:tc>
          <w:tcPr>
            <w:tcW w:w="4269" w:type="dxa"/>
            <w:tcBorders>
              <w:top w:val="single" w:sz="8" w:space="0" w:color="auto"/>
              <w:left w:val="single" w:sz="8" w:space="0" w:color="auto"/>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Directory - Is cost included in </w:t>
            </w:r>
            <w:r w:rsidR="00B81364">
              <w:rPr>
                <w:color w:val="000000"/>
                <w:sz w:val="20"/>
                <w:szCs w:val="20"/>
                <w:lang w:eastAsia="en-GB"/>
              </w:rPr>
              <w:t>Mailbox</w:t>
            </w:r>
            <w:r w:rsidRPr="008E1B75">
              <w:rPr>
                <w:color w:val="000000"/>
                <w:sz w:val="20"/>
                <w:szCs w:val="20"/>
                <w:lang w:eastAsia="en-GB"/>
              </w:rPr>
              <w:t xml:space="preserve"> price above.</w:t>
            </w:r>
            <w:r w:rsidRPr="008E1B75">
              <w:rPr>
                <w:color w:val="000000"/>
                <w:sz w:val="20"/>
                <w:szCs w:val="20"/>
                <w:lang w:eastAsia="en-GB"/>
              </w:rPr>
              <w:br/>
              <w:t xml:space="preserve">Insert "Yes" or "No" only. </w:t>
            </w:r>
          </w:p>
        </w:tc>
        <w:tc>
          <w:tcPr>
            <w:tcW w:w="2410"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720"/>
        </w:trPr>
        <w:tc>
          <w:tcPr>
            <w:tcW w:w="4269" w:type="dxa"/>
            <w:tcBorders>
              <w:top w:val="nil"/>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br/>
              <w:t xml:space="preserve">If No provide additional cost per user per </w:t>
            </w:r>
            <w:r w:rsidR="00B81364">
              <w:rPr>
                <w:color w:val="000000"/>
                <w:sz w:val="20"/>
                <w:szCs w:val="20"/>
                <w:lang w:eastAsia="en-GB"/>
              </w:rPr>
              <w:t>Mailbox</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780"/>
        </w:trPr>
        <w:tc>
          <w:tcPr>
            <w:tcW w:w="4269" w:type="dxa"/>
            <w:tcBorders>
              <w:top w:val="nil"/>
              <w:left w:val="single" w:sz="8" w:space="0" w:color="auto"/>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Mobile Device Management - Is cost included in </w:t>
            </w:r>
            <w:r w:rsidR="00B81364">
              <w:rPr>
                <w:color w:val="000000"/>
                <w:sz w:val="20"/>
                <w:szCs w:val="20"/>
                <w:lang w:eastAsia="en-GB"/>
              </w:rPr>
              <w:t>Mailbox</w:t>
            </w:r>
            <w:r w:rsidRPr="008E1B75">
              <w:rPr>
                <w:color w:val="000000"/>
                <w:sz w:val="20"/>
                <w:szCs w:val="20"/>
                <w:lang w:eastAsia="en-GB"/>
              </w:rPr>
              <w:t xml:space="preserve"> price.</w:t>
            </w:r>
            <w:r w:rsidRPr="008E1B75">
              <w:rPr>
                <w:color w:val="000000"/>
                <w:sz w:val="20"/>
                <w:szCs w:val="20"/>
                <w:lang w:eastAsia="en-GB"/>
              </w:rPr>
              <w:br/>
              <w:t xml:space="preserve">Insert "Yes" or "No" only.  </w:t>
            </w:r>
          </w:p>
        </w:tc>
        <w:tc>
          <w:tcPr>
            <w:tcW w:w="2410"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525"/>
        </w:trPr>
        <w:tc>
          <w:tcPr>
            <w:tcW w:w="4269" w:type="dxa"/>
            <w:tcBorders>
              <w:top w:val="nil"/>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br/>
              <w:t xml:space="preserve">If No provide additional cost per user per </w:t>
            </w:r>
            <w:r w:rsidR="00B81364">
              <w:rPr>
                <w:color w:val="000000"/>
                <w:sz w:val="20"/>
                <w:szCs w:val="20"/>
                <w:lang w:eastAsia="en-GB"/>
              </w:rPr>
              <w:t>Mailbox</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780"/>
        </w:trPr>
        <w:tc>
          <w:tcPr>
            <w:tcW w:w="4269" w:type="dxa"/>
            <w:tcBorders>
              <w:top w:val="nil"/>
              <w:left w:val="single" w:sz="8" w:space="0" w:color="auto"/>
              <w:bottom w:val="nil"/>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Secure Email Gateway - Is cost included in </w:t>
            </w:r>
            <w:r w:rsidR="00B81364">
              <w:rPr>
                <w:color w:val="000000"/>
                <w:sz w:val="20"/>
                <w:szCs w:val="20"/>
                <w:lang w:eastAsia="en-GB"/>
              </w:rPr>
              <w:t>Mailbox</w:t>
            </w:r>
            <w:r w:rsidRPr="008E1B75">
              <w:rPr>
                <w:color w:val="000000"/>
                <w:sz w:val="20"/>
                <w:szCs w:val="20"/>
                <w:lang w:eastAsia="en-GB"/>
              </w:rPr>
              <w:t xml:space="preserve"> price above.</w:t>
            </w:r>
            <w:r w:rsidRPr="008E1B75">
              <w:rPr>
                <w:color w:val="000000"/>
                <w:sz w:val="20"/>
                <w:szCs w:val="20"/>
                <w:lang w:eastAsia="en-GB"/>
              </w:rPr>
              <w:br/>
              <w:t>Insert "Yes" or "No" only.</w:t>
            </w:r>
          </w:p>
        </w:tc>
        <w:tc>
          <w:tcPr>
            <w:tcW w:w="2410"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center"/>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525"/>
        </w:trPr>
        <w:tc>
          <w:tcPr>
            <w:tcW w:w="4269" w:type="dxa"/>
            <w:tcBorders>
              <w:top w:val="nil"/>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 </w:t>
            </w:r>
            <w:r w:rsidRPr="008E1B75">
              <w:rPr>
                <w:color w:val="000000"/>
                <w:sz w:val="20"/>
                <w:szCs w:val="20"/>
                <w:lang w:eastAsia="en-GB"/>
              </w:rPr>
              <w:br/>
              <w:t xml:space="preserve">If No provide cost per user per </w:t>
            </w:r>
            <w:r w:rsidR="00B81364">
              <w:rPr>
                <w:color w:val="000000"/>
                <w:sz w:val="20"/>
                <w:szCs w:val="20"/>
                <w:lang w:eastAsia="en-GB"/>
              </w:rPr>
              <w:t>Mailbox</w:t>
            </w:r>
            <w:r w:rsidRPr="008E1B75">
              <w:rPr>
                <w:color w:val="000000"/>
                <w:sz w:val="20"/>
                <w:szCs w:val="20"/>
                <w:lang w:eastAsia="en-GB"/>
              </w:rPr>
              <w:t>.</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780"/>
        </w:trPr>
        <w:tc>
          <w:tcPr>
            <w:tcW w:w="4269" w:type="dxa"/>
            <w:tcBorders>
              <w:top w:val="nil"/>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What is the Standard </w:t>
            </w:r>
            <w:r w:rsidR="00B81364">
              <w:rPr>
                <w:color w:val="000000"/>
                <w:sz w:val="20"/>
                <w:szCs w:val="20"/>
                <w:lang w:eastAsia="en-GB"/>
              </w:rPr>
              <w:t>Mailbox</w:t>
            </w:r>
            <w:r w:rsidRPr="008E1B75">
              <w:rPr>
                <w:color w:val="000000"/>
                <w:sz w:val="20"/>
                <w:szCs w:val="20"/>
                <w:lang w:eastAsia="en-GB"/>
              </w:rPr>
              <w:t xml:space="preserve"> Size included in </w:t>
            </w:r>
            <w:r w:rsidR="00B81364">
              <w:rPr>
                <w:color w:val="000000"/>
                <w:sz w:val="20"/>
                <w:szCs w:val="20"/>
                <w:lang w:eastAsia="en-GB"/>
              </w:rPr>
              <w:t>Mailbox</w:t>
            </w:r>
            <w:r w:rsidRPr="008E1B75">
              <w:rPr>
                <w:color w:val="000000"/>
                <w:sz w:val="20"/>
                <w:szCs w:val="20"/>
                <w:lang w:eastAsia="en-GB"/>
              </w:rPr>
              <w:t xml:space="preserve"> price above.</w:t>
            </w:r>
            <w:r w:rsidRPr="008E1B75">
              <w:rPr>
                <w:color w:val="000000"/>
                <w:sz w:val="20"/>
                <w:szCs w:val="20"/>
                <w:lang w:eastAsia="en-GB"/>
              </w:rPr>
              <w:br/>
              <w:t>Insert size in MB's</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525"/>
        </w:trPr>
        <w:tc>
          <w:tcPr>
            <w:tcW w:w="4269"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What is the cost of Additional </w:t>
            </w:r>
            <w:r w:rsidR="00B81364">
              <w:rPr>
                <w:color w:val="000000"/>
                <w:sz w:val="20"/>
                <w:szCs w:val="20"/>
                <w:lang w:eastAsia="en-GB"/>
              </w:rPr>
              <w:t>Mailbox</w:t>
            </w:r>
            <w:r w:rsidRPr="008E1B75">
              <w:rPr>
                <w:color w:val="000000"/>
                <w:sz w:val="20"/>
                <w:szCs w:val="20"/>
                <w:lang w:eastAsia="en-GB"/>
              </w:rPr>
              <w:t xml:space="preserve"> Capacity </w:t>
            </w:r>
            <w:r w:rsidRPr="008E1B75">
              <w:rPr>
                <w:color w:val="000000"/>
                <w:sz w:val="20"/>
                <w:szCs w:val="20"/>
                <w:lang w:eastAsia="en-GB"/>
              </w:rPr>
              <w:br/>
              <w:t>Insert price in £'s per 100MB's.</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780"/>
        </w:trPr>
        <w:tc>
          <w:tcPr>
            <w:tcW w:w="4269"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What is the Standard Archive Size included in the </w:t>
            </w:r>
            <w:r w:rsidR="00B81364">
              <w:rPr>
                <w:color w:val="000000"/>
                <w:sz w:val="20"/>
                <w:szCs w:val="20"/>
                <w:lang w:eastAsia="en-GB"/>
              </w:rPr>
              <w:t>Mailbox</w:t>
            </w:r>
            <w:r w:rsidRPr="008E1B75">
              <w:rPr>
                <w:color w:val="000000"/>
                <w:sz w:val="20"/>
                <w:szCs w:val="20"/>
                <w:lang w:eastAsia="en-GB"/>
              </w:rPr>
              <w:t xml:space="preserve"> price above.</w:t>
            </w:r>
            <w:r w:rsidRPr="008E1B75">
              <w:rPr>
                <w:color w:val="000000"/>
                <w:sz w:val="20"/>
                <w:szCs w:val="20"/>
                <w:lang w:eastAsia="en-GB"/>
              </w:rPr>
              <w:br/>
              <w:t>Insert Size in MB's</w:t>
            </w:r>
          </w:p>
        </w:tc>
        <w:tc>
          <w:tcPr>
            <w:tcW w:w="2410" w:type="dxa"/>
            <w:tcBorders>
              <w:top w:val="nil"/>
              <w:left w:val="nil"/>
              <w:bottom w:val="nil"/>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525"/>
        </w:trPr>
        <w:tc>
          <w:tcPr>
            <w:tcW w:w="4269" w:type="dxa"/>
            <w:tcBorders>
              <w:top w:val="nil"/>
              <w:left w:val="single" w:sz="8" w:space="0" w:color="000000"/>
              <w:bottom w:val="single" w:sz="8" w:space="0" w:color="000000"/>
              <w:right w:val="nil"/>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What is the cost of Additional Archive Capacity.</w:t>
            </w:r>
            <w:r w:rsidRPr="008E1B75">
              <w:rPr>
                <w:color w:val="000000"/>
                <w:sz w:val="20"/>
                <w:szCs w:val="20"/>
                <w:lang w:eastAsia="en-GB"/>
              </w:rPr>
              <w:br/>
              <w:t>Insert price in £'s per 100MB's.</w:t>
            </w:r>
          </w:p>
        </w:tc>
        <w:tc>
          <w:tcPr>
            <w:tcW w:w="2410" w:type="dxa"/>
            <w:tcBorders>
              <w:top w:val="single" w:sz="8" w:space="0" w:color="auto"/>
              <w:left w:val="single" w:sz="8" w:space="0" w:color="auto"/>
              <w:bottom w:val="single" w:sz="8" w:space="0" w:color="auto"/>
              <w:right w:val="single" w:sz="8"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4269"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410"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409"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15"/>
        </w:trPr>
        <w:tc>
          <w:tcPr>
            <w:tcW w:w="908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Supplementary Components</w:t>
            </w:r>
          </w:p>
        </w:tc>
      </w:tr>
      <w:tr w:rsidR="000B7EC6" w:rsidRPr="008E1B75" w:rsidTr="000A286C">
        <w:trPr>
          <w:trHeight w:val="315"/>
        </w:trPr>
        <w:tc>
          <w:tcPr>
            <w:tcW w:w="4269"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r>
      <w:tr w:rsidR="000B7EC6" w:rsidRPr="008E1B75" w:rsidTr="000A286C">
        <w:trPr>
          <w:trHeight w:val="315"/>
        </w:trPr>
        <w:tc>
          <w:tcPr>
            <w:tcW w:w="4269"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r>
      <w:tr w:rsidR="000B7EC6" w:rsidRPr="008E1B75" w:rsidTr="000A286C">
        <w:trPr>
          <w:trHeight w:val="315"/>
        </w:trPr>
        <w:tc>
          <w:tcPr>
            <w:tcW w:w="4269"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410"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c>
          <w:tcPr>
            <w:tcW w:w="2409"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w:t>
            </w:r>
          </w:p>
        </w:tc>
      </w:tr>
    </w:tbl>
    <w:p w:rsidR="000B7EC6" w:rsidRPr="00D6538E" w:rsidRDefault="000B7EC6" w:rsidP="000B7EC6">
      <w:pPr>
        <w:spacing w:after="0"/>
      </w:pPr>
    </w:p>
    <w:p w:rsidR="000B7EC6" w:rsidRDefault="000B7EC6" w:rsidP="000B7EC6">
      <w:pPr>
        <w:spacing w:after="0"/>
      </w:pPr>
    </w:p>
    <w:tbl>
      <w:tblPr>
        <w:tblW w:w="8946" w:type="dxa"/>
        <w:tblInd w:w="92" w:type="dxa"/>
        <w:tblLook w:val="04A0" w:firstRow="1" w:lastRow="0" w:firstColumn="1" w:lastColumn="0" w:noHBand="0" w:noVBand="1"/>
      </w:tblPr>
      <w:tblGrid>
        <w:gridCol w:w="2568"/>
        <w:gridCol w:w="1843"/>
        <w:gridCol w:w="2551"/>
        <w:gridCol w:w="1984"/>
      </w:tblGrid>
      <w:tr w:rsidR="000B7EC6" w:rsidRPr="008E1B75" w:rsidTr="000A286C">
        <w:trPr>
          <w:trHeight w:val="330"/>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r w:rsidRPr="008E1B75">
              <w:rPr>
                <w:b/>
                <w:bCs/>
                <w:color w:val="000000"/>
                <w:sz w:val="24"/>
                <w:szCs w:val="24"/>
                <w:lang w:eastAsia="en-GB"/>
              </w:rPr>
              <w:t>Service Levels</w:t>
            </w: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15"/>
        </w:trPr>
        <w:tc>
          <w:tcPr>
            <w:tcW w:w="2568" w:type="dxa"/>
            <w:tcBorders>
              <w:top w:val="single" w:sz="8" w:space="0" w:color="000000"/>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Level</w:t>
            </w:r>
          </w:p>
        </w:tc>
        <w:tc>
          <w:tcPr>
            <w:tcW w:w="1843"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Basic</w:t>
            </w:r>
          </w:p>
        </w:tc>
        <w:tc>
          <w:tcPr>
            <w:tcW w:w="2551"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Standard</w:t>
            </w:r>
          </w:p>
        </w:tc>
        <w:tc>
          <w:tcPr>
            <w:tcW w:w="1984"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Enhanced</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Price Uplift % (i.e. For 2% insert "2")</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0%</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Availability</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99.90%</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99.9</w:t>
            </w:r>
            <w:r w:rsidR="00AB50D8">
              <w:rPr>
                <w:color w:val="000000"/>
                <w:sz w:val="20"/>
                <w:szCs w:val="20"/>
                <w:lang w:eastAsia="en-GB"/>
              </w:rPr>
              <w:t>0</w:t>
            </w:r>
            <w:r w:rsidRPr="008E1B75">
              <w:rPr>
                <w:color w:val="000000"/>
                <w:sz w:val="20"/>
                <w:szCs w:val="20"/>
                <w:lang w:eastAsia="en-GB"/>
              </w:rPr>
              <w:t>%</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99.9</w:t>
            </w:r>
            <w:r w:rsidR="00AB50D8">
              <w:rPr>
                <w:color w:val="000000"/>
                <w:sz w:val="20"/>
                <w:szCs w:val="20"/>
                <w:lang w:eastAsia="en-GB"/>
              </w:rPr>
              <w:t>0</w:t>
            </w:r>
            <w:r w:rsidRPr="008E1B75">
              <w:rPr>
                <w:color w:val="000000"/>
                <w:sz w:val="20"/>
                <w:szCs w:val="20"/>
                <w:lang w:eastAsia="en-GB"/>
              </w:rPr>
              <w:t>%</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C23E55" w:rsidP="000A286C">
            <w:pPr>
              <w:overflowPunct/>
              <w:autoSpaceDE/>
              <w:autoSpaceDN/>
              <w:adjustRightInd/>
              <w:spacing w:after="0"/>
              <w:jc w:val="left"/>
              <w:textAlignment w:val="auto"/>
              <w:rPr>
                <w:color w:val="000000"/>
                <w:sz w:val="20"/>
                <w:szCs w:val="20"/>
                <w:lang w:eastAsia="en-GB"/>
              </w:rPr>
            </w:pPr>
            <w:r>
              <w:rPr>
                <w:color w:val="000000"/>
                <w:sz w:val="20"/>
                <w:szCs w:val="20"/>
                <w:lang w:eastAsia="en-GB"/>
              </w:rPr>
              <w:t>Service D</w:t>
            </w:r>
            <w:r w:rsidR="000B7EC6" w:rsidRPr="008E1B75">
              <w:rPr>
                <w:color w:val="000000"/>
                <w:sz w:val="20"/>
                <w:szCs w:val="20"/>
                <w:lang w:eastAsia="en-GB"/>
              </w:rPr>
              <w:t>esk</w:t>
            </w:r>
            <w:r w:rsidR="0088099F">
              <w:rPr>
                <w:color w:val="000000"/>
                <w:sz w:val="20"/>
                <w:szCs w:val="20"/>
                <w:lang w:eastAsia="en-GB"/>
              </w:rPr>
              <w:t xml:space="preserve"> / Service Hours</w:t>
            </w:r>
          </w:p>
        </w:tc>
        <w:tc>
          <w:tcPr>
            <w:tcW w:w="1843" w:type="dxa"/>
            <w:tcBorders>
              <w:top w:val="nil"/>
              <w:left w:val="nil"/>
              <w:bottom w:val="single" w:sz="8" w:space="0" w:color="000000"/>
              <w:right w:val="single" w:sz="8" w:space="0" w:color="000000"/>
            </w:tcBorders>
            <w:shd w:val="clear" w:color="auto" w:fill="auto"/>
            <w:hideMark/>
          </w:tcPr>
          <w:p w:rsidR="00F712F4" w:rsidRDefault="000B7EC6">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9am – 5pm</w:t>
            </w:r>
            <w:r w:rsidR="00C23E55">
              <w:rPr>
                <w:color w:val="000000"/>
                <w:sz w:val="20"/>
                <w:szCs w:val="20"/>
                <w:lang w:eastAsia="en-GB"/>
              </w:rPr>
              <w:t xml:space="preserve"> Monday to Friday (excluding BH)</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7am – 7pm</w:t>
            </w:r>
            <w:r w:rsidR="00C23E55">
              <w:rPr>
                <w:color w:val="000000"/>
                <w:sz w:val="20"/>
                <w:szCs w:val="20"/>
                <w:lang w:eastAsia="en-GB"/>
              </w:rPr>
              <w:t xml:space="preserve"> Monday to Saturday (including BH)</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24 hours</w:t>
            </w:r>
            <w:r w:rsidR="00C23E55">
              <w:rPr>
                <w:color w:val="000000"/>
                <w:sz w:val="20"/>
                <w:szCs w:val="20"/>
                <w:lang w:eastAsia="en-GB"/>
              </w:rPr>
              <w:t xml:space="preserve"> per day / 7 days per week</w:t>
            </w:r>
          </w:p>
        </w:tc>
      </w:tr>
      <w:tr w:rsidR="000B7EC6" w:rsidRPr="008E1B75" w:rsidTr="000A286C">
        <w:trPr>
          <w:trHeight w:val="315"/>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color w:val="000000"/>
                <w:sz w:val="24"/>
                <w:szCs w:val="24"/>
                <w:lang w:eastAsia="en-GB"/>
              </w:rPr>
            </w:pP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30"/>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proofErr w:type="spellStart"/>
            <w:r w:rsidRPr="008E1B75">
              <w:rPr>
                <w:b/>
                <w:bCs/>
                <w:color w:val="000000"/>
                <w:sz w:val="24"/>
                <w:szCs w:val="24"/>
                <w:lang w:eastAsia="en-GB"/>
              </w:rPr>
              <w:t>Onboarding</w:t>
            </w:r>
            <w:proofErr w:type="spellEnd"/>
            <w:r w:rsidRPr="008E1B75">
              <w:rPr>
                <w:b/>
                <w:bCs/>
                <w:color w:val="000000"/>
                <w:sz w:val="24"/>
                <w:szCs w:val="24"/>
                <w:lang w:eastAsia="en-GB"/>
              </w:rPr>
              <w:t xml:space="preserve"> </w:t>
            </w: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proofErr w:type="spellStart"/>
            <w:r w:rsidRPr="008E1B75">
              <w:rPr>
                <w:b/>
                <w:bCs/>
                <w:color w:val="000000"/>
                <w:sz w:val="24"/>
                <w:szCs w:val="24"/>
                <w:lang w:eastAsia="en-GB"/>
              </w:rPr>
              <w:t>Offboarding</w:t>
            </w:r>
            <w:proofErr w:type="spellEnd"/>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15"/>
        </w:trPr>
        <w:tc>
          <w:tcPr>
            <w:tcW w:w="2568" w:type="dxa"/>
            <w:tcBorders>
              <w:top w:val="single" w:sz="8" w:space="0" w:color="000000"/>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Category</w:t>
            </w:r>
          </w:p>
        </w:tc>
        <w:tc>
          <w:tcPr>
            <w:tcW w:w="1843"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Price</w:t>
            </w:r>
          </w:p>
        </w:tc>
        <w:tc>
          <w:tcPr>
            <w:tcW w:w="2551"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Category</w:t>
            </w:r>
          </w:p>
        </w:tc>
        <w:tc>
          <w:tcPr>
            <w:tcW w:w="1984"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Price</w:t>
            </w:r>
          </w:p>
        </w:tc>
      </w:tr>
      <w:tr w:rsidR="000B7EC6" w:rsidRPr="008E1B75" w:rsidTr="000A286C">
        <w:trPr>
          <w:trHeight w:val="52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Planning (typically a one off payment) £'s</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Planning (typically a one off payment)</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Per </w:t>
            </w:r>
            <w:r w:rsidR="00B81364">
              <w:rPr>
                <w:color w:val="000000"/>
                <w:sz w:val="20"/>
                <w:szCs w:val="20"/>
                <w:lang w:eastAsia="en-GB"/>
              </w:rPr>
              <w:t>Mailbox</w:t>
            </w:r>
            <w:r w:rsidRPr="008E1B75">
              <w:rPr>
                <w:color w:val="000000"/>
                <w:sz w:val="20"/>
                <w:szCs w:val="20"/>
                <w:lang w:eastAsia="en-GB"/>
              </w:rPr>
              <w:t xml:space="preserve"> Migration £'s</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xml:space="preserve">Per </w:t>
            </w:r>
            <w:r w:rsidR="00B81364">
              <w:rPr>
                <w:color w:val="000000"/>
                <w:sz w:val="20"/>
                <w:szCs w:val="20"/>
                <w:lang w:eastAsia="en-GB"/>
              </w:rPr>
              <w:t>Mailbox</w:t>
            </w:r>
            <w:r w:rsidRPr="008E1B75">
              <w:rPr>
                <w:color w:val="000000"/>
                <w:sz w:val="20"/>
                <w:szCs w:val="20"/>
                <w:lang w:eastAsia="en-GB"/>
              </w:rPr>
              <w:t xml:space="preserve"> Migration</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30"/>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proofErr w:type="spellStart"/>
            <w:r w:rsidRPr="008E1B75">
              <w:rPr>
                <w:b/>
                <w:bCs/>
                <w:color w:val="000000"/>
                <w:sz w:val="24"/>
                <w:szCs w:val="24"/>
                <w:lang w:eastAsia="en-GB"/>
              </w:rPr>
              <w:t>Onboarding</w:t>
            </w:r>
            <w:proofErr w:type="spellEnd"/>
            <w:r w:rsidRPr="008E1B75">
              <w:rPr>
                <w:b/>
                <w:bCs/>
                <w:color w:val="000000"/>
                <w:sz w:val="24"/>
                <w:szCs w:val="24"/>
                <w:lang w:eastAsia="en-GB"/>
              </w:rPr>
              <w:t xml:space="preserve"> profile</w:t>
            </w: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proofErr w:type="spellStart"/>
            <w:r w:rsidRPr="008E1B75">
              <w:rPr>
                <w:b/>
                <w:bCs/>
                <w:color w:val="000000"/>
                <w:sz w:val="24"/>
                <w:szCs w:val="24"/>
                <w:lang w:eastAsia="en-GB"/>
              </w:rPr>
              <w:t>Offboarding</w:t>
            </w:r>
            <w:proofErr w:type="spellEnd"/>
            <w:r w:rsidRPr="008E1B75">
              <w:rPr>
                <w:b/>
                <w:bCs/>
                <w:color w:val="000000"/>
                <w:sz w:val="24"/>
                <w:szCs w:val="24"/>
                <w:lang w:eastAsia="en-GB"/>
              </w:rPr>
              <w:t xml:space="preserve"> profile</w:t>
            </w: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525"/>
        </w:trPr>
        <w:tc>
          <w:tcPr>
            <w:tcW w:w="2568" w:type="dxa"/>
            <w:tcBorders>
              <w:top w:val="single" w:sz="8" w:space="0" w:color="000000"/>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Month</w:t>
            </w:r>
          </w:p>
        </w:tc>
        <w:tc>
          <w:tcPr>
            <w:tcW w:w="1843"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 xml:space="preserve">Monthly </w:t>
            </w:r>
            <w:r w:rsidR="00B81364">
              <w:rPr>
                <w:b/>
                <w:bCs/>
                <w:color w:val="000000"/>
                <w:sz w:val="20"/>
                <w:szCs w:val="20"/>
                <w:lang w:eastAsia="en-GB"/>
              </w:rPr>
              <w:t>Mailbox</w:t>
            </w:r>
            <w:r w:rsidRPr="008E1B75">
              <w:rPr>
                <w:b/>
                <w:bCs/>
                <w:color w:val="000000"/>
                <w:sz w:val="20"/>
                <w:szCs w:val="20"/>
                <w:lang w:eastAsia="en-GB"/>
              </w:rPr>
              <w:t xml:space="preserve"> Migration Capacity</w:t>
            </w:r>
          </w:p>
        </w:tc>
        <w:tc>
          <w:tcPr>
            <w:tcW w:w="2551"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Month</w:t>
            </w:r>
          </w:p>
        </w:tc>
        <w:tc>
          <w:tcPr>
            <w:tcW w:w="1984" w:type="dxa"/>
            <w:tcBorders>
              <w:top w:val="single" w:sz="8" w:space="0" w:color="000000"/>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 xml:space="preserve">Monthly </w:t>
            </w:r>
            <w:r w:rsidR="00B81364">
              <w:rPr>
                <w:b/>
                <w:bCs/>
                <w:color w:val="000000"/>
                <w:sz w:val="20"/>
                <w:szCs w:val="20"/>
                <w:lang w:eastAsia="en-GB"/>
              </w:rPr>
              <w:t>Mailbox</w:t>
            </w:r>
            <w:r w:rsidRPr="008E1B75">
              <w:rPr>
                <w:b/>
                <w:bCs/>
                <w:color w:val="000000"/>
                <w:sz w:val="20"/>
                <w:szCs w:val="20"/>
                <w:lang w:eastAsia="en-GB"/>
              </w:rPr>
              <w:t xml:space="preserve"> Migration Capacity</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4</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4</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5</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5</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6</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6</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7</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7</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8</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8</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9</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9</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10</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10</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11</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11</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12</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12</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13</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13</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14</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14</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15</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15</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16</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16</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17</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17</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lastRenderedPageBreak/>
              <w:t>18</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18</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19</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19</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20</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20</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21</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21</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22</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22</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23</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23</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24</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24</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25</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25</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26</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26</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27</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27</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28</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28</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29</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29</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30</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30</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31</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31</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32</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32</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33</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33</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34</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34</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35</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35</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15"/>
        </w:trPr>
        <w:tc>
          <w:tcPr>
            <w:tcW w:w="2568" w:type="dxa"/>
            <w:tcBorders>
              <w:top w:val="nil"/>
              <w:left w:val="single" w:sz="8" w:space="0" w:color="000000"/>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36</w:t>
            </w:r>
          </w:p>
        </w:tc>
        <w:tc>
          <w:tcPr>
            <w:tcW w:w="1843"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right"/>
              <w:textAlignment w:val="auto"/>
              <w:rPr>
                <w:color w:val="000000"/>
                <w:sz w:val="20"/>
                <w:szCs w:val="20"/>
                <w:lang w:eastAsia="en-GB"/>
              </w:rPr>
            </w:pPr>
            <w:r w:rsidRPr="008E1B75">
              <w:rPr>
                <w:color w:val="000000"/>
                <w:sz w:val="20"/>
                <w:szCs w:val="20"/>
                <w:lang w:eastAsia="en-GB"/>
              </w:rPr>
              <w:t>36</w:t>
            </w:r>
          </w:p>
        </w:tc>
        <w:tc>
          <w:tcPr>
            <w:tcW w:w="1984" w:type="dxa"/>
            <w:tcBorders>
              <w:top w:val="nil"/>
              <w:left w:val="nil"/>
              <w:bottom w:val="single" w:sz="8" w:space="0" w:color="000000"/>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r>
      <w:tr w:rsidR="000B7EC6" w:rsidRPr="008E1B75" w:rsidTr="000A286C">
        <w:trPr>
          <w:trHeight w:val="300"/>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0A286C">
        <w:trPr>
          <w:trHeight w:val="330"/>
        </w:trPr>
        <w:tc>
          <w:tcPr>
            <w:tcW w:w="2568"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b/>
                <w:bCs/>
                <w:color w:val="000000"/>
                <w:sz w:val="24"/>
                <w:szCs w:val="24"/>
                <w:lang w:eastAsia="en-GB"/>
              </w:rPr>
            </w:pPr>
            <w:r w:rsidRPr="008E1B75">
              <w:rPr>
                <w:b/>
                <w:bCs/>
                <w:color w:val="000000"/>
                <w:sz w:val="24"/>
                <w:szCs w:val="24"/>
                <w:lang w:eastAsia="en-GB"/>
              </w:rPr>
              <w:t xml:space="preserve">Staff Rates </w:t>
            </w:r>
          </w:p>
        </w:tc>
        <w:tc>
          <w:tcPr>
            <w:tcW w:w="1843"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AD2B9C">
        <w:trPr>
          <w:trHeight w:val="315"/>
        </w:trPr>
        <w:tc>
          <w:tcPr>
            <w:tcW w:w="2568" w:type="dxa"/>
            <w:tcBorders>
              <w:top w:val="single" w:sz="8" w:space="0" w:color="000000"/>
              <w:left w:val="single" w:sz="8" w:space="0" w:color="000000"/>
              <w:bottom w:val="single" w:sz="4" w:space="0" w:color="auto"/>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Staff Role</w:t>
            </w:r>
          </w:p>
        </w:tc>
        <w:tc>
          <w:tcPr>
            <w:tcW w:w="1843" w:type="dxa"/>
            <w:tcBorders>
              <w:top w:val="single" w:sz="8" w:space="0" w:color="000000"/>
              <w:left w:val="nil"/>
              <w:bottom w:val="single" w:sz="4" w:space="0" w:color="auto"/>
              <w:right w:val="single" w:sz="8" w:space="0" w:color="000000"/>
            </w:tcBorders>
            <w:shd w:val="clear" w:color="auto" w:fill="auto"/>
            <w:hideMark/>
          </w:tcPr>
          <w:p w:rsidR="000B7EC6" w:rsidRPr="008E1B75" w:rsidRDefault="000B7EC6" w:rsidP="000A286C">
            <w:pPr>
              <w:overflowPunct/>
              <w:autoSpaceDE/>
              <w:autoSpaceDN/>
              <w:adjustRightInd/>
              <w:spacing w:after="0"/>
              <w:jc w:val="left"/>
              <w:textAlignment w:val="auto"/>
              <w:rPr>
                <w:b/>
                <w:bCs/>
                <w:color w:val="000000"/>
                <w:sz w:val="20"/>
                <w:szCs w:val="20"/>
                <w:lang w:eastAsia="en-GB"/>
              </w:rPr>
            </w:pPr>
            <w:r w:rsidRPr="008E1B75">
              <w:rPr>
                <w:b/>
                <w:bCs/>
                <w:color w:val="000000"/>
                <w:sz w:val="20"/>
                <w:szCs w:val="20"/>
                <w:lang w:eastAsia="en-GB"/>
              </w:rPr>
              <w:t>Price/Day</w:t>
            </w:r>
          </w:p>
        </w:tc>
        <w:tc>
          <w:tcPr>
            <w:tcW w:w="2551"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AD2B9C"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hideMark/>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2551" w:type="dxa"/>
            <w:tcBorders>
              <w:top w:val="nil"/>
              <w:left w:val="single" w:sz="4" w:space="0" w:color="auto"/>
              <w:bottom w:val="nil"/>
              <w:right w:val="nil"/>
            </w:tcBorders>
            <w:shd w:val="clear" w:color="auto" w:fill="auto"/>
            <w:noWrap/>
            <w:vAlign w:val="bottom"/>
            <w:hideMark/>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r>
      <w:tr w:rsidR="000B7EC6"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B7EC6" w:rsidRPr="008E1B75" w:rsidRDefault="000B7EC6" w:rsidP="000A286C">
            <w:pPr>
              <w:overflowPunct/>
              <w:autoSpaceDE/>
              <w:autoSpaceDN/>
              <w:adjustRightInd/>
              <w:spacing w:after="0"/>
              <w:jc w:val="left"/>
              <w:textAlignment w:val="auto"/>
              <w:rPr>
                <w:color w:val="000000"/>
                <w:sz w:val="20"/>
                <w:szCs w:val="20"/>
                <w:lang w:eastAsia="en-GB"/>
              </w:rPr>
            </w:pPr>
            <w:r w:rsidRPr="008E1B75">
              <w:rPr>
                <w:color w:val="000000"/>
                <w:sz w:val="20"/>
                <w:szCs w:val="20"/>
                <w:lang w:eastAsia="en-GB"/>
              </w:rPr>
              <w:t> </w:t>
            </w:r>
          </w:p>
        </w:tc>
        <w:tc>
          <w:tcPr>
            <w:tcW w:w="2551" w:type="dxa"/>
            <w:tcBorders>
              <w:top w:val="nil"/>
              <w:left w:val="single" w:sz="4" w:space="0" w:color="auto"/>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hideMark/>
          </w:tcPr>
          <w:p w:rsidR="000B7EC6" w:rsidRPr="008E1B75" w:rsidRDefault="000B7EC6" w:rsidP="000A286C">
            <w:pPr>
              <w:overflowPunct/>
              <w:autoSpaceDE/>
              <w:autoSpaceDN/>
              <w:adjustRightInd/>
              <w:spacing w:after="0"/>
              <w:jc w:val="left"/>
              <w:textAlignment w:val="auto"/>
              <w:rPr>
                <w:rFonts w:ascii="Calibri" w:hAnsi="Calibri" w:cs="Times New Roman"/>
                <w:color w:val="000000"/>
                <w:lang w:eastAsia="en-GB"/>
              </w:rPr>
            </w:pPr>
          </w:p>
        </w:tc>
      </w:tr>
      <w:tr w:rsidR="00AD2B9C"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2551" w:type="dxa"/>
            <w:tcBorders>
              <w:top w:val="nil"/>
              <w:left w:val="single" w:sz="4" w:space="0" w:color="auto"/>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r>
      <w:tr w:rsidR="00AD2B9C"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2551" w:type="dxa"/>
            <w:tcBorders>
              <w:top w:val="nil"/>
              <w:left w:val="single" w:sz="4" w:space="0" w:color="auto"/>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r>
      <w:tr w:rsidR="00AD2B9C"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2551" w:type="dxa"/>
            <w:tcBorders>
              <w:top w:val="nil"/>
              <w:left w:val="single" w:sz="4" w:space="0" w:color="auto"/>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r>
      <w:tr w:rsidR="00AD2B9C" w:rsidRPr="008E1B75" w:rsidTr="00AD2B9C">
        <w:trPr>
          <w:trHeight w:val="315"/>
        </w:trPr>
        <w:tc>
          <w:tcPr>
            <w:tcW w:w="2568"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2B9C" w:rsidRPr="008E1B75" w:rsidRDefault="00AD2B9C" w:rsidP="000A286C">
            <w:pPr>
              <w:overflowPunct/>
              <w:autoSpaceDE/>
              <w:autoSpaceDN/>
              <w:adjustRightInd/>
              <w:spacing w:after="0"/>
              <w:jc w:val="left"/>
              <w:textAlignment w:val="auto"/>
              <w:rPr>
                <w:color w:val="000000"/>
                <w:sz w:val="20"/>
                <w:szCs w:val="20"/>
                <w:lang w:eastAsia="en-GB"/>
              </w:rPr>
            </w:pPr>
          </w:p>
        </w:tc>
        <w:tc>
          <w:tcPr>
            <w:tcW w:w="2551" w:type="dxa"/>
            <w:tcBorders>
              <w:top w:val="nil"/>
              <w:left w:val="single" w:sz="4" w:space="0" w:color="auto"/>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c>
          <w:tcPr>
            <w:tcW w:w="1984" w:type="dxa"/>
            <w:tcBorders>
              <w:top w:val="nil"/>
              <w:left w:val="nil"/>
              <w:bottom w:val="nil"/>
              <w:right w:val="nil"/>
            </w:tcBorders>
            <w:shd w:val="clear" w:color="auto" w:fill="auto"/>
            <w:noWrap/>
            <w:vAlign w:val="bottom"/>
          </w:tcPr>
          <w:p w:rsidR="00AD2B9C" w:rsidRPr="008E1B75" w:rsidRDefault="00AD2B9C" w:rsidP="000A286C">
            <w:pPr>
              <w:overflowPunct/>
              <w:autoSpaceDE/>
              <w:autoSpaceDN/>
              <w:adjustRightInd/>
              <w:spacing w:after="0"/>
              <w:jc w:val="left"/>
              <w:textAlignment w:val="auto"/>
              <w:rPr>
                <w:rFonts w:ascii="Calibri" w:hAnsi="Calibri" w:cs="Times New Roman"/>
                <w:color w:val="000000"/>
                <w:lang w:eastAsia="en-GB"/>
              </w:rPr>
            </w:pPr>
          </w:p>
        </w:tc>
      </w:tr>
    </w:tbl>
    <w:p w:rsidR="000B7EC6" w:rsidRDefault="000B7EC6" w:rsidP="000B7EC6">
      <w:pPr>
        <w:spacing w:after="0"/>
      </w:pPr>
    </w:p>
    <w:p w:rsidR="000B7EC6" w:rsidRDefault="000B7EC6" w:rsidP="000B7EC6">
      <w:pPr>
        <w:spacing w:after="0"/>
      </w:pPr>
    </w:p>
    <w:tbl>
      <w:tblPr>
        <w:tblW w:w="7760" w:type="dxa"/>
        <w:tblInd w:w="89" w:type="dxa"/>
        <w:tblLook w:val="04A0" w:firstRow="1" w:lastRow="0" w:firstColumn="1" w:lastColumn="0" w:noHBand="0" w:noVBand="1"/>
      </w:tblPr>
      <w:tblGrid>
        <w:gridCol w:w="4900"/>
        <w:gridCol w:w="2860"/>
      </w:tblGrid>
      <w:tr w:rsidR="00E20EE5" w:rsidRPr="00E20EE5" w:rsidTr="00E20EE5">
        <w:trPr>
          <w:trHeight w:val="330"/>
        </w:trPr>
        <w:tc>
          <w:tcPr>
            <w:tcW w:w="4900" w:type="dxa"/>
            <w:tcBorders>
              <w:top w:val="nil"/>
              <w:left w:val="nil"/>
              <w:bottom w:val="nil"/>
              <w:right w:val="nil"/>
            </w:tcBorders>
            <w:shd w:val="clear" w:color="auto" w:fill="auto"/>
            <w:noWrap/>
            <w:vAlign w:val="bottom"/>
            <w:hideMark/>
          </w:tcPr>
          <w:p w:rsidR="00E20EE5" w:rsidRPr="00E20EE5" w:rsidRDefault="00E20EE5" w:rsidP="00E20EE5">
            <w:pPr>
              <w:overflowPunct/>
              <w:autoSpaceDE/>
              <w:autoSpaceDN/>
              <w:adjustRightInd/>
              <w:spacing w:after="0"/>
              <w:jc w:val="left"/>
              <w:textAlignment w:val="auto"/>
              <w:rPr>
                <w:b/>
                <w:bCs/>
                <w:color w:val="000000"/>
                <w:sz w:val="24"/>
                <w:szCs w:val="24"/>
                <w:lang w:eastAsia="en-GB"/>
              </w:rPr>
            </w:pPr>
            <w:r w:rsidRPr="00E20EE5">
              <w:rPr>
                <w:b/>
                <w:bCs/>
                <w:color w:val="000000"/>
                <w:sz w:val="24"/>
                <w:szCs w:val="24"/>
                <w:lang w:eastAsia="en-GB"/>
              </w:rPr>
              <w:t>Material Licences</w:t>
            </w:r>
          </w:p>
        </w:tc>
        <w:tc>
          <w:tcPr>
            <w:tcW w:w="2860" w:type="dxa"/>
            <w:tcBorders>
              <w:top w:val="nil"/>
              <w:left w:val="nil"/>
              <w:bottom w:val="nil"/>
              <w:right w:val="nil"/>
            </w:tcBorders>
            <w:shd w:val="clear" w:color="auto" w:fill="auto"/>
            <w:noWrap/>
            <w:vAlign w:val="bottom"/>
            <w:hideMark/>
          </w:tcPr>
          <w:p w:rsidR="00E20EE5" w:rsidRPr="00E20EE5" w:rsidRDefault="00E20EE5" w:rsidP="00E20EE5">
            <w:pPr>
              <w:overflowPunct/>
              <w:autoSpaceDE/>
              <w:autoSpaceDN/>
              <w:adjustRightInd/>
              <w:spacing w:after="0"/>
              <w:jc w:val="left"/>
              <w:textAlignment w:val="auto"/>
              <w:rPr>
                <w:rFonts w:ascii="Calibri" w:hAnsi="Calibri" w:cs="Times New Roman"/>
                <w:color w:val="000000"/>
                <w:lang w:eastAsia="en-GB"/>
              </w:rPr>
            </w:pPr>
          </w:p>
        </w:tc>
      </w:tr>
      <w:tr w:rsidR="00E20EE5" w:rsidRPr="00E20EE5" w:rsidTr="00E20EE5">
        <w:trPr>
          <w:trHeight w:val="315"/>
        </w:trPr>
        <w:tc>
          <w:tcPr>
            <w:tcW w:w="4900" w:type="dxa"/>
            <w:tcBorders>
              <w:top w:val="single" w:sz="8" w:space="0" w:color="000000"/>
              <w:left w:val="single" w:sz="8" w:space="0" w:color="000000"/>
              <w:bottom w:val="single" w:sz="8" w:space="0" w:color="000000"/>
              <w:right w:val="single" w:sz="8" w:space="0" w:color="000000"/>
            </w:tcBorders>
            <w:shd w:val="pct12" w:color="000000" w:fill="DFDFDF"/>
            <w:hideMark/>
          </w:tcPr>
          <w:p w:rsidR="00E20EE5" w:rsidRPr="00E20EE5" w:rsidRDefault="00E20EE5" w:rsidP="00E20EE5">
            <w:pPr>
              <w:overflowPunct/>
              <w:autoSpaceDE/>
              <w:autoSpaceDN/>
              <w:adjustRightInd/>
              <w:spacing w:after="0"/>
              <w:jc w:val="left"/>
              <w:textAlignment w:val="auto"/>
              <w:rPr>
                <w:b/>
                <w:bCs/>
                <w:color w:val="000000"/>
                <w:sz w:val="20"/>
                <w:szCs w:val="20"/>
                <w:lang w:eastAsia="en-GB"/>
              </w:rPr>
            </w:pPr>
            <w:r w:rsidRPr="00E20EE5">
              <w:rPr>
                <w:b/>
                <w:bCs/>
                <w:color w:val="000000"/>
                <w:sz w:val="20"/>
                <w:szCs w:val="20"/>
                <w:lang w:eastAsia="en-GB"/>
              </w:rPr>
              <w:t>Licence Type</w:t>
            </w:r>
          </w:p>
        </w:tc>
        <w:tc>
          <w:tcPr>
            <w:tcW w:w="2860" w:type="dxa"/>
            <w:tcBorders>
              <w:top w:val="single" w:sz="8" w:space="0" w:color="000000"/>
              <w:left w:val="nil"/>
              <w:bottom w:val="single" w:sz="8" w:space="0" w:color="000000"/>
              <w:right w:val="single" w:sz="8" w:space="0" w:color="000000"/>
            </w:tcBorders>
            <w:shd w:val="pct12" w:color="000000" w:fill="DFDFDF"/>
            <w:hideMark/>
          </w:tcPr>
          <w:p w:rsidR="00E20EE5" w:rsidRPr="00E20EE5" w:rsidRDefault="00E20EE5" w:rsidP="00E20EE5">
            <w:pPr>
              <w:overflowPunct/>
              <w:autoSpaceDE/>
              <w:autoSpaceDN/>
              <w:adjustRightInd/>
              <w:spacing w:after="0"/>
              <w:jc w:val="left"/>
              <w:textAlignment w:val="auto"/>
              <w:rPr>
                <w:b/>
                <w:bCs/>
                <w:color w:val="000000"/>
                <w:sz w:val="20"/>
                <w:szCs w:val="20"/>
                <w:lang w:eastAsia="en-GB"/>
              </w:rPr>
            </w:pPr>
            <w:r w:rsidRPr="00E20EE5">
              <w:rPr>
                <w:b/>
                <w:bCs/>
                <w:color w:val="000000"/>
                <w:sz w:val="20"/>
                <w:szCs w:val="20"/>
                <w:lang w:eastAsia="en-GB"/>
              </w:rPr>
              <w:t>Licence Cost</w:t>
            </w:r>
          </w:p>
        </w:tc>
      </w:tr>
      <w:tr w:rsidR="00E20EE5" w:rsidRPr="00E20EE5" w:rsidTr="00E20EE5">
        <w:trPr>
          <w:trHeight w:val="315"/>
        </w:trPr>
        <w:tc>
          <w:tcPr>
            <w:tcW w:w="4900" w:type="dxa"/>
            <w:tcBorders>
              <w:top w:val="nil"/>
              <w:left w:val="single" w:sz="8" w:space="0" w:color="000000"/>
              <w:bottom w:val="single" w:sz="8" w:space="0" w:color="000000"/>
              <w:right w:val="single" w:sz="8" w:space="0" w:color="000000"/>
            </w:tcBorders>
            <w:shd w:val="clear" w:color="000000" w:fill="8DB4E3"/>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e.g. AVAS</w:t>
            </w:r>
          </w:p>
        </w:tc>
        <w:tc>
          <w:tcPr>
            <w:tcW w:w="2860" w:type="dxa"/>
            <w:tcBorders>
              <w:top w:val="nil"/>
              <w:left w:val="nil"/>
              <w:bottom w:val="single" w:sz="8" w:space="0" w:color="000000"/>
              <w:right w:val="single" w:sz="8" w:space="0" w:color="000000"/>
            </w:tcBorders>
            <w:shd w:val="clear" w:color="000000" w:fill="8DB4E3"/>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xml:space="preserve">£ / </w:t>
            </w:r>
            <w:r w:rsidR="00B81364">
              <w:rPr>
                <w:color w:val="000000"/>
                <w:sz w:val="20"/>
                <w:szCs w:val="20"/>
                <w:lang w:eastAsia="en-GB"/>
              </w:rPr>
              <w:t>Mailbox</w:t>
            </w:r>
            <w:r w:rsidRPr="00E20EE5">
              <w:rPr>
                <w:color w:val="000000"/>
                <w:sz w:val="20"/>
                <w:szCs w:val="20"/>
                <w:lang w:eastAsia="en-GB"/>
              </w:rPr>
              <w:t xml:space="preserve"> / month</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righ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t> </w:t>
            </w:r>
          </w:p>
        </w:tc>
        <w:tc>
          <w:tcPr>
            <w:tcW w:w="2860" w:type="dxa"/>
            <w:tcBorders>
              <w:top w:val="nil"/>
              <w:left w:val="nil"/>
              <w:bottom w:val="single" w:sz="8" w:space="0" w:color="auto"/>
              <w:right w:val="single" w:sz="8" w:space="0" w:color="000000"/>
            </w:tcBorders>
            <w:shd w:val="clear" w:color="000000" w:fill="8DB4E2"/>
            <w:hideMark/>
          </w:tcPr>
          <w:p w:rsidR="00E20EE5" w:rsidRPr="00E20EE5" w:rsidRDefault="00E20EE5" w:rsidP="00E20EE5">
            <w:pPr>
              <w:overflowPunct/>
              <w:autoSpaceDE/>
              <w:autoSpaceDN/>
              <w:adjustRightInd/>
              <w:spacing w:after="0"/>
              <w:jc w:val="right"/>
              <w:textAlignment w:val="auto"/>
              <w:rPr>
                <w:color w:val="000000"/>
                <w:sz w:val="20"/>
                <w:szCs w:val="20"/>
                <w:lang w:eastAsia="en-GB"/>
              </w:rPr>
            </w:pPr>
            <w:r w:rsidRPr="00E20EE5">
              <w:rPr>
                <w:color w:val="000000"/>
                <w:sz w:val="20"/>
                <w:szCs w:val="20"/>
                <w:lang w:eastAsia="en-GB"/>
              </w:rPr>
              <w:t> </w:t>
            </w:r>
          </w:p>
        </w:tc>
      </w:tr>
      <w:tr w:rsidR="00E20EE5" w:rsidRPr="00E20EE5" w:rsidTr="00E20EE5">
        <w:trPr>
          <w:trHeight w:val="315"/>
        </w:trPr>
        <w:tc>
          <w:tcPr>
            <w:tcW w:w="4900" w:type="dxa"/>
            <w:tcBorders>
              <w:top w:val="nil"/>
              <w:left w:val="single" w:sz="8" w:space="0" w:color="000000"/>
              <w:bottom w:val="single" w:sz="8" w:space="0" w:color="000000"/>
              <w:right w:val="single" w:sz="8" w:space="0" w:color="000000"/>
            </w:tcBorders>
            <w:shd w:val="clear" w:color="000000" w:fill="8DB4E2"/>
            <w:hideMark/>
          </w:tcPr>
          <w:p w:rsidR="00E20EE5" w:rsidRPr="00E20EE5" w:rsidRDefault="00E20EE5" w:rsidP="00E20EE5">
            <w:pPr>
              <w:overflowPunct/>
              <w:autoSpaceDE/>
              <w:autoSpaceDN/>
              <w:adjustRightInd/>
              <w:spacing w:after="0"/>
              <w:jc w:val="left"/>
              <w:textAlignment w:val="auto"/>
              <w:rPr>
                <w:color w:val="000000"/>
                <w:sz w:val="20"/>
                <w:szCs w:val="20"/>
                <w:lang w:eastAsia="en-GB"/>
              </w:rPr>
            </w:pPr>
            <w:r w:rsidRPr="00E20EE5">
              <w:rPr>
                <w:color w:val="000000"/>
                <w:sz w:val="20"/>
                <w:szCs w:val="20"/>
                <w:lang w:eastAsia="en-GB"/>
              </w:rPr>
              <w:lastRenderedPageBreak/>
              <w:t>Total</w:t>
            </w:r>
          </w:p>
        </w:tc>
        <w:tc>
          <w:tcPr>
            <w:tcW w:w="2860" w:type="dxa"/>
            <w:tcBorders>
              <w:top w:val="nil"/>
              <w:left w:val="nil"/>
              <w:bottom w:val="single" w:sz="8" w:space="0" w:color="000000"/>
              <w:right w:val="single" w:sz="8" w:space="0" w:color="000000"/>
            </w:tcBorders>
            <w:shd w:val="clear" w:color="000000" w:fill="8DB4E2"/>
            <w:hideMark/>
          </w:tcPr>
          <w:p w:rsidR="00E20EE5" w:rsidRPr="00E20EE5" w:rsidRDefault="00E20EE5" w:rsidP="00E20EE5">
            <w:pPr>
              <w:overflowPunct/>
              <w:autoSpaceDE/>
              <w:autoSpaceDN/>
              <w:adjustRightInd/>
              <w:spacing w:after="0"/>
              <w:jc w:val="right"/>
              <w:textAlignment w:val="auto"/>
              <w:rPr>
                <w:color w:val="000000"/>
                <w:sz w:val="20"/>
                <w:szCs w:val="20"/>
                <w:lang w:eastAsia="en-GB"/>
              </w:rPr>
            </w:pPr>
            <w:r w:rsidRPr="00E20EE5">
              <w:rPr>
                <w:color w:val="000000"/>
                <w:sz w:val="20"/>
                <w:szCs w:val="20"/>
                <w:lang w:eastAsia="en-GB"/>
              </w:rPr>
              <w:t> </w:t>
            </w:r>
          </w:p>
        </w:tc>
      </w:tr>
    </w:tbl>
    <w:p w:rsidR="000B7EC6" w:rsidRDefault="000B7EC6" w:rsidP="000B7EC6">
      <w:pPr>
        <w:spacing w:after="0"/>
      </w:pPr>
    </w:p>
    <w:p w:rsidR="000B7EC6" w:rsidRDefault="000B7EC6" w:rsidP="000B7EC6">
      <w:pPr>
        <w:spacing w:after="0"/>
      </w:pPr>
    </w:p>
    <w:p w:rsidR="000B7EC6" w:rsidRDefault="000B7EC6" w:rsidP="000B7EC6">
      <w:pPr>
        <w:spacing w:after="0"/>
      </w:pPr>
    </w:p>
    <w:p w:rsidR="000B7EC6" w:rsidRDefault="000B7EC6" w:rsidP="000B7EC6">
      <w:pPr>
        <w:spacing w:after="0"/>
      </w:pPr>
    </w:p>
    <w:p w:rsidR="000B7EC6" w:rsidRPr="00D6538E" w:rsidRDefault="000B7EC6" w:rsidP="000B7EC6">
      <w:pPr>
        <w:spacing w:after="0"/>
      </w:pPr>
    </w:p>
    <w:p w:rsidR="00EA39CE" w:rsidRDefault="00EA39CE" w:rsidP="000B7EC6">
      <w:pPr>
        <w:pStyle w:val="GPSSchTitleandNumber"/>
        <w:rPr>
          <w:highlight w:val="cyan"/>
        </w:rPr>
      </w:pPr>
    </w:p>
    <w:sectPr w:rsidR="00EA39CE" w:rsidSect="00F27064">
      <w:headerReference w:type="even" r:id="rId24"/>
      <w:footerReference w:type="even" r:id="rId25"/>
      <w:footerReference w:type="default" r:id="rId26"/>
      <w:headerReference w:type="first" r:id="rId27"/>
      <w:footerReference w:type="first" r:id="rId28"/>
      <w:endnotePr>
        <w:numFmt w:val="decimal"/>
      </w:endnotePr>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FB" w:rsidRDefault="00390EFB" w:rsidP="006C7CF5"/>
    <w:p w:rsidR="00390EFB" w:rsidRDefault="00390EFB" w:rsidP="006C7CF5"/>
    <w:p w:rsidR="00390EFB" w:rsidRDefault="00390EFB"/>
  </w:endnote>
  <w:endnote w:type="continuationSeparator" w:id="0">
    <w:p w:rsidR="00390EFB" w:rsidRDefault="00390EFB" w:rsidP="006C7CF5">
      <w:r>
        <w:t xml:space="preserve"> </w:t>
      </w:r>
    </w:p>
    <w:p w:rsidR="00390EFB" w:rsidRDefault="00390EFB" w:rsidP="006C7CF5"/>
    <w:p w:rsidR="00390EFB" w:rsidRDefault="00390EFB"/>
  </w:endnote>
  <w:endnote w:type="continuationNotice" w:id="1">
    <w:p w:rsidR="00390EFB" w:rsidRDefault="00390EFB" w:rsidP="006C7CF5">
      <w:r>
        <w:t xml:space="preserve"> </w:t>
      </w:r>
    </w:p>
    <w:p w:rsidR="00390EFB" w:rsidRDefault="00390EFB" w:rsidP="006C7CF5"/>
    <w:p w:rsidR="00390EFB" w:rsidRDefault="00390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FB" w:rsidRDefault="00390EFB" w:rsidP="006C7CF5"/>
  <w:p w:rsidR="00390EFB" w:rsidRDefault="00390E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FB" w:rsidRPr="002E61F2" w:rsidRDefault="00390EFB">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051095">
      <w:rPr>
        <w:noProof/>
        <w:sz w:val="20"/>
        <w:szCs w:val="20"/>
      </w:rPr>
      <w:t>125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FB" w:rsidRDefault="00390EFB" w:rsidP="006C7CF5"/>
  <w:p w:rsidR="00390EFB" w:rsidRDefault="00390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FB" w:rsidRDefault="00390EFB" w:rsidP="006C7CF5">
      <w:r>
        <w:separator/>
      </w:r>
    </w:p>
    <w:p w:rsidR="00390EFB" w:rsidRDefault="00390EFB" w:rsidP="006C7CF5"/>
    <w:p w:rsidR="00390EFB" w:rsidRDefault="00390EFB"/>
  </w:footnote>
  <w:footnote w:type="continuationSeparator" w:id="0">
    <w:p w:rsidR="00390EFB" w:rsidRDefault="00390EFB" w:rsidP="006C7CF5">
      <w:r>
        <w:continuationSeparator/>
      </w:r>
    </w:p>
    <w:p w:rsidR="00390EFB" w:rsidRDefault="00390EFB" w:rsidP="006C7CF5"/>
    <w:p w:rsidR="00390EFB" w:rsidRDefault="00390EFB"/>
  </w:footnote>
  <w:footnote w:type="continuationNotice" w:id="1">
    <w:p w:rsidR="00390EFB" w:rsidRDefault="00390EFB" w:rsidP="006C7CF5"/>
    <w:p w:rsidR="00390EFB" w:rsidRDefault="00390EFB" w:rsidP="006C7CF5"/>
    <w:p w:rsidR="00390EFB" w:rsidRDefault="00390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FB" w:rsidRDefault="00390EFB" w:rsidP="006C7CF5"/>
  <w:p w:rsidR="00390EFB" w:rsidRDefault="00390E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FB" w:rsidRDefault="00390EFB" w:rsidP="006C7CF5"/>
  <w:p w:rsidR="00390EFB" w:rsidRDefault="00390E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0C2E3A"/>
    <w:lvl w:ilvl="0">
      <w:start w:val="1"/>
      <w:numFmt w:val="decimal"/>
      <w:lvlText w:val="%1."/>
      <w:lvlJc w:val="left"/>
      <w:pPr>
        <w:tabs>
          <w:tab w:val="num" w:pos="1492"/>
        </w:tabs>
        <w:ind w:left="1492" w:hanging="360"/>
      </w:pPr>
    </w:lvl>
  </w:abstractNum>
  <w:abstractNum w:abstractNumId="1">
    <w:nsid w:val="FFFFFF7D"/>
    <w:multiLevelType w:val="multilevel"/>
    <w:tmpl w:val="49E07D6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nsid w:val="FFFFFF7E"/>
    <w:multiLevelType w:val="singleLevel"/>
    <w:tmpl w:val="1E6EE2F2"/>
    <w:lvl w:ilvl="0">
      <w:start w:val="1"/>
      <w:numFmt w:val="decimal"/>
      <w:lvlText w:val="%1."/>
      <w:lvlJc w:val="left"/>
      <w:pPr>
        <w:tabs>
          <w:tab w:val="num" w:pos="926"/>
        </w:tabs>
        <w:ind w:left="926" w:hanging="360"/>
      </w:pPr>
    </w:lvl>
  </w:abstractNum>
  <w:abstractNum w:abstractNumId="3">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E85E74"/>
    <w:lvl w:ilvl="0">
      <w:start w:val="1"/>
      <w:numFmt w:val="bullet"/>
      <w:lvlText w:val=""/>
      <w:lvlJc w:val="left"/>
      <w:pPr>
        <w:tabs>
          <w:tab w:val="num" w:pos="360"/>
        </w:tabs>
        <w:ind w:left="360" w:hanging="360"/>
      </w:pPr>
      <w:rPr>
        <w:rFonts w:ascii="Symbol" w:hAnsi="Symbol" w:hint="default"/>
      </w:rPr>
    </w:lvl>
  </w:abstractNum>
  <w:abstractNum w:abstractNumId="8">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E039E0"/>
    <w:lvl w:ilvl="0">
      <w:start w:val="1"/>
      <w:numFmt w:val="bullet"/>
      <w:lvlText w:val=""/>
      <w:lvlJc w:val="left"/>
      <w:pPr>
        <w:tabs>
          <w:tab w:val="num" w:pos="360"/>
        </w:tabs>
        <w:ind w:left="360" w:hanging="360"/>
      </w:pPr>
      <w:rPr>
        <w:rFonts w:ascii="Symbol" w:hAnsi="Symbol" w:hint="default"/>
      </w:rPr>
    </w:lvl>
  </w:abstractNum>
  <w:abstractNum w:abstractNumId="1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nsid w:val="00FA34B2"/>
    <w:multiLevelType w:val="hybridMultilevel"/>
    <w:tmpl w:val="9A8EE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1E00F66"/>
    <w:multiLevelType w:val="hybridMultilevel"/>
    <w:tmpl w:val="BC22D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6">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8">
    <w:nsid w:val="04781D8C"/>
    <w:multiLevelType w:val="hybridMultilevel"/>
    <w:tmpl w:val="956E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1">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4">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09610BB2"/>
    <w:multiLevelType w:val="hybridMultilevel"/>
    <w:tmpl w:val="B622A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7">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9">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0DAD493D"/>
    <w:multiLevelType w:val="hybridMultilevel"/>
    <w:tmpl w:val="D5769CA2"/>
    <w:lvl w:ilvl="0" w:tplc="08090017">
      <w:start w:val="1"/>
      <w:numFmt w:val="lowerLett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nsid w:val="0EC664F4"/>
    <w:multiLevelType w:val="hybridMultilevel"/>
    <w:tmpl w:val="71F0761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nsid w:val="0FC956C1"/>
    <w:multiLevelType w:val="hybridMultilevel"/>
    <w:tmpl w:val="D50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1">
    <w:nsid w:val="107A59E9"/>
    <w:multiLevelType w:val="hybridMultilevel"/>
    <w:tmpl w:val="EC02B8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3">
    <w:nsid w:val="114A6896"/>
    <w:multiLevelType w:val="hybridMultilevel"/>
    <w:tmpl w:val="111E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5">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6">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7">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19AD473C"/>
    <w:multiLevelType w:val="hybridMultilevel"/>
    <w:tmpl w:val="CCE63CA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9">
    <w:nsid w:val="1C8608D6"/>
    <w:multiLevelType w:val="hybridMultilevel"/>
    <w:tmpl w:val="2D44D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D601BE1"/>
    <w:multiLevelType w:val="hybridMultilevel"/>
    <w:tmpl w:val="0D2A4E7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1DDA642D"/>
    <w:multiLevelType w:val="hybridMultilevel"/>
    <w:tmpl w:val="9982B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3">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4">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5">
    <w:nsid w:val="20580351"/>
    <w:multiLevelType w:val="hybridMultilevel"/>
    <w:tmpl w:val="EDE629B2"/>
    <w:lvl w:ilvl="0" w:tplc="4EA4596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7">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8">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21D407E2"/>
    <w:multiLevelType w:val="multilevel"/>
    <w:tmpl w:val="06D0DD8C"/>
    <w:lvl w:ilvl="0">
      <w:start w:val="1"/>
      <w:numFmt w:val="decimal"/>
      <w:lvlText w:val="%1."/>
      <w:lvlJc w:val="left"/>
      <w:pPr>
        <w:ind w:left="851" w:hanging="851"/>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63">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4">
    <w:nsid w:val="230831C6"/>
    <w:multiLevelType w:val="multilevel"/>
    <w:tmpl w:val="0809001F"/>
    <w:numStyleLink w:val="111111"/>
  </w:abstractNum>
  <w:abstractNum w:abstractNumId="65">
    <w:nsid w:val="233260CA"/>
    <w:multiLevelType w:val="hybridMultilevel"/>
    <w:tmpl w:val="E33AC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7">
    <w:nsid w:val="23FF3179"/>
    <w:multiLevelType w:val="hybridMultilevel"/>
    <w:tmpl w:val="58449E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25A011D0"/>
    <w:multiLevelType w:val="hybridMultilevel"/>
    <w:tmpl w:val="30AE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25CA652B"/>
    <w:multiLevelType w:val="multilevel"/>
    <w:tmpl w:val="0809001F"/>
    <w:numStyleLink w:val="111111"/>
  </w:abstractNum>
  <w:abstractNum w:abstractNumId="7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nsid w:val="26303214"/>
    <w:multiLevelType w:val="hybridMultilevel"/>
    <w:tmpl w:val="AA1C8FD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74">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75">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6">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7">
    <w:nsid w:val="276A4E90"/>
    <w:multiLevelType w:val="hybridMultilevel"/>
    <w:tmpl w:val="FC9A5D08"/>
    <w:lvl w:ilvl="0" w:tplc="F9141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8C84338"/>
    <w:multiLevelType w:val="hybridMultilevel"/>
    <w:tmpl w:val="F3CA3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80">
    <w:nsid w:val="2B035321"/>
    <w:multiLevelType w:val="hybridMultilevel"/>
    <w:tmpl w:val="65AE1B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3">
    <w:nsid w:val="2E372D39"/>
    <w:multiLevelType w:val="hybridMultilevel"/>
    <w:tmpl w:val="4F9A4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86">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87">
    <w:nsid w:val="2F312497"/>
    <w:multiLevelType w:val="multilevel"/>
    <w:tmpl w:val="74AEC792"/>
    <w:lvl w:ilvl="0">
      <w:start w:val="1"/>
      <w:numFmt w:val="decimal"/>
      <w:pStyle w:val="PAM-HEADING"/>
      <w:lvlText w:val="%1."/>
      <w:lvlJc w:val="left"/>
      <w:pPr>
        <w:tabs>
          <w:tab w:val="num" w:pos="720"/>
        </w:tabs>
        <w:ind w:left="720" w:hanging="720"/>
      </w:pPr>
      <w:rPr>
        <w:rFonts w:hint="default"/>
      </w:rPr>
    </w:lvl>
    <w:lvl w:ilvl="1">
      <w:start w:val="1"/>
      <w:numFmt w:val="decimal"/>
      <w:pStyle w:val="PAM-NUMBEREDPARAGRAPH"/>
      <w:lvlText w:val="%1.%2"/>
      <w:lvlJc w:val="left"/>
      <w:pPr>
        <w:tabs>
          <w:tab w:val="num" w:pos="720"/>
        </w:tabs>
        <w:ind w:left="720" w:hanging="720"/>
      </w:pPr>
      <w:rPr>
        <w:rFonts w:hint="default"/>
        <w:b w:val="0"/>
      </w:rPr>
    </w:lvl>
    <w:lvl w:ilvl="2">
      <w:start w:val="1"/>
      <w:numFmt w:val="decimal"/>
      <w:lvlText w:val="%1.%2.%3"/>
      <w:lvlJc w:val="left"/>
      <w:pPr>
        <w:tabs>
          <w:tab w:val="num" w:pos="-31680"/>
        </w:tabs>
        <w:ind w:left="1440" w:hanging="720"/>
      </w:pPr>
      <w:rPr>
        <w:rFonts w:hint="default"/>
      </w:rPr>
    </w:lvl>
    <w:lvl w:ilvl="3">
      <w:start w:val="1"/>
      <w:numFmt w:val="decimal"/>
      <w:lvlText w:val="%1.%2.%3.%4"/>
      <w:lvlJc w:val="left"/>
      <w:pPr>
        <w:tabs>
          <w:tab w:val="num" w:pos="-31680"/>
        </w:tabs>
        <w:ind w:left="2160" w:hanging="720"/>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88">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9">
    <w:nsid w:val="326B6FA9"/>
    <w:multiLevelType w:val="hybridMultilevel"/>
    <w:tmpl w:val="0678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91">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2">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93">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94">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nsid w:val="373D6961"/>
    <w:multiLevelType w:val="hybridMultilevel"/>
    <w:tmpl w:val="D4DA3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97">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8">
    <w:nsid w:val="39CA45DE"/>
    <w:multiLevelType w:val="hybridMultilevel"/>
    <w:tmpl w:val="0D2A4E7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3B2D6365"/>
    <w:multiLevelType w:val="hybridMultilevel"/>
    <w:tmpl w:val="C80A9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3BE9110A"/>
    <w:multiLevelType w:val="hybridMultilevel"/>
    <w:tmpl w:val="A4BA049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3D1E5D56"/>
    <w:multiLevelType w:val="hybridMultilevel"/>
    <w:tmpl w:val="D87ED13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4">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05">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6">
    <w:nsid w:val="4091397D"/>
    <w:multiLevelType w:val="hybridMultilevel"/>
    <w:tmpl w:val="75D4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8">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09">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1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11">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3DC0E51"/>
    <w:multiLevelType w:val="hybridMultilevel"/>
    <w:tmpl w:val="E6B4057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4">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451751CF"/>
    <w:multiLevelType w:val="hybridMultilevel"/>
    <w:tmpl w:val="7F34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45480BE6"/>
    <w:multiLevelType w:val="hybridMultilevel"/>
    <w:tmpl w:val="698A3F38"/>
    <w:lvl w:ilvl="0" w:tplc="08090017">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8">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19">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21">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22">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3">
    <w:nsid w:val="49504859"/>
    <w:multiLevelType w:val="hybridMultilevel"/>
    <w:tmpl w:val="EC02B8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5">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27">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28">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9">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nsid w:val="4DDC41ED"/>
    <w:multiLevelType w:val="hybridMultilevel"/>
    <w:tmpl w:val="D04A37F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3">
    <w:nsid w:val="4E5E2881"/>
    <w:multiLevelType w:val="hybridMultilevel"/>
    <w:tmpl w:val="E6B4057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4ED046F2"/>
    <w:multiLevelType w:val="hybridMultilevel"/>
    <w:tmpl w:val="D522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6">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7">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9">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1">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2">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3">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44">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55626B5B"/>
    <w:multiLevelType w:val="hybridMultilevel"/>
    <w:tmpl w:val="EC02B8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8">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1">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2">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3">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54">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5">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6">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7">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58">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59">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6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1">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62">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63D23467"/>
    <w:multiLevelType w:val="hybridMultilevel"/>
    <w:tmpl w:val="1D8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62E4961"/>
    <w:multiLevelType w:val="hybridMultilevel"/>
    <w:tmpl w:val="CA2212DE"/>
    <w:lvl w:ilvl="0" w:tplc="08090017">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nsid w:val="676A1697"/>
    <w:multiLevelType w:val="hybridMultilevel"/>
    <w:tmpl w:val="ABB4A3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67A31F12"/>
    <w:multiLevelType w:val="multilevel"/>
    <w:tmpl w:val="98FCABA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9">
    <w:nsid w:val="680F66A7"/>
    <w:multiLevelType w:val="hybridMultilevel"/>
    <w:tmpl w:val="C80A9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68415055"/>
    <w:multiLevelType w:val="hybridMultilevel"/>
    <w:tmpl w:val="320C7F8E"/>
    <w:lvl w:ilvl="0" w:tplc="08090017">
      <w:start w:val="1"/>
      <w:numFmt w:val="lowerLetter"/>
      <w:lvlText w:val="%1)"/>
      <w:lvlJc w:val="left"/>
      <w:pPr>
        <w:tabs>
          <w:tab w:val="num" w:pos="765"/>
        </w:tabs>
        <w:ind w:left="765" w:hanging="360"/>
      </w:pPr>
      <w:rPr>
        <w:rFonts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71">
    <w:nsid w:val="68BE07DE"/>
    <w:multiLevelType w:val="hybridMultilevel"/>
    <w:tmpl w:val="E65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6976297D"/>
    <w:multiLevelType w:val="hybridMultilevel"/>
    <w:tmpl w:val="86EED648"/>
    <w:lvl w:ilvl="0" w:tplc="32CAFA34">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74">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5">
    <w:nsid w:val="69F06C04"/>
    <w:multiLevelType w:val="hybridMultilevel"/>
    <w:tmpl w:val="71F0761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nsid w:val="6A050837"/>
    <w:multiLevelType w:val="hybridMultilevel"/>
    <w:tmpl w:val="9BD486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79">
    <w:nsid w:val="6F596A7D"/>
    <w:multiLevelType w:val="hybridMultilevel"/>
    <w:tmpl w:val="1936AA4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6FD7536F"/>
    <w:multiLevelType w:val="hybridMultilevel"/>
    <w:tmpl w:val="1024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83">
    <w:nsid w:val="7128503E"/>
    <w:multiLevelType w:val="hybridMultilevel"/>
    <w:tmpl w:val="46B2ABEE"/>
    <w:lvl w:ilvl="0" w:tplc="4EA4596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85">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6">
    <w:nsid w:val="72725AFC"/>
    <w:multiLevelType w:val="hybridMultilevel"/>
    <w:tmpl w:val="65AE1B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8">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745A6A6C"/>
    <w:multiLevelType w:val="hybridMultilevel"/>
    <w:tmpl w:val="B4B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91">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2">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93">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94">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5">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96">
    <w:nsid w:val="772936E4"/>
    <w:multiLevelType w:val="multilevel"/>
    <w:tmpl w:val="81229740"/>
    <w:lvl w:ilvl="0">
      <w:start w:val="1"/>
      <w:numFmt w:val="decimal"/>
      <w:pStyle w:val="GPSL1CLAUSEHEADING"/>
      <w:lvlText w:val="%1."/>
      <w:lvlJc w:val="left"/>
      <w:pPr>
        <w:ind w:left="1080" w:hanging="360"/>
      </w:pPr>
      <w:rPr>
        <w:rFonts w:hint="default"/>
        <w:i w:val="0"/>
      </w:rPr>
    </w:lvl>
    <w:lvl w:ilvl="1">
      <w:start w:val="1"/>
      <w:numFmt w:val="decimal"/>
      <w:pStyle w:val="GPSL2NumberedBoldHeading"/>
      <w:isLgl/>
      <w:lvlText w:val="%1.%2"/>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35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349"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4134" w:hanging="108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800" w:hanging="1080"/>
      </w:pPr>
      <w:rPr>
        <w:rFonts w:ascii="Arial" w:eastAsia="Times New Roman" w:hAnsi="Arial" w:cs="Arial" w:hint="default"/>
        <w:color w:val="auto"/>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7">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8">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9">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0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01">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2">
    <w:nsid w:val="7AF02A2A"/>
    <w:multiLevelType w:val="multilevel"/>
    <w:tmpl w:val="0809001F"/>
    <w:numStyleLink w:val="111111"/>
  </w:abstractNum>
  <w:abstractNum w:abstractNumId="203">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4">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5">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6">
    <w:nsid w:val="7F0B1804"/>
    <w:multiLevelType w:val="hybridMultilevel"/>
    <w:tmpl w:val="08E6A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nsid w:val="7F442DD2"/>
    <w:multiLevelType w:val="hybridMultilevel"/>
    <w:tmpl w:val="3C24B1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09">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86"/>
  </w:num>
  <w:num w:numId="13">
    <w:abstractNumId w:val="17"/>
  </w:num>
  <w:num w:numId="14">
    <w:abstractNumId w:val="92"/>
  </w:num>
  <w:num w:numId="15">
    <w:abstractNumId w:val="66"/>
  </w:num>
  <w:num w:numId="16">
    <w:abstractNumId w:val="178"/>
  </w:num>
  <w:num w:numId="17">
    <w:abstractNumId w:val="26"/>
  </w:num>
  <w:num w:numId="18">
    <w:abstractNumId w:val="200"/>
  </w:num>
  <w:num w:numId="19">
    <w:abstractNumId w:val="208"/>
  </w:num>
  <w:num w:numId="20">
    <w:abstractNumId w:val="130"/>
  </w:num>
  <w:num w:numId="21">
    <w:abstractNumId w:val="127"/>
  </w:num>
  <w:num w:numId="22">
    <w:abstractNumId w:val="173"/>
  </w:num>
  <w:num w:numId="23">
    <w:abstractNumId w:val="42"/>
  </w:num>
  <w:num w:numId="24">
    <w:abstractNumId w:val="19"/>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84"/>
  </w:num>
  <w:num w:numId="26">
    <w:abstractNumId w:val="140"/>
  </w:num>
  <w:num w:numId="27">
    <w:abstractNumId w:val="79"/>
  </w:num>
  <w:num w:numId="28">
    <w:abstractNumId w:val="124"/>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05"/>
  </w:num>
  <w:num w:numId="38">
    <w:abstractNumId w:val="64"/>
  </w:num>
  <w:num w:numId="39">
    <w:abstractNumId w:val="122"/>
  </w:num>
  <w:num w:numId="40">
    <w:abstractNumId w:val="202"/>
  </w:num>
  <w:num w:numId="41">
    <w:abstractNumId w:val="113"/>
  </w:num>
  <w:num w:numId="42">
    <w:abstractNumId w:val="47"/>
  </w:num>
  <w:num w:numId="43">
    <w:abstractNumId w:val="157"/>
  </w:num>
  <w:num w:numId="44">
    <w:abstractNumId w:val="60"/>
  </w:num>
  <w:num w:numId="45">
    <w:abstractNumId w:val="97"/>
  </w:num>
  <w:num w:numId="46">
    <w:abstractNumId w:val="129"/>
  </w:num>
  <w:num w:numId="47">
    <w:abstractNumId w:val="56"/>
  </w:num>
  <w:num w:numId="48">
    <w:abstractNumId w:val="152"/>
  </w:num>
  <w:num w:numId="49">
    <w:abstractNumId w:val="117"/>
  </w:num>
  <w:num w:numId="50">
    <w:abstractNumId w:val="58"/>
  </w:num>
  <w:num w:numId="51">
    <w:abstractNumId w:val="128"/>
  </w:num>
  <w:num w:numId="52">
    <w:abstractNumId w:val="31"/>
  </w:num>
  <w:num w:numId="53">
    <w:abstractNumId w:val="136"/>
  </w:num>
  <w:num w:numId="54">
    <w:abstractNumId w:val="99"/>
  </w:num>
  <w:num w:numId="55">
    <w:abstractNumId w:val="24"/>
  </w:num>
  <w:num w:numId="56">
    <w:abstractNumId w:val="126"/>
  </w:num>
  <w:num w:numId="57">
    <w:abstractNumId w:val="132"/>
  </w:num>
  <w:num w:numId="58">
    <w:abstractNumId w:val="108"/>
  </w:num>
  <w:num w:numId="59">
    <w:abstractNumId w:val="62"/>
  </w:num>
  <w:num w:numId="60">
    <w:abstractNumId w:val="96"/>
  </w:num>
  <w:num w:numId="61">
    <w:abstractNumId w:val="40"/>
  </w:num>
  <w:num w:numId="62">
    <w:abstractNumId w:val="193"/>
  </w:num>
  <w:num w:numId="63">
    <w:abstractNumId w:val="119"/>
  </w:num>
  <w:num w:numId="64">
    <w:abstractNumId w:val="118"/>
  </w:num>
  <w:num w:numId="65">
    <w:abstractNumId w:val="199"/>
  </w:num>
  <w:num w:numId="66">
    <w:abstractNumId w:val="46"/>
  </w:num>
  <w:num w:numId="67">
    <w:abstractNumId w:val="84"/>
  </w:num>
  <w:num w:numId="68">
    <w:abstractNumId w:val="141"/>
  </w:num>
  <w:num w:numId="69">
    <w:abstractNumId w:val="110"/>
  </w:num>
  <w:num w:numId="70">
    <w:abstractNumId w:val="182"/>
  </w:num>
  <w:num w:numId="71">
    <w:abstractNumId w:val="20"/>
  </w:num>
  <w:num w:numId="72">
    <w:abstractNumId w:val="75"/>
  </w:num>
  <w:num w:numId="73">
    <w:abstractNumId w:val="154"/>
  </w:num>
  <w:num w:numId="74">
    <w:abstractNumId w:val="195"/>
  </w:num>
  <w:num w:numId="75">
    <w:abstractNumId w:val="185"/>
  </w:num>
  <w:num w:numId="76">
    <w:abstractNumId w:val="66"/>
  </w:num>
  <w:num w:numId="77">
    <w:abstractNumId w:val="1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81"/>
  </w:num>
  <w:num w:numId="79">
    <w:abstractNumId w:val="81"/>
  </w:num>
  <w:num w:numId="80">
    <w:abstractNumId w:val="63"/>
  </w:num>
  <w:num w:numId="81">
    <w:abstractNumId w:val="81"/>
  </w:num>
  <w:num w:numId="82">
    <w:abstractNumId w:val="119"/>
  </w:num>
  <w:num w:numId="83">
    <w:abstractNumId w:val="177"/>
  </w:num>
  <w:num w:numId="84">
    <w:abstractNumId w:val="29"/>
  </w:num>
  <w:num w:numId="85">
    <w:abstractNumId w:val="164"/>
  </w:num>
  <w:num w:numId="86">
    <w:abstractNumId w:val="81"/>
  </w:num>
  <w:num w:numId="87">
    <w:abstractNumId w:val="119"/>
  </w:num>
  <w:num w:numId="88">
    <w:abstractNumId w:val="33"/>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59"/>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93"/>
  </w:num>
  <w:num w:numId="102">
    <w:abstractNumId w:val="209"/>
  </w:num>
  <w:num w:numId="103">
    <w:abstractNumId w:val="209"/>
    <w:lvlOverride w:ilvl="0">
      <w:startOverride w:val="1"/>
    </w:lvlOverride>
  </w:num>
  <w:num w:numId="104">
    <w:abstractNumId w:val="209"/>
    <w:lvlOverride w:ilvl="0">
      <w:startOverride w:val="1"/>
    </w:lvlOverride>
  </w:num>
  <w:num w:numId="105">
    <w:abstractNumId w:val="209"/>
    <w:lvlOverride w:ilvl="0">
      <w:startOverride w:val="1"/>
    </w:lvlOverride>
  </w:num>
  <w:num w:numId="106">
    <w:abstractNumId w:val="209"/>
    <w:lvlOverride w:ilvl="0">
      <w:startOverride w:val="1"/>
    </w:lvlOverride>
  </w:num>
  <w:num w:numId="107">
    <w:abstractNumId w:val="209"/>
    <w:lvlOverride w:ilvl="0">
      <w:startOverride w:val="1"/>
    </w:lvlOverride>
  </w:num>
  <w:num w:numId="108">
    <w:abstractNumId w:val="209"/>
    <w:lvlOverride w:ilvl="0">
      <w:startOverride w:val="1"/>
    </w:lvlOverride>
  </w:num>
  <w:num w:numId="10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9"/>
    <w:lvlOverride w:ilvl="0">
      <w:startOverride w:val="1"/>
    </w:lvlOverride>
  </w:num>
  <w:num w:numId="12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9"/>
    <w:lvlOverride w:ilvl="0">
      <w:startOverride w:val="1"/>
    </w:lvlOverride>
  </w:num>
  <w:num w:numId="134">
    <w:abstractNumId w:val="209"/>
    <w:lvlOverride w:ilvl="0">
      <w:startOverride w:val="1"/>
    </w:lvlOverride>
  </w:num>
  <w:num w:numId="13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7"/>
  </w:num>
  <w:num w:numId="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3"/>
    <w:lvlOverride w:ilvl="0">
      <w:startOverride w:val="1"/>
    </w:lvlOverride>
  </w:num>
  <w:num w:numId="143">
    <w:abstractNumId w:val="93"/>
    <w:lvlOverride w:ilvl="0">
      <w:startOverride w:val="1"/>
    </w:lvlOverride>
  </w:num>
  <w:num w:numId="144">
    <w:abstractNumId w:val="17"/>
  </w:num>
  <w:num w:numId="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7"/>
  </w:num>
  <w:num w:numId="15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0"/>
  </w:num>
  <w:num w:numId="159">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98"/>
  </w:num>
  <w:num w:numId="164">
    <w:abstractNumId w:val="14"/>
  </w:num>
  <w:num w:numId="165">
    <w:abstractNumId w:val="103"/>
  </w:num>
  <w:num w:numId="1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9"/>
  </w:num>
  <w:num w:numId="172">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9"/>
  </w:num>
  <w:num w:numId="182">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9"/>
  </w:num>
  <w:num w:numId="1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9"/>
  </w:num>
  <w:num w:numId="191">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9"/>
  </w:num>
  <w:num w:numId="195">
    <w:abstractNumId w:val="6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9"/>
  </w:num>
  <w:num w:numId="197">
    <w:abstractNumId w:val="69"/>
  </w:num>
  <w:num w:numId="198">
    <w:abstractNumId w:val="69"/>
  </w:num>
  <w:num w:numId="199">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03"/>
  </w:num>
  <w:num w:numId="211">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9"/>
  </w:num>
  <w:num w:numId="2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48"/>
  </w:num>
  <w:num w:numId="216">
    <w:abstractNumId w:val="69"/>
  </w:num>
  <w:num w:numId="2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9"/>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69"/>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119"/>
  </w:num>
  <w:num w:numId="226">
    <w:abstractNumId w:val="119"/>
  </w:num>
  <w:num w:numId="227">
    <w:abstractNumId w:val="119"/>
  </w:num>
  <w:num w:numId="228">
    <w:abstractNumId w:val="119"/>
  </w:num>
  <w:num w:numId="229">
    <w:abstractNumId w:val="119"/>
  </w:num>
  <w:num w:numId="230">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45"/>
  </w:num>
  <w:num w:numId="234">
    <w:abstractNumId w:val="194"/>
  </w:num>
  <w:num w:numId="2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4"/>
  </w:num>
  <w:num w:numId="238">
    <w:abstractNumId w:val="69"/>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109"/>
  </w:num>
  <w:num w:numId="240">
    <w:abstractNumId w:val="119"/>
  </w:num>
  <w:num w:numId="241">
    <w:abstractNumId w:val="159"/>
  </w:num>
  <w:num w:numId="242">
    <w:abstractNumId w:val="144"/>
  </w:num>
  <w:num w:numId="243">
    <w:abstractNumId w:val="22"/>
  </w:num>
  <w:num w:numId="244">
    <w:abstractNumId w:val="188"/>
  </w:num>
  <w:num w:numId="24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44"/>
  </w:num>
  <w:num w:numId="247">
    <w:abstractNumId w:val="144"/>
  </w:num>
  <w:num w:numId="248">
    <w:abstractNumId w:val="144"/>
  </w:num>
  <w:num w:numId="249">
    <w:abstractNumId w:val="144"/>
  </w:num>
  <w:num w:numId="250">
    <w:abstractNumId w:val="144"/>
  </w:num>
  <w:num w:numId="251">
    <w:abstractNumId w:val="144"/>
  </w:num>
  <w:num w:numId="252">
    <w:abstractNumId w:val="144"/>
  </w:num>
  <w:num w:numId="2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
  </w:num>
  <w:num w:numId="256">
    <w:abstractNumId w:val="104"/>
  </w:num>
  <w:num w:numId="257">
    <w:abstractNumId w:val="119"/>
    <w:lvlOverride w:ilvl="0">
      <w:startOverride w:val="1"/>
    </w:lvlOverride>
    <w:lvlOverride w:ilvl="1">
      <w:startOverride w:val="2"/>
    </w:lvlOverride>
    <w:lvlOverride w:ilvl="2">
      <w:startOverride w:val="3"/>
    </w:lvlOverride>
  </w:num>
  <w:num w:numId="258">
    <w:abstractNumId w:val="147"/>
  </w:num>
  <w:num w:numId="259">
    <w:abstractNumId w:val="201"/>
  </w:num>
  <w:num w:numId="260">
    <w:abstractNumId w:val="30"/>
  </w:num>
  <w:num w:numId="261">
    <w:abstractNumId w:val="119"/>
    <w:lvlOverride w:ilvl="0">
      <w:startOverride w:val="1"/>
    </w:lvlOverride>
    <w:lvlOverride w:ilvl="1">
      <w:startOverride w:val="2"/>
    </w:lvlOverride>
    <w:lvlOverride w:ilvl="2">
      <w:startOverride w:val="3"/>
    </w:lvlOverride>
  </w:num>
  <w:num w:numId="262">
    <w:abstractNumId w:val="119"/>
    <w:lvlOverride w:ilvl="0">
      <w:startOverride w:val="1"/>
    </w:lvlOverride>
    <w:lvlOverride w:ilvl="1">
      <w:startOverride w:val="2"/>
    </w:lvlOverride>
    <w:lvlOverride w:ilvl="2">
      <w:startOverride w:val="5"/>
    </w:lvlOverride>
  </w:num>
  <w:num w:numId="263">
    <w:abstractNumId w:val="119"/>
    <w:lvlOverride w:ilvl="0">
      <w:startOverride w:val="1"/>
    </w:lvlOverride>
    <w:lvlOverride w:ilvl="1">
      <w:startOverride w:val="25"/>
    </w:lvlOverride>
  </w:num>
  <w:num w:numId="264">
    <w:abstractNumId w:val="119"/>
    <w:lvlOverride w:ilvl="0">
      <w:startOverride w:val="1"/>
    </w:lvlOverride>
    <w:lvlOverride w:ilvl="1">
      <w:startOverride w:val="2"/>
    </w:lvlOverride>
    <w:lvlOverride w:ilvl="2">
      <w:startOverride w:val="5"/>
    </w:lvlOverride>
  </w:num>
  <w:num w:numId="265">
    <w:abstractNumId w:val="119"/>
    <w:lvlOverride w:ilvl="0">
      <w:startOverride w:val="1"/>
    </w:lvlOverride>
    <w:lvlOverride w:ilvl="1">
      <w:startOverride w:val="2"/>
    </w:lvlOverride>
    <w:lvlOverride w:ilvl="2">
      <w:startOverride w:val="6"/>
    </w:lvlOverride>
  </w:num>
  <w:num w:numId="266">
    <w:abstractNumId w:val="197"/>
  </w:num>
  <w:num w:numId="267">
    <w:abstractNumId w:val="76"/>
  </w:num>
  <w:num w:numId="268">
    <w:abstractNumId w:val="119"/>
    <w:lvlOverride w:ilvl="0">
      <w:startOverride w:val="6"/>
    </w:lvlOverride>
    <w:lvlOverride w:ilvl="1">
      <w:startOverride w:val="4"/>
    </w:lvlOverride>
  </w:num>
  <w:num w:numId="269">
    <w:abstractNumId w:val="90"/>
  </w:num>
  <w:num w:numId="270">
    <w:abstractNumId w:val="205"/>
  </w:num>
  <w:num w:numId="271">
    <w:abstractNumId w:val="119"/>
    <w:lvlOverride w:ilvl="0">
      <w:startOverride w:val="7"/>
    </w:lvlOverride>
    <w:lvlOverride w:ilvl="1">
      <w:startOverride w:val="3"/>
    </w:lvlOverride>
  </w:num>
  <w:num w:numId="272">
    <w:abstractNumId w:val="73"/>
  </w:num>
  <w:num w:numId="273">
    <w:abstractNumId w:val="119"/>
    <w:lvlOverride w:ilvl="0">
      <w:startOverride w:val="7"/>
    </w:lvlOverride>
    <w:lvlOverride w:ilvl="1">
      <w:startOverride w:val="5"/>
    </w:lvlOverride>
  </w:num>
  <w:num w:numId="274">
    <w:abstractNumId w:val="161"/>
  </w:num>
  <w:num w:numId="275">
    <w:abstractNumId w:val="153"/>
  </w:num>
  <w:num w:numId="276">
    <w:abstractNumId w:val="119"/>
    <w:lvlOverride w:ilvl="0">
      <w:startOverride w:val="12"/>
    </w:lvlOverride>
    <w:lvlOverride w:ilvl="1">
      <w:startOverride w:val="2"/>
    </w:lvlOverride>
  </w:num>
  <w:num w:numId="277">
    <w:abstractNumId w:val="85"/>
  </w:num>
  <w:num w:numId="278">
    <w:abstractNumId w:val="203"/>
  </w:num>
  <w:num w:numId="279">
    <w:abstractNumId w:val="119"/>
    <w:lvlOverride w:ilvl="0">
      <w:startOverride w:val="14"/>
    </w:lvlOverride>
  </w:num>
  <w:num w:numId="280">
    <w:abstractNumId w:val="119"/>
    <w:lvlOverride w:ilvl="0">
      <w:startOverride w:val="13"/>
    </w:lvlOverride>
    <w:lvlOverride w:ilvl="1">
      <w:startOverride w:val="10"/>
    </w:lvlOverride>
  </w:num>
  <w:num w:numId="281">
    <w:abstractNumId w:val="209"/>
    <w:lvlOverride w:ilvl="0">
      <w:startOverride w:val="1"/>
    </w:lvlOverride>
  </w:num>
  <w:num w:numId="282">
    <w:abstractNumId w:val="209"/>
    <w:lvlOverride w:ilvl="0">
      <w:startOverride w:val="1"/>
    </w:lvlOverride>
  </w:num>
  <w:num w:numId="283">
    <w:abstractNumId w:val="209"/>
    <w:lvlOverride w:ilvl="0">
      <w:startOverride w:val="1"/>
    </w:lvlOverride>
  </w:num>
  <w:num w:numId="284">
    <w:abstractNumId w:val="138"/>
  </w:num>
  <w:num w:numId="285">
    <w:abstractNumId w:val="190"/>
  </w:num>
  <w:num w:numId="286">
    <w:abstractNumId w:val="119"/>
    <w:lvlOverride w:ilvl="0">
      <w:startOverride w:val="13"/>
    </w:lvlOverride>
  </w:num>
  <w:num w:numId="287">
    <w:abstractNumId w:val="66"/>
    <w:lvlOverride w:ilvl="0">
      <w:startOverride w:val="1"/>
    </w:lvlOverride>
    <w:lvlOverride w:ilvl="1">
      <w:startOverride w:val="3"/>
    </w:lvlOverride>
  </w:num>
  <w:num w:numId="288">
    <w:abstractNumId w:val="121"/>
  </w:num>
  <w:num w:numId="289">
    <w:abstractNumId w:val="28"/>
  </w:num>
  <w:num w:numId="290">
    <w:abstractNumId w:val="119"/>
    <w:lvlOverride w:ilvl="0">
      <w:startOverride w:val="19"/>
    </w:lvlOverride>
    <w:lvlOverride w:ilvl="1">
      <w:startOverride w:val="3"/>
    </w:lvlOverride>
  </w:num>
  <w:num w:numId="291">
    <w:abstractNumId w:val="52"/>
  </w:num>
  <w:num w:numId="292">
    <w:abstractNumId w:val="119"/>
    <w:lvlOverride w:ilvl="0">
      <w:startOverride w:val="21"/>
    </w:lvlOverride>
    <w:lvlOverride w:ilvl="1">
      <w:startOverride w:val="4"/>
    </w:lvlOverride>
    <w:lvlOverride w:ilvl="2">
      <w:startOverride w:val="1"/>
    </w:lvlOverride>
  </w:num>
  <w:num w:numId="293">
    <w:abstractNumId w:val="192"/>
  </w:num>
  <w:num w:numId="294">
    <w:abstractNumId w:val="119"/>
    <w:lvlOverride w:ilvl="0">
      <w:startOverride w:val="21"/>
    </w:lvlOverride>
    <w:lvlOverride w:ilvl="1">
      <w:startOverride w:val="4"/>
    </w:lvlOverride>
    <w:lvlOverride w:ilvl="2">
      <w:startOverride w:val="4"/>
    </w:lvlOverride>
  </w:num>
  <w:num w:numId="295">
    <w:abstractNumId w:val="119"/>
    <w:lvlOverride w:ilvl="0">
      <w:startOverride w:val="21"/>
    </w:lvlOverride>
    <w:lvlOverride w:ilvl="1">
      <w:startOverride w:val="4"/>
    </w:lvlOverride>
    <w:lvlOverride w:ilvl="2">
      <w:startOverride w:val="2"/>
    </w:lvlOverride>
  </w:num>
  <w:num w:numId="296">
    <w:abstractNumId w:val="119"/>
    <w:lvlOverride w:ilvl="0">
      <w:startOverride w:val="21"/>
    </w:lvlOverride>
    <w:lvlOverride w:ilvl="1">
      <w:startOverride w:val="4"/>
    </w:lvlOverride>
    <w:lvlOverride w:ilvl="2">
      <w:startOverride w:val="2"/>
    </w:lvlOverride>
  </w:num>
  <w:num w:numId="297">
    <w:abstractNumId w:val="150"/>
  </w:num>
  <w:num w:numId="298">
    <w:abstractNumId w:val="119"/>
    <w:lvlOverride w:ilvl="0">
      <w:startOverride w:val="21"/>
    </w:lvlOverride>
    <w:lvlOverride w:ilvl="1">
      <w:startOverride w:val="4"/>
    </w:lvlOverride>
    <w:lvlOverride w:ilvl="2">
      <w:startOverride w:val="3"/>
    </w:lvlOverride>
  </w:num>
  <w:num w:numId="299">
    <w:abstractNumId w:val="119"/>
    <w:lvlOverride w:ilvl="0">
      <w:startOverride w:val="21"/>
    </w:lvlOverride>
    <w:lvlOverride w:ilvl="1">
      <w:startOverride w:val="4"/>
    </w:lvlOverride>
    <w:lvlOverride w:ilvl="2">
      <w:startOverride w:val="3"/>
    </w:lvlOverride>
  </w:num>
  <w:num w:numId="300">
    <w:abstractNumId w:val="119"/>
    <w:lvlOverride w:ilvl="0">
      <w:startOverride w:val="21"/>
    </w:lvlOverride>
    <w:lvlOverride w:ilvl="1">
      <w:startOverride w:val="4"/>
    </w:lvlOverride>
    <w:lvlOverride w:ilvl="2">
      <w:startOverride w:val="3"/>
    </w:lvlOverride>
  </w:num>
  <w:num w:numId="301">
    <w:abstractNumId w:val="119"/>
    <w:lvlOverride w:ilvl="0">
      <w:startOverride w:val="21"/>
    </w:lvlOverride>
    <w:lvlOverride w:ilvl="1">
      <w:startOverride w:val="4"/>
    </w:lvlOverride>
    <w:lvlOverride w:ilvl="2">
      <w:startOverride w:val="4"/>
    </w:lvlOverride>
  </w:num>
  <w:num w:numId="302">
    <w:abstractNumId w:val="119"/>
    <w:lvlOverride w:ilvl="0">
      <w:startOverride w:val="21"/>
    </w:lvlOverride>
    <w:lvlOverride w:ilvl="1">
      <w:startOverride w:val="4"/>
    </w:lvlOverride>
    <w:lvlOverride w:ilvl="2">
      <w:startOverride w:val="4"/>
    </w:lvlOverride>
  </w:num>
  <w:num w:numId="303">
    <w:abstractNumId w:val="119"/>
    <w:lvlOverride w:ilvl="0">
      <w:startOverride w:val="21"/>
    </w:lvlOverride>
    <w:lvlOverride w:ilvl="1">
      <w:startOverride w:val="4"/>
    </w:lvlOverride>
    <w:lvlOverride w:ilvl="2">
      <w:startOverride w:val="6"/>
    </w:lvlOverride>
  </w:num>
  <w:num w:numId="304">
    <w:abstractNumId w:val="119"/>
    <w:lvlOverride w:ilvl="0">
      <w:startOverride w:val="21"/>
    </w:lvlOverride>
    <w:lvlOverride w:ilvl="1">
      <w:startOverride w:val="4"/>
    </w:lvlOverride>
    <w:lvlOverride w:ilvl="2">
      <w:startOverride w:val="7"/>
    </w:lvlOverride>
  </w:num>
  <w:num w:numId="305">
    <w:abstractNumId w:val="135"/>
  </w:num>
  <w:num w:numId="306">
    <w:abstractNumId w:val="94"/>
  </w:num>
  <w:num w:numId="307">
    <w:abstractNumId w:val="119"/>
    <w:lvlOverride w:ilvl="0">
      <w:startOverride w:val="21"/>
    </w:lvlOverride>
    <w:lvlOverride w:ilvl="1">
      <w:startOverride w:val="9"/>
    </w:lvlOverride>
    <w:lvlOverride w:ilvl="2">
      <w:startOverride w:val="1"/>
    </w:lvlOverride>
  </w:num>
  <w:num w:numId="308">
    <w:abstractNumId w:val="119"/>
    <w:lvlOverride w:ilvl="0">
      <w:startOverride w:val="21"/>
    </w:lvlOverride>
    <w:lvlOverride w:ilvl="1">
      <w:startOverride w:val="9"/>
    </w:lvlOverride>
    <w:lvlOverride w:ilvl="2">
      <w:startOverride w:val="1"/>
    </w:lvlOverride>
  </w:num>
  <w:num w:numId="309">
    <w:abstractNumId w:val="74"/>
  </w:num>
  <w:num w:numId="3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6"/>
    <w:lvlOverride w:ilvl="0">
      <w:startOverride w:val="1"/>
    </w:lvlOverride>
    <w:lvlOverride w:ilvl="1">
      <w:startOverride w:val="4"/>
    </w:lvlOverride>
  </w:num>
  <w:num w:numId="312">
    <w:abstractNumId w:val="119"/>
    <w:lvlOverride w:ilvl="0">
      <w:startOverride w:val="24"/>
    </w:lvlOverride>
    <w:lvlOverride w:ilvl="1">
      <w:startOverride w:val="3"/>
    </w:lvlOverride>
    <w:lvlOverride w:ilvl="2">
      <w:startOverride w:val="3"/>
    </w:lvlOverride>
  </w:num>
  <w:num w:numId="313">
    <w:abstractNumId w:val="158"/>
  </w:num>
  <w:num w:numId="314">
    <w:abstractNumId w:val="143"/>
  </w:num>
  <w:num w:numId="315">
    <w:abstractNumId w:val="180"/>
  </w:num>
  <w:num w:numId="3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96"/>
  </w:num>
  <w:num w:numId="324">
    <w:abstractNumId w:val="19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96"/>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9"/>
  </w:num>
  <w:num w:numId="339">
    <w:abstractNumId w:val="39"/>
  </w:num>
  <w:num w:numId="340">
    <w:abstractNumId w:val="39"/>
  </w:num>
  <w:num w:numId="341">
    <w:abstractNumId w:val="39"/>
  </w:num>
  <w:num w:numId="342">
    <w:abstractNumId w:val="39"/>
  </w:num>
  <w:num w:numId="343">
    <w:abstractNumId w:val="196"/>
  </w:num>
  <w:num w:numId="344">
    <w:abstractNumId w:val="196"/>
  </w:num>
  <w:num w:numId="345">
    <w:abstractNumId w:val="196"/>
  </w:num>
  <w:num w:numId="346">
    <w:abstractNumId w:val="196"/>
  </w:num>
  <w:num w:numId="347">
    <w:abstractNumId w:val="21"/>
  </w:num>
  <w:num w:numId="348">
    <w:abstractNumId w:val="196"/>
  </w:num>
  <w:num w:numId="349">
    <w:abstractNumId w:val="196"/>
  </w:num>
  <w:num w:numId="350">
    <w:abstractNumId w:val="196"/>
  </w:num>
  <w:num w:numId="351">
    <w:abstractNumId w:val="196"/>
  </w:num>
  <w:num w:numId="352">
    <w:abstractNumId w:val="196"/>
  </w:num>
  <w:num w:numId="353">
    <w:abstractNumId w:val="172"/>
  </w:num>
  <w:num w:numId="354">
    <w:abstractNumId w:val="196"/>
  </w:num>
  <w:num w:numId="355">
    <w:abstractNumId w:val="196"/>
  </w:num>
  <w:num w:numId="356">
    <w:abstractNumId w:val="39"/>
  </w:num>
  <w:num w:numId="357">
    <w:abstractNumId w:val="53"/>
  </w:num>
  <w:num w:numId="358">
    <w:abstractNumId w:val="82"/>
  </w:num>
  <w:num w:numId="359">
    <w:abstractNumId w:val="70"/>
  </w:num>
  <w:num w:numId="360">
    <w:abstractNumId w:val="142"/>
  </w:num>
  <w:num w:numId="3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6"/>
  </w:num>
  <w:num w:numId="364">
    <w:abstractNumId w:val="44"/>
  </w:num>
  <w:num w:numId="365">
    <w:abstractNumId w:val="45"/>
  </w:num>
  <w:num w:numId="366">
    <w:abstractNumId w:val="88"/>
  </w:num>
  <w:num w:numId="367">
    <w:abstractNumId w:val="174"/>
  </w:num>
  <w:num w:numId="368">
    <w:abstractNumId w:val="16"/>
  </w:num>
  <w:num w:numId="369">
    <w:abstractNumId w:val="137"/>
  </w:num>
  <w:num w:numId="370">
    <w:abstractNumId w:val="13"/>
  </w:num>
  <w:num w:numId="371">
    <w:abstractNumId w:val="204"/>
  </w:num>
  <w:num w:numId="372">
    <w:abstractNumId w:val="37"/>
  </w:num>
  <w:num w:numId="373">
    <w:abstractNumId w:val="187"/>
  </w:num>
  <w:num w:numId="374">
    <w:abstractNumId w:val="149"/>
  </w:num>
  <w:num w:numId="375">
    <w:abstractNumId w:val="155"/>
  </w:num>
  <w:num w:numId="376">
    <w:abstractNumId w:val="191"/>
  </w:num>
  <w:num w:numId="377">
    <w:abstractNumId w:val="91"/>
  </w:num>
  <w:num w:numId="378">
    <w:abstractNumId w:val="107"/>
  </w:num>
  <w:num w:numId="379">
    <w:abstractNumId w:val="35"/>
  </w:num>
  <w:num w:numId="380">
    <w:abstractNumId w:val="151"/>
  </w:num>
  <w:num w:numId="381">
    <w:abstractNumId w:val="139"/>
  </w:num>
  <w:num w:numId="382">
    <w:abstractNumId w:val="125"/>
  </w:num>
  <w:num w:numId="383">
    <w:abstractNumId w:val="166"/>
  </w:num>
  <w:num w:numId="384">
    <w:abstractNumId w:val="111"/>
  </w:num>
  <w:num w:numId="385">
    <w:abstractNumId w:val="160"/>
  </w:num>
  <w:num w:numId="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9"/>
  </w:num>
  <w:num w:numId="388">
    <w:abstractNumId w:val="196"/>
  </w:num>
  <w:num w:numId="389">
    <w:abstractNumId w:val="196"/>
  </w:num>
  <w:num w:numId="390">
    <w:abstractNumId w:val="196"/>
  </w:num>
  <w:num w:numId="391">
    <w:abstractNumId w:val="196"/>
  </w:num>
  <w:num w:numId="392">
    <w:abstractNumId w:val="196"/>
  </w:num>
  <w:num w:numId="393">
    <w:abstractNumId w:val="196"/>
  </w:num>
  <w:num w:numId="394">
    <w:abstractNumId w:val="196"/>
  </w:num>
  <w:num w:numId="395">
    <w:abstractNumId w:val="196"/>
  </w:num>
  <w:num w:numId="396">
    <w:abstractNumId w:val="196"/>
  </w:num>
  <w:num w:numId="397">
    <w:abstractNumId w:val="196"/>
  </w:num>
  <w:num w:numId="398">
    <w:abstractNumId w:val="196"/>
  </w:num>
  <w:num w:numId="399">
    <w:abstractNumId w:val="196"/>
  </w:num>
  <w:num w:numId="400">
    <w:abstractNumId w:val="196"/>
  </w:num>
  <w:num w:numId="401">
    <w:abstractNumId w:val="196"/>
  </w:num>
  <w:num w:numId="402">
    <w:abstractNumId w:val="196"/>
  </w:num>
  <w:num w:numId="403">
    <w:abstractNumId w:val="196"/>
  </w:num>
  <w:num w:numId="404">
    <w:abstractNumId w:val="196"/>
  </w:num>
  <w:num w:numId="405">
    <w:abstractNumId w:val="196"/>
  </w:num>
  <w:num w:numId="406">
    <w:abstractNumId w:val="196"/>
  </w:num>
  <w:num w:numId="407">
    <w:abstractNumId w:val="196"/>
  </w:num>
  <w:num w:numId="408">
    <w:abstractNumId w:val="196"/>
  </w:num>
  <w:num w:numId="409">
    <w:abstractNumId w:val="196"/>
  </w:num>
  <w:num w:numId="410">
    <w:abstractNumId w:val="196"/>
  </w:num>
  <w:num w:numId="411">
    <w:abstractNumId w:val="196"/>
  </w:num>
  <w:num w:numId="412">
    <w:abstractNumId w:val="196"/>
  </w:num>
  <w:num w:numId="413">
    <w:abstractNumId w:val="196"/>
  </w:num>
  <w:num w:numId="414">
    <w:abstractNumId w:val="196"/>
  </w:num>
  <w:num w:numId="415">
    <w:abstractNumId w:val="196"/>
  </w:num>
  <w:num w:numId="416">
    <w:abstractNumId w:val="196"/>
  </w:num>
  <w:num w:numId="417">
    <w:abstractNumId w:val="196"/>
  </w:num>
  <w:num w:numId="418">
    <w:abstractNumId w:val="196"/>
  </w:num>
  <w:num w:numId="419">
    <w:abstractNumId w:val="196"/>
  </w:num>
  <w:num w:numId="420">
    <w:abstractNumId w:val="196"/>
  </w:num>
  <w:num w:numId="421">
    <w:abstractNumId w:val="196"/>
  </w:num>
  <w:num w:numId="422">
    <w:abstractNumId w:val="196"/>
  </w:num>
  <w:num w:numId="423">
    <w:abstractNumId w:val="196"/>
  </w:num>
  <w:num w:numId="424">
    <w:abstractNumId w:val="196"/>
  </w:num>
  <w:num w:numId="425">
    <w:abstractNumId w:val="196"/>
  </w:num>
  <w:num w:numId="426">
    <w:abstractNumId w:val="196"/>
  </w:num>
  <w:num w:numId="427">
    <w:abstractNumId w:val="196"/>
  </w:num>
  <w:num w:numId="428">
    <w:abstractNumId w:val="196"/>
  </w:num>
  <w:num w:numId="429">
    <w:abstractNumId w:val="196"/>
  </w:num>
  <w:num w:numId="430">
    <w:abstractNumId w:val="196"/>
  </w:num>
  <w:num w:numId="431">
    <w:abstractNumId w:val="196"/>
  </w:num>
  <w:num w:numId="432">
    <w:abstractNumId w:val="196"/>
  </w:num>
  <w:num w:numId="433">
    <w:abstractNumId w:val="87"/>
  </w:num>
  <w:num w:numId="434">
    <w:abstractNumId w:val="196"/>
    <w:lvlOverride w:ilvl="0">
      <w:startOverride w:val="1"/>
    </w:lvlOverride>
    <w:lvlOverride w:ilvl="1">
      <w:startOverride w:val="1"/>
    </w:lvlOverride>
    <w:lvlOverride w:ilvl="2">
      <w:startOverride w:val="1"/>
    </w:lvlOverride>
    <w:lvlOverride w:ilvl="3">
      <w:startOverride w:val="3"/>
    </w:lvlOverride>
  </w:num>
  <w:num w:numId="435">
    <w:abstractNumId w:val="206"/>
  </w:num>
  <w:num w:numId="436">
    <w:abstractNumId w:val="183"/>
  </w:num>
  <w:num w:numId="437">
    <w:abstractNumId w:val="55"/>
  </w:num>
  <w:num w:numId="438">
    <w:abstractNumId w:val="68"/>
  </w:num>
  <w:num w:numId="439">
    <w:abstractNumId w:val="115"/>
  </w:num>
  <w:num w:numId="440">
    <w:abstractNumId w:val="18"/>
  </w:num>
  <w:num w:numId="441">
    <w:abstractNumId w:val="48"/>
  </w:num>
  <w:num w:numId="442">
    <w:abstractNumId w:val="65"/>
  </w:num>
  <w:num w:numId="443">
    <w:abstractNumId w:val="51"/>
  </w:num>
  <w:num w:numId="444">
    <w:abstractNumId w:val="67"/>
  </w:num>
  <w:num w:numId="445">
    <w:abstractNumId w:val="12"/>
  </w:num>
  <w:num w:numId="446">
    <w:abstractNumId w:val="106"/>
  </w:num>
  <w:num w:numId="447">
    <w:abstractNumId w:val="43"/>
  </w:num>
  <w:num w:numId="448">
    <w:abstractNumId w:val="38"/>
  </w:num>
  <w:num w:numId="449">
    <w:abstractNumId w:val="181"/>
  </w:num>
  <w:num w:numId="450">
    <w:abstractNumId w:val="83"/>
  </w:num>
  <w:num w:numId="451">
    <w:abstractNumId w:val="189"/>
  </w:num>
  <w:num w:numId="452">
    <w:abstractNumId w:val="134"/>
  </w:num>
  <w:num w:numId="453">
    <w:abstractNumId w:val="171"/>
  </w:num>
  <w:num w:numId="454">
    <w:abstractNumId w:val="89"/>
  </w:num>
  <w:num w:numId="455">
    <w:abstractNumId w:val="61"/>
  </w:num>
  <w:num w:numId="456">
    <w:abstractNumId w:val="196"/>
  </w:num>
  <w:num w:numId="457">
    <w:abstractNumId w:val="196"/>
  </w:num>
  <w:num w:numId="458">
    <w:abstractNumId w:val="168"/>
  </w:num>
  <w:num w:numId="459">
    <w:abstractNumId w:val="196"/>
  </w:num>
  <w:num w:numId="460">
    <w:abstractNumId w:val="163"/>
  </w:num>
  <w:num w:numId="461">
    <w:abstractNumId w:val="196"/>
  </w:num>
  <w:num w:numId="462">
    <w:abstractNumId w:val="196"/>
  </w:num>
  <w:num w:numId="463">
    <w:abstractNumId w:val="196"/>
  </w:num>
  <w:num w:numId="464">
    <w:abstractNumId w:val="196"/>
  </w:num>
  <w:num w:numId="465">
    <w:abstractNumId w:val="196"/>
  </w:num>
  <w:num w:numId="466">
    <w:abstractNumId w:val="196"/>
  </w:num>
  <w:num w:numId="467">
    <w:abstractNumId w:val="196"/>
  </w:num>
  <w:num w:numId="468">
    <w:abstractNumId w:val="196"/>
  </w:num>
  <w:num w:numId="469">
    <w:abstractNumId w:val="196"/>
  </w:num>
  <w:num w:numId="470">
    <w:abstractNumId w:val="167"/>
  </w:num>
  <w:num w:numId="471">
    <w:abstractNumId w:val="101"/>
  </w:num>
  <w:num w:numId="472">
    <w:abstractNumId w:val="165"/>
  </w:num>
  <w:num w:numId="473">
    <w:abstractNumId w:val="116"/>
  </w:num>
  <w:num w:numId="474">
    <w:abstractNumId w:val="34"/>
  </w:num>
  <w:num w:numId="475">
    <w:abstractNumId w:val="98"/>
  </w:num>
  <w:num w:numId="476">
    <w:abstractNumId w:val="112"/>
  </w:num>
  <w:num w:numId="477">
    <w:abstractNumId w:val="170"/>
  </w:num>
  <w:num w:numId="478">
    <w:abstractNumId w:val="102"/>
  </w:num>
  <w:num w:numId="479">
    <w:abstractNumId w:val="131"/>
  </w:num>
  <w:num w:numId="480">
    <w:abstractNumId w:val="176"/>
  </w:num>
  <w:num w:numId="481">
    <w:abstractNumId w:val="72"/>
  </w:num>
  <w:num w:numId="482">
    <w:abstractNumId w:val="32"/>
  </w:num>
  <w:num w:numId="483">
    <w:abstractNumId w:val="11"/>
  </w:num>
  <w:num w:numId="484">
    <w:abstractNumId w:val="186"/>
  </w:num>
  <w:num w:numId="485">
    <w:abstractNumId w:val="207"/>
  </w:num>
  <w:num w:numId="486">
    <w:abstractNumId w:val="169"/>
  </w:num>
  <w:num w:numId="487">
    <w:abstractNumId w:val="78"/>
  </w:num>
  <w:num w:numId="488">
    <w:abstractNumId w:val="95"/>
  </w:num>
  <w:num w:numId="489">
    <w:abstractNumId w:val="77"/>
  </w:num>
  <w:num w:numId="490">
    <w:abstractNumId w:val="25"/>
  </w:num>
  <w:num w:numId="491">
    <w:abstractNumId w:val="41"/>
  </w:num>
  <w:num w:numId="492">
    <w:abstractNumId w:val="179"/>
  </w:num>
  <w:num w:numId="493">
    <w:abstractNumId w:val="49"/>
  </w:num>
  <w:num w:numId="4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196"/>
  </w:num>
  <w:num w:numId="49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196"/>
  </w:num>
  <w:num w:numId="49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4"/>
    <w:lvlOverride w:ilvl="0">
      <w:startOverride w:val="1"/>
    </w:lvlOverride>
  </w:num>
  <w:num w:numId="502">
    <w:abstractNumId w:val="196"/>
  </w:num>
  <w:num w:numId="503">
    <w:abstractNumId w:val="196"/>
  </w:num>
  <w:num w:numId="504">
    <w:abstractNumId w:val="196"/>
  </w:num>
  <w:num w:numId="505">
    <w:abstractNumId w:val="196"/>
  </w:num>
  <w:num w:numId="506">
    <w:abstractNumId w:val="196"/>
  </w:num>
  <w:num w:numId="507">
    <w:abstractNumId w:val="196"/>
  </w:num>
  <w:num w:numId="50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96"/>
  </w:num>
  <w:num w:numId="51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196"/>
  </w:num>
  <w:num w:numId="512">
    <w:abstractNumId w:val="196"/>
  </w:num>
  <w:num w:numId="513">
    <w:abstractNumId w:val="196"/>
  </w:num>
  <w:num w:numId="51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196"/>
  </w:num>
  <w:num w:numId="516">
    <w:abstractNumId w:val="196"/>
  </w:num>
  <w:num w:numId="517">
    <w:abstractNumId w:val="196"/>
  </w:num>
  <w:num w:numId="518">
    <w:abstractNumId w:val="196"/>
  </w:num>
  <w:num w:numId="51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39"/>
  </w:num>
  <w:num w:numId="522">
    <w:abstractNumId w:val="196"/>
  </w:num>
  <w:num w:numId="523">
    <w:abstractNumId w:val="175"/>
  </w:num>
  <w:num w:numId="524">
    <w:abstractNumId w:val="50"/>
  </w:num>
  <w:num w:numId="525">
    <w:abstractNumId w:val="133"/>
  </w:num>
  <w:num w:numId="526">
    <w:abstractNumId w:val="80"/>
  </w:num>
  <w:num w:numId="527">
    <w:abstractNumId w:val="100"/>
  </w:num>
  <w:num w:numId="528">
    <w:abstractNumId w:val="146"/>
  </w:num>
  <w:num w:numId="529">
    <w:abstractNumId w:val="123"/>
  </w:num>
  <w:num w:numId="530">
    <w:abstractNumId w:val="196"/>
  </w:num>
  <w:num w:numId="531">
    <w:abstractNumId w:val="196"/>
  </w:num>
  <w:num w:numId="532">
    <w:abstractNumId w:val="196"/>
  </w:num>
  <w:num w:numId="53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96"/>
  </w:num>
  <w:num w:numId="53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96"/>
  </w:num>
  <w:num w:numId="53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96"/>
  </w:num>
  <w:num w:numId="540">
    <w:abstractNumId w:val="196"/>
  </w:num>
  <w:num w:numId="54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96"/>
  </w:num>
  <w:num w:numId="543">
    <w:abstractNumId w:val="196"/>
  </w:num>
  <w:num w:numId="544">
    <w:abstractNumId w:val="196"/>
  </w:num>
  <w:num w:numId="545">
    <w:abstractNumId w:val="196"/>
  </w:num>
  <w:num w:numId="546">
    <w:abstractNumId w:val="196"/>
  </w:num>
  <w:num w:numId="547">
    <w:abstractNumId w:val="196"/>
  </w:num>
  <w:num w:numId="548">
    <w:abstractNumId w:val="196"/>
  </w:num>
  <w:num w:numId="54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196"/>
  </w:num>
  <w:num w:numId="55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96"/>
  </w:num>
  <w:num w:numId="55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22/08/2013"/>
    <w:docVar w:name="ASSOCID" w:val="316146"/>
    <w:docVar w:name="BASEPRECID" w:val="17"/>
    <w:docVar w:name="BASEPRECTYPE" w:val="BLANK"/>
    <w:docVar w:name="CLIENTID" w:val="2427"/>
    <w:docVar w:name="COMPANYID" w:val="2122615613"/>
    <w:docVar w:name="DOCID" w:val="2467805"/>
    <w:docVar w:name="DOCIDEX" w:val=" "/>
    <w:docVar w:name="EDITION" w:val="FM"/>
    <w:docVar w:name="FILEID" w:val="73984"/>
    <w:docVar w:name="SERIALNO" w:val="11311"/>
    <w:docVar w:name="VERSIONID" w:val="1c35d809-07c1-4a66-be6c-99970f0758fd"/>
    <w:docVar w:name="VERSIONLABEL" w:val="1"/>
  </w:docVars>
  <w:rsids>
    <w:rsidRoot w:val="00191BFE"/>
    <w:rsid w:val="0000057E"/>
    <w:rsid w:val="00000B4D"/>
    <w:rsid w:val="00000DBC"/>
    <w:rsid w:val="00001562"/>
    <w:rsid w:val="00001A0F"/>
    <w:rsid w:val="00002C1D"/>
    <w:rsid w:val="00003234"/>
    <w:rsid w:val="00003BAE"/>
    <w:rsid w:val="00004811"/>
    <w:rsid w:val="000071DE"/>
    <w:rsid w:val="00007DEC"/>
    <w:rsid w:val="00007EC8"/>
    <w:rsid w:val="00007ED3"/>
    <w:rsid w:val="00011959"/>
    <w:rsid w:val="00011F94"/>
    <w:rsid w:val="00013B55"/>
    <w:rsid w:val="000146D8"/>
    <w:rsid w:val="000150C3"/>
    <w:rsid w:val="00015676"/>
    <w:rsid w:val="0001655B"/>
    <w:rsid w:val="00017054"/>
    <w:rsid w:val="00017263"/>
    <w:rsid w:val="000177A3"/>
    <w:rsid w:val="000207FC"/>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6D6"/>
    <w:rsid w:val="00030737"/>
    <w:rsid w:val="00030C40"/>
    <w:rsid w:val="00030F6D"/>
    <w:rsid w:val="00031C37"/>
    <w:rsid w:val="00033293"/>
    <w:rsid w:val="0003482A"/>
    <w:rsid w:val="00034C60"/>
    <w:rsid w:val="0003719E"/>
    <w:rsid w:val="000377BD"/>
    <w:rsid w:val="0004095B"/>
    <w:rsid w:val="000409DC"/>
    <w:rsid w:val="00040BCB"/>
    <w:rsid w:val="0004151F"/>
    <w:rsid w:val="0004173A"/>
    <w:rsid w:val="0004184E"/>
    <w:rsid w:val="0004189B"/>
    <w:rsid w:val="00042A8C"/>
    <w:rsid w:val="00043E46"/>
    <w:rsid w:val="00044569"/>
    <w:rsid w:val="00044E90"/>
    <w:rsid w:val="0004534B"/>
    <w:rsid w:val="000453AB"/>
    <w:rsid w:val="0004546A"/>
    <w:rsid w:val="0004727A"/>
    <w:rsid w:val="000474C2"/>
    <w:rsid w:val="000476CE"/>
    <w:rsid w:val="00051095"/>
    <w:rsid w:val="00051213"/>
    <w:rsid w:val="00051DA2"/>
    <w:rsid w:val="00052A9C"/>
    <w:rsid w:val="000533C2"/>
    <w:rsid w:val="00054110"/>
    <w:rsid w:val="00054B4F"/>
    <w:rsid w:val="00055E9F"/>
    <w:rsid w:val="000572DB"/>
    <w:rsid w:val="00057725"/>
    <w:rsid w:val="00061129"/>
    <w:rsid w:val="00063093"/>
    <w:rsid w:val="00066D04"/>
    <w:rsid w:val="00070292"/>
    <w:rsid w:val="00070785"/>
    <w:rsid w:val="000711A4"/>
    <w:rsid w:val="000729FC"/>
    <w:rsid w:val="00072AA9"/>
    <w:rsid w:val="000736E8"/>
    <w:rsid w:val="00073C97"/>
    <w:rsid w:val="000755A7"/>
    <w:rsid w:val="000769F8"/>
    <w:rsid w:val="0007792C"/>
    <w:rsid w:val="00077991"/>
    <w:rsid w:val="00077CF2"/>
    <w:rsid w:val="00080F6C"/>
    <w:rsid w:val="000818E8"/>
    <w:rsid w:val="000822F5"/>
    <w:rsid w:val="00082504"/>
    <w:rsid w:val="00084D01"/>
    <w:rsid w:val="000859C6"/>
    <w:rsid w:val="00086CB0"/>
    <w:rsid w:val="00086ECE"/>
    <w:rsid w:val="00090349"/>
    <w:rsid w:val="000909AC"/>
    <w:rsid w:val="00090C22"/>
    <w:rsid w:val="00090EA4"/>
    <w:rsid w:val="000913B2"/>
    <w:rsid w:val="00091995"/>
    <w:rsid w:val="00091F4A"/>
    <w:rsid w:val="000926DE"/>
    <w:rsid w:val="0009435B"/>
    <w:rsid w:val="00094467"/>
    <w:rsid w:val="00095B07"/>
    <w:rsid w:val="00095E69"/>
    <w:rsid w:val="0009723E"/>
    <w:rsid w:val="000976AD"/>
    <w:rsid w:val="000A06DC"/>
    <w:rsid w:val="000A0FB3"/>
    <w:rsid w:val="000A1220"/>
    <w:rsid w:val="000A1DC8"/>
    <w:rsid w:val="000A1FDA"/>
    <w:rsid w:val="000A286C"/>
    <w:rsid w:val="000A2BE7"/>
    <w:rsid w:val="000A3B2E"/>
    <w:rsid w:val="000A5090"/>
    <w:rsid w:val="000A631F"/>
    <w:rsid w:val="000A6C21"/>
    <w:rsid w:val="000A6F39"/>
    <w:rsid w:val="000A7672"/>
    <w:rsid w:val="000B11C1"/>
    <w:rsid w:val="000B1272"/>
    <w:rsid w:val="000B1397"/>
    <w:rsid w:val="000B1994"/>
    <w:rsid w:val="000B1ADE"/>
    <w:rsid w:val="000B28B0"/>
    <w:rsid w:val="000B2B71"/>
    <w:rsid w:val="000B5FD7"/>
    <w:rsid w:val="000B6270"/>
    <w:rsid w:val="000B7543"/>
    <w:rsid w:val="000B7E34"/>
    <w:rsid w:val="000B7EC6"/>
    <w:rsid w:val="000C06FA"/>
    <w:rsid w:val="000C0B5D"/>
    <w:rsid w:val="000C17C0"/>
    <w:rsid w:val="000C2575"/>
    <w:rsid w:val="000C279F"/>
    <w:rsid w:val="000C28C0"/>
    <w:rsid w:val="000C2F27"/>
    <w:rsid w:val="000C3075"/>
    <w:rsid w:val="000C3378"/>
    <w:rsid w:val="000C38A3"/>
    <w:rsid w:val="000C3A46"/>
    <w:rsid w:val="000C4054"/>
    <w:rsid w:val="000C617E"/>
    <w:rsid w:val="000C62E2"/>
    <w:rsid w:val="000C65A5"/>
    <w:rsid w:val="000C6AC8"/>
    <w:rsid w:val="000C70F8"/>
    <w:rsid w:val="000C7397"/>
    <w:rsid w:val="000D1128"/>
    <w:rsid w:val="000D1E8C"/>
    <w:rsid w:val="000D23F4"/>
    <w:rsid w:val="000D2556"/>
    <w:rsid w:val="000D294E"/>
    <w:rsid w:val="000D3063"/>
    <w:rsid w:val="000D3795"/>
    <w:rsid w:val="000D394F"/>
    <w:rsid w:val="000D4203"/>
    <w:rsid w:val="000D51F9"/>
    <w:rsid w:val="000D5D6C"/>
    <w:rsid w:val="000D6929"/>
    <w:rsid w:val="000D6EC7"/>
    <w:rsid w:val="000D765B"/>
    <w:rsid w:val="000D7ABB"/>
    <w:rsid w:val="000E0061"/>
    <w:rsid w:val="000E029F"/>
    <w:rsid w:val="000E07BE"/>
    <w:rsid w:val="000E0B8F"/>
    <w:rsid w:val="000E0B90"/>
    <w:rsid w:val="000E0CC4"/>
    <w:rsid w:val="000E0E5D"/>
    <w:rsid w:val="000E1B3D"/>
    <w:rsid w:val="000E1D13"/>
    <w:rsid w:val="000E1F3A"/>
    <w:rsid w:val="000E2773"/>
    <w:rsid w:val="000E3389"/>
    <w:rsid w:val="000E3602"/>
    <w:rsid w:val="000E456E"/>
    <w:rsid w:val="000E4BB6"/>
    <w:rsid w:val="000E79CA"/>
    <w:rsid w:val="000F0DD5"/>
    <w:rsid w:val="000F0E61"/>
    <w:rsid w:val="000F21F1"/>
    <w:rsid w:val="000F2ACE"/>
    <w:rsid w:val="000F2C08"/>
    <w:rsid w:val="000F2C88"/>
    <w:rsid w:val="000F30CF"/>
    <w:rsid w:val="000F4841"/>
    <w:rsid w:val="000F62F4"/>
    <w:rsid w:val="0010001A"/>
    <w:rsid w:val="001006B0"/>
    <w:rsid w:val="0010259E"/>
    <w:rsid w:val="00102A87"/>
    <w:rsid w:val="00103AA4"/>
    <w:rsid w:val="00103F8B"/>
    <w:rsid w:val="00104289"/>
    <w:rsid w:val="00105F96"/>
    <w:rsid w:val="001060EF"/>
    <w:rsid w:val="00106C83"/>
    <w:rsid w:val="00107185"/>
    <w:rsid w:val="001073EF"/>
    <w:rsid w:val="00107FF4"/>
    <w:rsid w:val="00110A10"/>
    <w:rsid w:val="0011187D"/>
    <w:rsid w:val="00113745"/>
    <w:rsid w:val="00113C48"/>
    <w:rsid w:val="00113E02"/>
    <w:rsid w:val="00113F54"/>
    <w:rsid w:val="00113F6A"/>
    <w:rsid w:val="00113F81"/>
    <w:rsid w:val="00114340"/>
    <w:rsid w:val="00120376"/>
    <w:rsid w:val="00120520"/>
    <w:rsid w:val="00120532"/>
    <w:rsid w:val="00122746"/>
    <w:rsid w:val="001237F4"/>
    <w:rsid w:val="00124236"/>
    <w:rsid w:val="001244E1"/>
    <w:rsid w:val="00124731"/>
    <w:rsid w:val="001247E0"/>
    <w:rsid w:val="00125F01"/>
    <w:rsid w:val="0012662C"/>
    <w:rsid w:val="00127CB6"/>
    <w:rsid w:val="00130AE3"/>
    <w:rsid w:val="0013154B"/>
    <w:rsid w:val="00131D16"/>
    <w:rsid w:val="001320FF"/>
    <w:rsid w:val="00132775"/>
    <w:rsid w:val="001343FB"/>
    <w:rsid w:val="00135BDC"/>
    <w:rsid w:val="00136069"/>
    <w:rsid w:val="001367C4"/>
    <w:rsid w:val="00137420"/>
    <w:rsid w:val="0013771A"/>
    <w:rsid w:val="00137D75"/>
    <w:rsid w:val="00141861"/>
    <w:rsid w:val="00141955"/>
    <w:rsid w:val="001419EC"/>
    <w:rsid w:val="0014210C"/>
    <w:rsid w:val="00142665"/>
    <w:rsid w:val="0014559E"/>
    <w:rsid w:val="001465F4"/>
    <w:rsid w:val="0014721F"/>
    <w:rsid w:val="001473BE"/>
    <w:rsid w:val="00147A4B"/>
    <w:rsid w:val="001501C5"/>
    <w:rsid w:val="00150F7E"/>
    <w:rsid w:val="00152B48"/>
    <w:rsid w:val="00152FD0"/>
    <w:rsid w:val="001539AF"/>
    <w:rsid w:val="00153E00"/>
    <w:rsid w:val="00153F39"/>
    <w:rsid w:val="00155097"/>
    <w:rsid w:val="00156460"/>
    <w:rsid w:val="001564D6"/>
    <w:rsid w:val="00156907"/>
    <w:rsid w:val="00160074"/>
    <w:rsid w:val="00160187"/>
    <w:rsid w:val="001602AD"/>
    <w:rsid w:val="00160AEC"/>
    <w:rsid w:val="00160C50"/>
    <w:rsid w:val="001615C4"/>
    <w:rsid w:val="00161E8B"/>
    <w:rsid w:val="00162E5B"/>
    <w:rsid w:val="001631C3"/>
    <w:rsid w:val="0016370D"/>
    <w:rsid w:val="00164384"/>
    <w:rsid w:val="00165337"/>
    <w:rsid w:val="00165E05"/>
    <w:rsid w:val="00167134"/>
    <w:rsid w:val="001676DC"/>
    <w:rsid w:val="00167BC1"/>
    <w:rsid w:val="00167F08"/>
    <w:rsid w:val="0017008E"/>
    <w:rsid w:val="00170259"/>
    <w:rsid w:val="0017107F"/>
    <w:rsid w:val="00171873"/>
    <w:rsid w:val="00171E5F"/>
    <w:rsid w:val="001721A1"/>
    <w:rsid w:val="0017239A"/>
    <w:rsid w:val="00172477"/>
    <w:rsid w:val="00172A20"/>
    <w:rsid w:val="00172CA2"/>
    <w:rsid w:val="00173704"/>
    <w:rsid w:val="00173A8C"/>
    <w:rsid w:val="00173F67"/>
    <w:rsid w:val="00175BC8"/>
    <w:rsid w:val="00176972"/>
    <w:rsid w:val="001778CB"/>
    <w:rsid w:val="00177CE4"/>
    <w:rsid w:val="001806A9"/>
    <w:rsid w:val="001806F1"/>
    <w:rsid w:val="00180C8B"/>
    <w:rsid w:val="001827DA"/>
    <w:rsid w:val="0018315D"/>
    <w:rsid w:val="00183B2F"/>
    <w:rsid w:val="00183DFC"/>
    <w:rsid w:val="00183FB8"/>
    <w:rsid w:val="00185148"/>
    <w:rsid w:val="00186E2C"/>
    <w:rsid w:val="00187551"/>
    <w:rsid w:val="00187E16"/>
    <w:rsid w:val="00190948"/>
    <w:rsid w:val="00190CE2"/>
    <w:rsid w:val="00191BFE"/>
    <w:rsid w:val="001927B3"/>
    <w:rsid w:val="00193DE2"/>
    <w:rsid w:val="00196BAF"/>
    <w:rsid w:val="001976AC"/>
    <w:rsid w:val="001978D2"/>
    <w:rsid w:val="00197AEC"/>
    <w:rsid w:val="001A0487"/>
    <w:rsid w:val="001A0B07"/>
    <w:rsid w:val="001A1A37"/>
    <w:rsid w:val="001A1A4E"/>
    <w:rsid w:val="001A2229"/>
    <w:rsid w:val="001A41E2"/>
    <w:rsid w:val="001A60DF"/>
    <w:rsid w:val="001A6669"/>
    <w:rsid w:val="001A6E00"/>
    <w:rsid w:val="001A709A"/>
    <w:rsid w:val="001A7E1E"/>
    <w:rsid w:val="001A7E64"/>
    <w:rsid w:val="001A7F57"/>
    <w:rsid w:val="001B0B44"/>
    <w:rsid w:val="001B0B78"/>
    <w:rsid w:val="001B162D"/>
    <w:rsid w:val="001B185E"/>
    <w:rsid w:val="001B330E"/>
    <w:rsid w:val="001B358B"/>
    <w:rsid w:val="001B435E"/>
    <w:rsid w:val="001B57FF"/>
    <w:rsid w:val="001B5D54"/>
    <w:rsid w:val="001B60E9"/>
    <w:rsid w:val="001B6102"/>
    <w:rsid w:val="001C07C5"/>
    <w:rsid w:val="001C0FF9"/>
    <w:rsid w:val="001C1433"/>
    <w:rsid w:val="001C17C2"/>
    <w:rsid w:val="001C19BF"/>
    <w:rsid w:val="001C2CA8"/>
    <w:rsid w:val="001C4959"/>
    <w:rsid w:val="001C5462"/>
    <w:rsid w:val="001C62F9"/>
    <w:rsid w:val="001C7000"/>
    <w:rsid w:val="001C7ACC"/>
    <w:rsid w:val="001C7CCA"/>
    <w:rsid w:val="001C7D8D"/>
    <w:rsid w:val="001D01B4"/>
    <w:rsid w:val="001D02F4"/>
    <w:rsid w:val="001D0350"/>
    <w:rsid w:val="001D0526"/>
    <w:rsid w:val="001D1079"/>
    <w:rsid w:val="001D1EC7"/>
    <w:rsid w:val="001D5403"/>
    <w:rsid w:val="001D59B7"/>
    <w:rsid w:val="001D5F2B"/>
    <w:rsid w:val="001D7123"/>
    <w:rsid w:val="001D7676"/>
    <w:rsid w:val="001E1A83"/>
    <w:rsid w:val="001E3388"/>
    <w:rsid w:val="001E4423"/>
    <w:rsid w:val="001E562E"/>
    <w:rsid w:val="001E5C9F"/>
    <w:rsid w:val="001E5D80"/>
    <w:rsid w:val="001E6083"/>
    <w:rsid w:val="001E6F1C"/>
    <w:rsid w:val="001E72B5"/>
    <w:rsid w:val="001E7CB4"/>
    <w:rsid w:val="001E7CC9"/>
    <w:rsid w:val="001E7D86"/>
    <w:rsid w:val="001F0263"/>
    <w:rsid w:val="001F05B3"/>
    <w:rsid w:val="001F0D8C"/>
    <w:rsid w:val="001F10C7"/>
    <w:rsid w:val="001F1384"/>
    <w:rsid w:val="001F1810"/>
    <w:rsid w:val="001F39D7"/>
    <w:rsid w:val="001F3A31"/>
    <w:rsid w:val="001F5187"/>
    <w:rsid w:val="001F5A2B"/>
    <w:rsid w:val="001F5AA0"/>
    <w:rsid w:val="001F5C08"/>
    <w:rsid w:val="001F5CB4"/>
    <w:rsid w:val="001F6685"/>
    <w:rsid w:val="001F7048"/>
    <w:rsid w:val="001F7930"/>
    <w:rsid w:val="001F7A02"/>
    <w:rsid w:val="001F7E31"/>
    <w:rsid w:val="0020071E"/>
    <w:rsid w:val="00200A17"/>
    <w:rsid w:val="00200D6F"/>
    <w:rsid w:val="00201C3D"/>
    <w:rsid w:val="0020406B"/>
    <w:rsid w:val="002045EE"/>
    <w:rsid w:val="002047EF"/>
    <w:rsid w:val="00205A30"/>
    <w:rsid w:val="00206F32"/>
    <w:rsid w:val="0021033B"/>
    <w:rsid w:val="00210AB8"/>
    <w:rsid w:val="00210AFD"/>
    <w:rsid w:val="00210B74"/>
    <w:rsid w:val="002113D2"/>
    <w:rsid w:val="0021145D"/>
    <w:rsid w:val="002122FA"/>
    <w:rsid w:val="00212DB5"/>
    <w:rsid w:val="00213F6B"/>
    <w:rsid w:val="00215A65"/>
    <w:rsid w:val="00215C67"/>
    <w:rsid w:val="00215E9A"/>
    <w:rsid w:val="00215F4E"/>
    <w:rsid w:val="0021632C"/>
    <w:rsid w:val="00216720"/>
    <w:rsid w:val="002179EE"/>
    <w:rsid w:val="002204EE"/>
    <w:rsid w:val="00220570"/>
    <w:rsid w:val="00220B87"/>
    <w:rsid w:val="00220F34"/>
    <w:rsid w:val="00222E09"/>
    <w:rsid w:val="00224A1C"/>
    <w:rsid w:val="00224D82"/>
    <w:rsid w:val="002259E4"/>
    <w:rsid w:val="00225AD0"/>
    <w:rsid w:val="00225C7E"/>
    <w:rsid w:val="00225CFA"/>
    <w:rsid w:val="00225F59"/>
    <w:rsid w:val="00225FCA"/>
    <w:rsid w:val="0022692D"/>
    <w:rsid w:val="002278BC"/>
    <w:rsid w:val="00227DC3"/>
    <w:rsid w:val="00227E8F"/>
    <w:rsid w:val="002303CC"/>
    <w:rsid w:val="00230DC6"/>
    <w:rsid w:val="0023122E"/>
    <w:rsid w:val="002314B5"/>
    <w:rsid w:val="00231D95"/>
    <w:rsid w:val="002344A6"/>
    <w:rsid w:val="00234AF3"/>
    <w:rsid w:val="002351D3"/>
    <w:rsid w:val="00236587"/>
    <w:rsid w:val="00236783"/>
    <w:rsid w:val="00236CC8"/>
    <w:rsid w:val="00240150"/>
    <w:rsid w:val="002408AF"/>
    <w:rsid w:val="00241A28"/>
    <w:rsid w:val="0024268B"/>
    <w:rsid w:val="00242E49"/>
    <w:rsid w:val="00243331"/>
    <w:rsid w:val="002436B6"/>
    <w:rsid w:val="002442D5"/>
    <w:rsid w:val="0024456F"/>
    <w:rsid w:val="002446A8"/>
    <w:rsid w:val="002448CF"/>
    <w:rsid w:val="00244B3A"/>
    <w:rsid w:val="00245217"/>
    <w:rsid w:val="002457B0"/>
    <w:rsid w:val="002458C4"/>
    <w:rsid w:val="0024783F"/>
    <w:rsid w:val="00247A23"/>
    <w:rsid w:val="00247CFA"/>
    <w:rsid w:val="0025366E"/>
    <w:rsid w:val="00254414"/>
    <w:rsid w:val="00254964"/>
    <w:rsid w:val="00254F6C"/>
    <w:rsid w:val="00255536"/>
    <w:rsid w:val="00255C76"/>
    <w:rsid w:val="002563F3"/>
    <w:rsid w:val="00256634"/>
    <w:rsid w:val="002570C5"/>
    <w:rsid w:val="00260FA3"/>
    <w:rsid w:val="0026107C"/>
    <w:rsid w:val="00262541"/>
    <w:rsid w:val="002626E5"/>
    <w:rsid w:val="00263561"/>
    <w:rsid w:val="00263E50"/>
    <w:rsid w:val="0026410D"/>
    <w:rsid w:val="00264526"/>
    <w:rsid w:val="00264913"/>
    <w:rsid w:val="00265646"/>
    <w:rsid w:val="00265DCF"/>
    <w:rsid w:val="002660D5"/>
    <w:rsid w:val="00266E7F"/>
    <w:rsid w:val="00267909"/>
    <w:rsid w:val="00270044"/>
    <w:rsid w:val="002702B9"/>
    <w:rsid w:val="00271C82"/>
    <w:rsid w:val="00272C09"/>
    <w:rsid w:val="00272F69"/>
    <w:rsid w:val="002739B4"/>
    <w:rsid w:val="00273F6E"/>
    <w:rsid w:val="00273FDC"/>
    <w:rsid w:val="00276A1E"/>
    <w:rsid w:val="002813F6"/>
    <w:rsid w:val="0028178C"/>
    <w:rsid w:val="00281D84"/>
    <w:rsid w:val="00281EB1"/>
    <w:rsid w:val="00282232"/>
    <w:rsid w:val="002824B9"/>
    <w:rsid w:val="0028338E"/>
    <w:rsid w:val="00284EB2"/>
    <w:rsid w:val="00287EB0"/>
    <w:rsid w:val="002900A9"/>
    <w:rsid w:val="0029042C"/>
    <w:rsid w:val="002917B7"/>
    <w:rsid w:val="00293000"/>
    <w:rsid w:val="002934F2"/>
    <w:rsid w:val="00293635"/>
    <w:rsid w:val="002946D3"/>
    <w:rsid w:val="002955CC"/>
    <w:rsid w:val="002964F7"/>
    <w:rsid w:val="00296F9D"/>
    <w:rsid w:val="002A0537"/>
    <w:rsid w:val="002A28CC"/>
    <w:rsid w:val="002A29CB"/>
    <w:rsid w:val="002A3281"/>
    <w:rsid w:val="002A3D13"/>
    <w:rsid w:val="002A4644"/>
    <w:rsid w:val="002A4792"/>
    <w:rsid w:val="002A6AC5"/>
    <w:rsid w:val="002B0491"/>
    <w:rsid w:val="002B22C6"/>
    <w:rsid w:val="002B2EA4"/>
    <w:rsid w:val="002B3727"/>
    <w:rsid w:val="002B4448"/>
    <w:rsid w:val="002B4671"/>
    <w:rsid w:val="002B49ED"/>
    <w:rsid w:val="002B4D77"/>
    <w:rsid w:val="002B4EEF"/>
    <w:rsid w:val="002B5109"/>
    <w:rsid w:val="002B5437"/>
    <w:rsid w:val="002B5782"/>
    <w:rsid w:val="002B5789"/>
    <w:rsid w:val="002B5BB7"/>
    <w:rsid w:val="002B7A79"/>
    <w:rsid w:val="002B7E6C"/>
    <w:rsid w:val="002C0AC4"/>
    <w:rsid w:val="002C251C"/>
    <w:rsid w:val="002C2A00"/>
    <w:rsid w:val="002C4562"/>
    <w:rsid w:val="002C5661"/>
    <w:rsid w:val="002C5718"/>
    <w:rsid w:val="002C651A"/>
    <w:rsid w:val="002C6695"/>
    <w:rsid w:val="002C6D2C"/>
    <w:rsid w:val="002C6F1E"/>
    <w:rsid w:val="002C741A"/>
    <w:rsid w:val="002C7A19"/>
    <w:rsid w:val="002C7A61"/>
    <w:rsid w:val="002D0C6B"/>
    <w:rsid w:val="002D1685"/>
    <w:rsid w:val="002D1CF4"/>
    <w:rsid w:val="002D2D0D"/>
    <w:rsid w:val="002D3C47"/>
    <w:rsid w:val="002D3D28"/>
    <w:rsid w:val="002D3DD7"/>
    <w:rsid w:val="002D46D8"/>
    <w:rsid w:val="002D491C"/>
    <w:rsid w:val="002D4F30"/>
    <w:rsid w:val="002D522C"/>
    <w:rsid w:val="002D6949"/>
    <w:rsid w:val="002D6C18"/>
    <w:rsid w:val="002D6D6C"/>
    <w:rsid w:val="002D7F67"/>
    <w:rsid w:val="002E06FA"/>
    <w:rsid w:val="002E0CF3"/>
    <w:rsid w:val="002E101A"/>
    <w:rsid w:val="002E1B9E"/>
    <w:rsid w:val="002E1CBA"/>
    <w:rsid w:val="002E21D0"/>
    <w:rsid w:val="002E2B5C"/>
    <w:rsid w:val="002E2F83"/>
    <w:rsid w:val="002E30D8"/>
    <w:rsid w:val="002E440F"/>
    <w:rsid w:val="002E4EC9"/>
    <w:rsid w:val="002E55CF"/>
    <w:rsid w:val="002E57CF"/>
    <w:rsid w:val="002E61F2"/>
    <w:rsid w:val="002E7184"/>
    <w:rsid w:val="002E7C5A"/>
    <w:rsid w:val="002E7CBD"/>
    <w:rsid w:val="002F1055"/>
    <w:rsid w:val="002F20CD"/>
    <w:rsid w:val="002F222E"/>
    <w:rsid w:val="002F2E86"/>
    <w:rsid w:val="002F3244"/>
    <w:rsid w:val="002F3766"/>
    <w:rsid w:val="002F3E23"/>
    <w:rsid w:val="002F4A39"/>
    <w:rsid w:val="002F4FA4"/>
    <w:rsid w:val="002F55E3"/>
    <w:rsid w:val="002F658B"/>
    <w:rsid w:val="002F7201"/>
    <w:rsid w:val="002F76AF"/>
    <w:rsid w:val="002F7938"/>
    <w:rsid w:val="00300195"/>
    <w:rsid w:val="00300ABB"/>
    <w:rsid w:val="00300AC4"/>
    <w:rsid w:val="00301704"/>
    <w:rsid w:val="00302B92"/>
    <w:rsid w:val="00304AEC"/>
    <w:rsid w:val="003054E9"/>
    <w:rsid w:val="00310001"/>
    <w:rsid w:val="003100E3"/>
    <w:rsid w:val="00312105"/>
    <w:rsid w:val="003126A1"/>
    <w:rsid w:val="00313CA8"/>
    <w:rsid w:val="003140C0"/>
    <w:rsid w:val="003141C7"/>
    <w:rsid w:val="00314713"/>
    <w:rsid w:val="00314D09"/>
    <w:rsid w:val="00315655"/>
    <w:rsid w:val="003163C4"/>
    <w:rsid w:val="00316487"/>
    <w:rsid w:val="003165A6"/>
    <w:rsid w:val="00317A31"/>
    <w:rsid w:val="003211B8"/>
    <w:rsid w:val="00321254"/>
    <w:rsid w:val="003219F0"/>
    <w:rsid w:val="00321CD4"/>
    <w:rsid w:val="0032238E"/>
    <w:rsid w:val="0032276B"/>
    <w:rsid w:val="003231D9"/>
    <w:rsid w:val="00323E0E"/>
    <w:rsid w:val="0032420B"/>
    <w:rsid w:val="00324EB3"/>
    <w:rsid w:val="00326C59"/>
    <w:rsid w:val="00327929"/>
    <w:rsid w:val="00327B9A"/>
    <w:rsid w:val="00327C35"/>
    <w:rsid w:val="003308D9"/>
    <w:rsid w:val="00330EA6"/>
    <w:rsid w:val="00331359"/>
    <w:rsid w:val="0033226E"/>
    <w:rsid w:val="00333351"/>
    <w:rsid w:val="0033350B"/>
    <w:rsid w:val="0033407F"/>
    <w:rsid w:val="0033420A"/>
    <w:rsid w:val="003346B1"/>
    <w:rsid w:val="0033503F"/>
    <w:rsid w:val="003350A5"/>
    <w:rsid w:val="00335A2A"/>
    <w:rsid w:val="003370B7"/>
    <w:rsid w:val="003379EB"/>
    <w:rsid w:val="00340D59"/>
    <w:rsid w:val="00340FD6"/>
    <w:rsid w:val="00341F17"/>
    <w:rsid w:val="00342351"/>
    <w:rsid w:val="00343241"/>
    <w:rsid w:val="00344191"/>
    <w:rsid w:val="00344201"/>
    <w:rsid w:val="00345255"/>
    <w:rsid w:val="00345C70"/>
    <w:rsid w:val="00345EB1"/>
    <w:rsid w:val="00345F3C"/>
    <w:rsid w:val="003460D5"/>
    <w:rsid w:val="003461FA"/>
    <w:rsid w:val="00347401"/>
    <w:rsid w:val="003476AD"/>
    <w:rsid w:val="00352418"/>
    <w:rsid w:val="003524A3"/>
    <w:rsid w:val="003524B3"/>
    <w:rsid w:val="00352602"/>
    <w:rsid w:val="00352FAA"/>
    <w:rsid w:val="00353090"/>
    <w:rsid w:val="00353575"/>
    <w:rsid w:val="003539CE"/>
    <w:rsid w:val="00355111"/>
    <w:rsid w:val="00355C7D"/>
    <w:rsid w:val="00355CF7"/>
    <w:rsid w:val="00357A99"/>
    <w:rsid w:val="003600EB"/>
    <w:rsid w:val="00360CAF"/>
    <w:rsid w:val="00360FE1"/>
    <w:rsid w:val="003613E8"/>
    <w:rsid w:val="00361CDB"/>
    <w:rsid w:val="003629DE"/>
    <w:rsid w:val="00363338"/>
    <w:rsid w:val="003643DB"/>
    <w:rsid w:val="00364D4F"/>
    <w:rsid w:val="0036553E"/>
    <w:rsid w:val="003658A4"/>
    <w:rsid w:val="00365B64"/>
    <w:rsid w:val="00365C22"/>
    <w:rsid w:val="00366C3A"/>
    <w:rsid w:val="00366CE1"/>
    <w:rsid w:val="00370D37"/>
    <w:rsid w:val="003712BD"/>
    <w:rsid w:val="00371483"/>
    <w:rsid w:val="00371AFF"/>
    <w:rsid w:val="00372F4A"/>
    <w:rsid w:val="00373ADC"/>
    <w:rsid w:val="003740EE"/>
    <w:rsid w:val="00374134"/>
    <w:rsid w:val="003745A9"/>
    <w:rsid w:val="003763AF"/>
    <w:rsid w:val="00377048"/>
    <w:rsid w:val="00377673"/>
    <w:rsid w:val="003815BB"/>
    <w:rsid w:val="00382227"/>
    <w:rsid w:val="0038239E"/>
    <w:rsid w:val="00382D4B"/>
    <w:rsid w:val="00384A30"/>
    <w:rsid w:val="00384CAD"/>
    <w:rsid w:val="003850D9"/>
    <w:rsid w:val="003855F1"/>
    <w:rsid w:val="00386132"/>
    <w:rsid w:val="00386AE6"/>
    <w:rsid w:val="00387031"/>
    <w:rsid w:val="0039046C"/>
    <w:rsid w:val="00390EFB"/>
    <w:rsid w:val="00391B9F"/>
    <w:rsid w:val="00391FBD"/>
    <w:rsid w:val="00392BB3"/>
    <w:rsid w:val="00393373"/>
    <w:rsid w:val="0039347D"/>
    <w:rsid w:val="00394377"/>
    <w:rsid w:val="00394953"/>
    <w:rsid w:val="003954B7"/>
    <w:rsid w:val="00395A00"/>
    <w:rsid w:val="00395FB0"/>
    <w:rsid w:val="003A0260"/>
    <w:rsid w:val="003A0549"/>
    <w:rsid w:val="003A10AC"/>
    <w:rsid w:val="003A1391"/>
    <w:rsid w:val="003A15D3"/>
    <w:rsid w:val="003A254F"/>
    <w:rsid w:val="003A2D16"/>
    <w:rsid w:val="003A382A"/>
    <w:rsid w:val="003A43DD"/>
    <w:rsid w:val="003A5DC5"/>
    <w:rsid w:val="003A6108"/>
    <w:rsid w:val="003A6679"/>
    <w:rsid w:val="003A6A1C"/>
    <w:rsid w:val="003A6EBF"/>
    <w:rsid w:val="003A7903"/>
    <w:rsid w:val="003B0248"/>
    <w:rsid w:val="003B0800"/>
    <w:rsid w:val="003B1E03"/>
    <w:rsid w:val="003B39BC"/>
    <w:rsid w:val="003B3BF6"/>
    <w:rsid w:val="003B3DA4"/>
    <w:rsid w:val="003B4FA3"/>
    <w:rsid w:val="003B54FB"/>
    <w:rsid w:val="003B7620"/>
    <w:rsid w:val="003B7704"/>
    <w:rsid w:val="003C04D1"/>
    <w:rsid w:val="003C09BD"/>
    <w:rsid w:val="003C113D"/>
    <w:rsid w:val="003C2513"/>
    <w:rsid w:val="003C2EA3"/>
    <w:rsid w:val="003C3045"/>
    <w:rsid w:val="003C391E"/>
    <w:rsid w:val="003C441C"/>
    <w:rsid w:val="003C4427"/>
    <w:rsid w:val="003C44EA"/>
    <w:rsid w:val="003C479F"/>
    <w:rsid w:val="003C5CD8"/>
    <w:rsid w:val="003C617C"/>
    <w:rsid w:val="003C6204"/>
    <w:rsid w:val="003C63ED"/>
    <w:rsid w:val="003C795F"/>
    <w:rsid w:val="003C7D74"/>
    <w:rsid w:val="003D0124"/>
    <w:rsid w:val="003D0F59"/>
    <w:rsid w:val="003D26C3"/>
    <w:rsid w:val="003D2B98"/>
    <w:rsid w:val="003D321E"/>
    <w:rsid w:val="003D34F1"/>
    <w:rsid w:val="003D3A1E"/>
    <w:rsid w:val="003D489A"/>
    <w:rsid w:val="003D5FF4"/>
    <w:rsid w:val="003D62D3"/>
    <w:rsid w:val="003D671E"/>
    <w:rsid w:val="003D6950"/>
    <w:rsid w:val="003D6E8E"/>
    <w:rsid w:val="003D744F"/>
    <w:rsid w:val="003D7E01"/>
    <w:rsid w:val="003D7E58"/>
    <w:rsid w:val="003E082A"/>
    <w:rsid w:val="003E1050"/>
    <w:rsid w:val="003E26E6"/>
    <w:rsid w:val="003E28A6"/>
    <w:rsid w:val="003E2BD7"/>
    <w:rsid w:val="003E2DD5"/>
    <w:rsid w:val="003E31CB"/>
    <w:rsid w:val="003E33E5"/>
    <w:rsid w:val="003E524F"/>
    <w:rsid w:val="003E5BF5"/>
    <w:rsid w:val="003E6594"/>
    <w:rsid w:val="003E748D"/>
    <w:rsid w:val="003E7F5F"/>
    <w:rsid w:val="003F0930"/>
    <w:rsid w:val="003F0DA5"/>
    <w:rsid w:val="003F12CE"/>
    <w:rsid w:val="003F1321"/>
    <w:rsid w:val="003F25E3"/>
    <w:rsid w:val="003F36AB"/>
    <w:rsid w:val="003F461E"/>
    <w:rsid w:val="003F4EB5"/>
    <w:rsid w:val="003F7BA1"/>
    <w:rsid w:val="0040001C"/>
    <w:rsid w:val="004008C2"/>
    <w:rsid w:val="004014EE"/>
    <w:rsid w:val="004033FE"/>
    <w:rsid w:val="00403CAF"/>
    <w:rsid w:val="004053AE"/>
    <w:rsid w:val="0040540B"/>
    <w:rsid w:val="00406112"/>
    <w:rsid w:val="00406FDD"/>
    <w:rsid w:val="004106BC"/>
    <w:rsid w:val="004116F7"/>
    <w:rsid w:val="004137E3"/>
    <w:rsid w:val="00413BE5"/>
    <w:rsid w:val="00414FD9"/>
    <w:rsid w:val="0041545F"/>
    <w:rsid w:val="00416009"/>
    <w:rsid w:val="00416431"/>
    <w:rsid w:val="004169AA"/>
    <w:rsid w:val="00416B1C"/>
    <w:rsid w:val="00416F87"/>
    <w:rsid w:val="00417062"/>
    <w:rsid w:val="00417F78"/>
    <w:rsid w:val="00421F75"/>
    <w:rsid w:val="00422402"/>
    <w:rsid w:val="00422965"/>
    <w:rsid w:val="004236B9"/>
    <w:rsid w:val="0042510F"/>
    <w:rsid w:val="00425CEA"/>
    <w:rsid w:val="00425EC2"/>
    <w:rsid w:val="00430533"/>
    <w:rsid w:val="00430D12"/>
    <w:rsid w:val="004324AB"/>
    <w:rsid w:val="00432622"/>
    <w:rsid w:val="004336CF"/>
    <w:rsid w:val="00433750"/>
    <w:rsid w:val="00433E87"/>
    <w:rsid w:val="0043473E"/>
    <w:rsid w:val="00434D4A"/>
    <w:rsid w:val="00436064"/>
    <w:rsid w:val="004363AD"/>
    <w:rsid w:val="00436DFB"/>
    <w:rsid w:val="0043734B"/>
    <w:rsid w:val="0043754E"/>
    <w:rsid w:val="004416F8"/>
    <w:rsid w:val="00441BEB"/>
    <w:rsid w:val="00443CF7"/>
    <w:rsid w:val="00443D82"/>
    <w:rsid w:val="0044434A"/>
    <w:rsid w:val="00444CD7"/>
    <w:rsid w:val="00444EC4"/>
    <w:rsid w:val="004450A0"/>
    <w:rsid w:val="004462C4"/>
    <w:rsid w:val="00446C47"/>
    <w:rsid w:val="00446F07"/>
    <w:rsid w:val="00450912"/>
    <w:rsid w:val="00450BB9"/>
    <w:rsid w:val="00451654"/>
    <w:rsid w:val="0045174C"/>
    <w:rsid w:val="00451AC5"/>
    <w:rsid w:val="00451F1C"/>
    <w:rsid w:val="00452EAE"/>
    <w:rsid w:val="00452FF1"/>
    <w:rsid w:val="00454807"/>
    <w:rsid w:val="00454E25"/>
    <w:rsid w:val="0045768B"/>
    <w:rsid w:val="004576A3"/>
    <w:rsid w:val="00457CB5"/>
    <w:rsid w:val="004607E9"/>
    <w:rsid w:val="004620E8"/>
    <w:rsid w:val="00462580"/>
    <w:rsid w:val="00462777"/>
    <w:rsid w:val="00463C66"/>
    <w:rsid w:val="00463FDB"/>
    <w:rsid w:val="00464080"/>
    <w:rsid w:val="00465091"/>
    <w:rsid w:val="0046525D"/>
    <w:rsid w:val="0046544B"/>
    <w:rsid w:val="00466093"/>
    <w:rsid w:val="00466535"/>
    <w:rsid w:val="00466BD5"/>
    <w:rsid w:val="00466FDD"/>
    <w:rsid w:val="00467134"/>
    <w:rsid w:val="004673C8"/>
    <w:rsid w:val="00471112"/>
    <w:rsid w:val="004713C4"/>
    <w:rsid w:val="0047219A"/>
    <w:rsid w:val="00473ABE"/>
    <w:rsid w:val="00474642"/>
    <w:rsid w:val="004748E1"/>
    <w:rsid w:val="0047535E"/>
    <w:rsid w:val="00475D2E"/>
    <w:rsid w:val="00475E95"/>
    <w:rsid w:val="00476310"/>
    <w:rsid w:val="0047636B"/>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0D3"/>
    <w:rsid w:val="00486D9D"/>
    <w:rsid w:val="00487CE4"/>
    <w:rsid w:val="004912EF"/>
    <w:rsid w:val="0049132F"/>
    <w:rsid w:val="00492758"/>
    <w:rsid w:val="00493615"/>
    <w:rsid w:val="004961D2"/>
    <w:rsid w:val="004961DF"/>
    <w:rsid w:val="00496302"/>
    <w:rsid w:val="004964DD"/>
    <w:rsid w:val="00496FD5"/>
    <w:rsid w:val="00497842"/>
    <w:rsid w:val="004A0DC5"/>
    <w:rsid w:val="004A1210"/>
    <w:rsid w:val="004A1A5A"/>
    <w:rsid w:val="004A1B2D"/>
    <w:rsid w:val="004A3B0C"/>
    <w:rsid w:val="004A3D4C"/>
    <w:rsid w:val="004A4B95"/>
    <w:rsid w:val="004A4DA9"/>
    <w:rsid w:val="004A5AE3"/>
    <w:rsid w:val="004A5F98"/>
    <w:rsid w:val="004A7988"/>
    <w:rsid w:val="004A79A6"/>
    <w:rsid w:val="004B20D0"/>
    <w:rsid w:val="004B23C6"/>
    <w:rsid w:val="004B2576"/>
    <w:rsid w:val="004B2AC7"/>
    <w:rsid w:val="004B33BB"/>
    <w:rsid w:val="004B3909"/>
    <w:rsid w:val="004B3E1A"/>
    <w:rsid w:val="004B4D91"/>
    <w:rsid w:val="004B4F59"/>
    <w:rsid w:val="004B51A1"/>
    <w:rsid w:val="004B56E1"/>
    <w:rsid w:val="004B6DDD"/>
    <w:rsid w:val="004B6F3F"/>
    <w:rsid w:val="004B7225"/>
    <w:rsid w:val="004C0C8D"/>
    <w:rsid w:val="004C0E52"/>
    <w:rsid w:val="004C0EED"/>
    <w:rsid w:val="004C31B0"/>
    <w:rsid w:val="004C37FE"/>
    <w:rsid w:val="004C4898"/>
    <w:rsid w:val="004C4A66"/>
    <w:rsid w:val="004C4E48"/>
    <w:rsid w:val="004C67F2"/>
    <w:rsid w:val="004C75E2"/>
    <w:rsid w:val="004C7B89"/>
    <w:rsid w:val="004C7CF9"/>
    <w:rsid w:val="004D2755"/>
    <w:rsid w:val="004D2A58"/>
    <w:rsid w:val="004D2AEB"/>
    <w:rsid w:val="004D2FF0"/>
    <w:rsid w:val="004D58AD"/>
    <w:rsid w:val="004D5FFF"/>
    <w:rsid w:val="004D7589"/>
    <w:rsid w:val="004D78B6"/>
    <w:rsid w:val="004E02B0"/>
    <w:rsid w:val="004E0E55"/>
    <w:rsid w:val="004E245E"/>
    <w:rsid w:val="004E3238"/>
    <w:rsid w:val="004E347C"/>
    <w:rsid w:val="004E3C3D"/>
    <w:rsid w:val="004E4256"/>
    <w:rsid w:val="004F16EE"/>
    <w:rsid w:val="004F1A34"/>
    <w:rsid w:val="004F20B7"/>
    <w:rsid w:val="004F218F"/>
    <w:rsid w:val="004F24C9"/>
    <w:rsid w:val="004F2558"/>
    <w:rsid w:val="004F2DDC"/>
    <w:rsid w:val="004F35F6"/>
    <w:rsid w:val="004F65EE"/>
    <w:rsid w:val="004F67FD"/>
    <w:rsid w:val="004F7BBD"/>
    <w:rsid w:val="005009DD"/>
    <w:rsid w:val="00501B9C"/>
    <w:rsid w:val="00502361"/>
    <w:rsid w:val="00502B44"/>
    <w:rsid w:val="00503269"/>
    <w:rsid w:val="00503E92"/>
    <w:rsid w:val="00503F60"/>
    <w:rsid w:val="005040B2"/>
    <w:rsid w:val="00504110"/>
    <w:rsid w:val="00504619"/>
    <w:rsid w:val="00505AE7"/>
    <w:rsid w:val="0050635F"/>
    <w:rsid w:val="00506845"/>
    <w:rsid w:val="0050731B"/>
    <w:rsid w:val="005074ED"/>
    <w:rsid w:val="005078D9"/>
    <w:rsid w:val="00507CC3"/>
    <w:rsid w:val="00507F23"/>
    <w:rsid w:val="0051026A"/>
    <w:rsid w:val="00512989"/>
    <w:rsid w:val="00512BE7"/>
    <w:rsid w:val="00512C03"/>
    <w:rsid w:val="00512FB7"/>
    <w:rsid w:val="00513B4F"/>
    <w:rsid w:val="00514732"/>
    <w:rsid w:val="0051568D"/>
    <w:rsid w:val="00516BA1"/>
    <w:rsid w:val="00516F2F"/>
    <w:rsid w:val="00517070"/>
    <w:rsid w:val="00517244"/>
    <w:rsid w:val="0051755D"/>
    <w:rsid w:val="005223E8"/>
    <w:rsid w:val="00522A10"/>
    <w:rsid w:val="0052334E"/>
    <w:rsid w:val="00525BB2"/>
    <w:rsid w:val="0052607D"/>
    <w:rsid w:val="00526828"/>
    <w:rsid w:val="005271A0"/>
    <w:rsid w:val="00527254"/>
    <w:rsid w:val="0052751B"/>
    <w:rsid w:val="00527CA6"/>
    <w:rsid w:val="00527D5D"/>
    <w:rsid w:val="005309DD"/>
    <w:rsid w:val="00530C6F"/>
    <w:rsid w:val="005310EC"/>
    <w:rsid w:val="00531544"/>
    <w:rsid w:val="00531713"/>
    <w:rsid w:val="005328E8"/>
    <w:rsid w:val="00533401"/>
    <w:rsid w:val="005342E6"/>
    <w:rsid w:val="005344C9"/>
    <w:rsid w:val="005345AB"/>
    <w:rsid w:val="005354A5"/>
    <w:rsid w:val="0053555B"/>
    <w:rsid w:val="005356EC"/>
    <w:rsid w:val="00535868"/>
    <w:rsid w:val="005363A0"/>
    <w:rsid w:val="005368A5"/>
    <w:rsid w:val="00536E96"/>
    <w:rsid w:val="00536F59"/>
    <w:rsid w:val="00537033"/>
    <w:rsid w:val="0053726D"/>
    <w:rsid w:val="00537C28"/>
    <w:rsid w:val="005404A4"/>
    <w:rsid w:val="005413FB"/>
    <w:rsid w:val="00541514"/>
    <w:rsid w:val="005421BC"/>
    <w:rsid w:val="005425CF"/>
    <w:rsid w:val="0054440E"/>
    <w:rsid w:val="00544CA6"/>
    <w:rsid w:val="005455C1"/>
    <w:rsid w:val="00545A2A"/>
    <w:rsid w:val="00545E74"/>
    <w:rsid w:val="005466E4"/>
    <w:rsid w:val="00546E79"/>
    <w:rsid w:val="00547C1F"/>
    <w:rsid w:val="0055061F"/>
    <w:rsid w:val="00551A73"/>
    <w:rsid w:val="005548FC"/>
    <w:rsid w:val="00555229"/>
    <w:rsid w:val="0055740A"/>
    <w:rsid w:val="005617EA"/>
    <w:rsid w:val="00561D4F"/>
    <w:rsid w:val="0056249D"/>
    <w:rsid w:val="0056269C"/>
    <w:rsid w:val="005626DF"/>
    <w:rsid w:val="00563932"/>
    <w:rsid w:val="00563DF6"/>
    <w:rsid w:val="00565203"/>
    <w:rsid w:val="00565838"/>
    <w:rsid w:val="00566792"/>
    <w:rsid w:val="00566B31"/>
    <w:rsid w:val="005673B9"/>
    <w:rsid w:val="005676D5"/>
    <w:rsid w:val="00567F3C"/>
    <w:rsid w:val="0057001E"/>
    <w:rsid w:val="005703A3"/>
    <w:rsid w:val="0057057D"/>
    <w:rsid w:val="005709A3"/>
    <w:rsid w:val="00572937"/>
    <w:rsid w:val="005732F7"/>
    <w:rsid w:val="00573D12"/>
    <w:rsid w:val="005743AA"/>
    <w:rsid w:val="005745EB"/>
    <w:rsid w:val="00575393"/>
    <w:rsid w:val="005753E2"/>
    <w:rsid w:val="005754E7"/>
    <w:rsid w:val="00575A9E"/>
    <w:rsid w:val="0057725D"/>
    <w:rsid w:val="00577BAA"/>
    <w:rsid w:val="00577EE2"/>
    <w:rsid w:val="00580AA8"/>
    <w:rsid w:val="00580DCB"/>
    <w:rsid w:val="00582F12"/>
    <w:rsid w:val="005832C6"/>
    <w:rsid w:val="00583F46"/>
    <w:rsid w:val="005840E1"/>
    <w:rsid w:val="0058418C"/>
    <w:rsid w:val="00585133"/>
    <w:rsid w:val="0058693E"/>
    <w:rsid w:val="00586A38"/>
    <w:rsid w:val="00587FAB"/>
    <w:rsid w:val="005906AD"/>
    <w:rsid w:val="005909AA"/>
    <w:rsid w:val="0059138E"/>
    <w:rsid w:val="005919FF"/>
    <w:rsid w:val="00591E11"/>
    <w:rsid w:val="00593390"/>
    <w:rsid w:val="00593513"/>
    <w:rsid w:val="00593E94"/>
    <w:rsid w:val="005953A1"/>
    <w:rsid w:val="00595AAB"/>
    <w:rsid w:val="00595B1D"/>
    <w:rsid w:val="00596F94"/>
    <w:rsid w:val="00597799"/>
    <w:rsid w:val="005A0306"/>
    <w:rsid w:val="005A05A8"/>
    <w:rsid w:val="005A0B0C"/>
    <w:rsid w:val="005A0B1B"/>
    <w:rsid w:val="005A2571"/>
    <w:rsid w:val="005A363B"/>
    <w:rsid w:val="005A3846"/>
    <w:rsid w:val="005A3D53"/>
    <w:rsid w:val="005A53D1"/>
    <w:rsid w:val="005A59C3"/>
    <w:rsid w:val="005A5C52"/>
    <w:rsid w:val="005A5DDB"/>
    <w:rsid w:val="005A6911"/>
    <w:rsid w:val="005A6F05"/>
    <w:rsid w:val="005A7B38"/>
    <w:rsid w:val="005B0CF8"/>
    <w:rsid w:val="005B298B"/>
    <w:rsid w:val="005B3562"/>
    <w:rsid w:val="005B4872"/>
    <w:rsid w:val="005B4E53"/>
    <w:rsid w:val="005B5D74"/>
    <w:rsid w:val="005B5E54"/>
    <w:rsid w:val="005B628B"/>
    <w:rsid w:val="005B6F85"/>
    <w:rsid w:val="005B75F3"/>
    <w:rsid w:val="005C06D7"/>
    <w:rsid w:val="005C0E24"/>
    <w:rsid w:val="005C1915"/>
    <w:rsid w:val="005C2471"/>
    <w:rsid w:val="005C2968"/>
    <w:rsid w:val="005C2FB7"/>
    <w:rsid w:val="005C3446"/>
    <w:rsid w:val="005C574E"/>
    <w:rsid w:val="005C57A7"/>
    <w:rsid w:val="005C5C95"/>
    <w:rsid w:val="005C7486"/>
    <w:rsid w:val="005C7ECE"/>
    <w:rsid w:val="005D0484"/>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7D39"/>
    <w:rsid w:val="005E0488"/>
    <w:rsid w:val="005E0961"/>
    <w:rsid w:val="005E0C97"/>
    <w:rsid w:val="005E0FA9"/>
    <w:rsid w:val="005E1257"/>
    <w:rsid w:val="005E1A7F"/>
    <w:rsid w:val="005E2916"/>
    <w:rsid w:val="005E2DF9"/>
    <w:rsid w:val="005E3D41"/>
    <w:rsid w:val="005E46CF"/>
    <w:rsid w:val="005E5E95"/>
    <w:rsid w:val="005E79C1"/>
    <w:rsid w:val="005F21F2"/>
    <w:rsid w:val="005F24F1"/>
    <w:rsid w:val="005F2BCD"/>
    <w:rsid w:val="005F301C"/>
    <w:rsid w:val="005F358F"/>
    <w:rsid w:val="005F35BD"/>
    <w:rsid w:val="005F3950"/>
    <w:rsid w:val="005F4458"/>
    <w:rsid w:val="005F61E1"/>
    <w:rsid w:val="005F72C2"/>
    <w:rsid w:val="005F757B"/>
    <w:rsid w:val="005F764F"/>
    <w:rsid w:val="005F7EDB"/>
    <w:rsid w:val="005F7FF9"/>
    <w:rsid w:val="006017B2"/>
    <w:rsid w:val="0060300C"/>
    <w:rsid w:val="00603810"/>
    <w:rsid w:val="0060488A"/>
    <w:rsid w:val="00606082"/>
    <w:rsid w:val="00607316"/>
    <w:rsid w:val="00610F5D"/>
    <w:rsid w:val="00611049"/>
    <w:rsid w:val="00611309"/>
    <w:rsid w:val="00611CDC"/>
    <w:rsid w:val="0061365D"/>
    <w:rsid w:val="00615757"/>
    <w:rsid w:val="00616596"/>
    <w:rsid w:val="00616A46"/>
    <w:rsid w:val="00616DE9"/>
    <w:rsid w:val="00617A9C"/>
    <w:rsid w:val="00617E4A"/>
    <w:rsid w:val="006215F8"/>
    <w:rsid w:val="006225E0"/>
    <w:rsid w:val="00623497"/>
    <w:rsid w:val="00623678"/>
    <w:rsid w:val="0062504D"/>
    <w:rsid w:val="0062544F"/>
    <w:rsid w:val="00627157"/>
    <w:rsid w:val="00627A6E"/>
    <w:rsid w:val="00627C1B"/>
    <w:rsid w:val="006303DF"/>
    <w:rsid w:val="006317D7"/>
    <w:rsid w:val="00631ECD"/>
    <w:rsid w:val="006325B4"/>
    <w:rsid w:val="00632749"/>
    <w:rsid w:val="0063321E"/>
    <w:rsid w:val="00633606"/>
    <w:rsid w:val="00634A88"/>
    <w:rsid w:val="00635BC6"/>
    <w:rsid w:val="00635D87"/>
    <w:rsid w:val="00636549"/>
    <w:rsid w:val="006365CA"/>
    <w:rsid w:val="0063667E"/>
    <w:rsid w:val="00636890"/>
    <w:rsid w:val="00636FB1"/>
    <w:rsid w:val="006409C6"/>
    <w:rsid w:val="006411C8"/>
    <w:rsid w:val="006416BB"/>
    <w:rsid w:val="006424E6"/>
    <w:rsid w:val="00643884"/>
    <w:rsid w:val="00643EF9"/>
    <w:rsid w:val="00644CE6"/>
    <w:rsid w:val="00645700"/>
    <w:rsid w:val="00646F99"/>
    <w:rsid w:val="00650B6B"/>
    <w:rsid w:val="00650D45"/>
    <w:rsid w:val="00650FBC"/>
    <w:rsid w:val="0065104D"/>
    <w:rsid w:val="0065190A"/>
    <w:rsid w:val="006520C5"/>
    <w:rsid w:val="00652606"/>
    <w:rsid w:val="0065264E"/>
    <w:rsid w:val="006532F3"/>
    <w:rsid w:val="00653669"/>
    <w:rsid w:val="0065503D"/>
    <w:rsid w:val="006554EE"/>
    <w:rsid w:val="00655FC5"/>
    <w:rsid w:val="006563F6"/>
    <w:rsid w:val="006605C3"/>
    <w:rsid w:val="006630D0"/>
    <w:rsid w:val="0066375B"/>
    <w:rsid w:val="006638DC"/>
    <w:rsid w:val="00664AB9"/>
    <w:rsid w:val="00666652"/>
    <w:rsid w:val="00666CAE"/>
    <w:rsid w:val="006672A0"/>
    <w:rsid w:val="006702C3"/>
    <w:rsid w:val="00671044"/>
    <w:rsid w:val="0067356D"/>
    <w:rsid w:val="0067478D"/>
    <w:rsid w:val="00675FB3"/>
    <w:rsid w:val="00676F47"/>
    <w:rsid w:val="006773DA"/>
    <w:rsid w:val="00677448"/>
    <w:rsid w:val="00677F67"/>
    <w:rsid w:val="006802D2"/>
    <w:rsid w:val="00680399"/>
    <w:rsid w:val="006808AC"/>
    <w:rsid w:val="00681510"/>
    <w:rsid w:val="00681798"/>
    <w:rsid w:val="00682647"/>
    <w:rsid w:val="00682B48"/>
    <w:rsid w:val="00683118"/>
    <w:rsid w:val="00683709"/>
    <w:rsid w:val="00684582"/>
    <w:rsid w:val="006849D1"/>
    <w:rsid w:val="00686287"/>
    <w:rsid w:val="006875AD"/>
    <w:rsid w:val="00687CB7"/>
    <w:rsid w:val="00692E18"/>
    <w:rsid w:val="006943C1"/>
    <w:rsid w:val="006944C2"/>
    <w:rsid w:val="00694BAB"/>
    <w:rsid w:val="00695FE2"/>
    <w:rsid w:val="00696022"/>
    <w:rsid w:val="00696513"/>
    <w:rsid w:val="0069655A"/>
    <w:rsid w:val="00696791"/>
    <w:rsid w:val="006A0F67"/>
    <w:rsid w:val="006A0FA7"/>
    <w:rsid w:val="006A2749"/>
    <w:rsid w:val="006A2A42"/>
    <w:rsid w:val="006A324B"/>
    <w:rsid w:val="006A367F"/>
    <w:rsid w:val="006A3D67"/>
    <w:rsid w:val="006A4956"/>
    <w:rsid w:val="006A4D1B"/>
    <w:rsid w:val="006A5182"/>
    <w:rsid w:val="006A545C"/>
    <w:rsid w:val="006A5BA2"/>
    <w:rsid w:val="006A5D06"/>
    <w:rsid w:val="006A6011"/>
    <w:rsid w:val="006A6D55"/>
    <w:rsid w:val="006A70C9"/>
    <w:rsid w:val="006A76B7"/>
    <w:rsid w:val="006B02F5"/>
    <w:rsid w:val="006B0E09"/>
    <w:rsid w:val="006B11D8"/>
    <w:rsid w:val="006B13C8"/>
    <w:rsid w:val="006B19A1"/>
    <w:rsid w:val="006B1B41"/>
    <w:rsid w:val="006B29BF"/>
    <w:rsid w:val="006B2CA9"/>
    <w:rsid w:val="006B3239"/>
    <w:rsid w:val="006B366C"/>
    <w:rsid w:val="006B367D"/>
    <w:rsid w:val="006B3D52"/>
    <w:rsid w:val="006B4665"/>
    <w:rsid w:val="006B55A6"/>
    <w:rsid w:val="006B56E3"/>
    <w:rsid w:val="006B6284"/>
    <w:rsid w:val="006B6D52"/>
    <w:rsid w:val="006C0978"/>
    <w:rsid w:val="006C1542"/>
    <w:rsid w:val="006C1A10"/>
    <w:rsid w:val="006C1DCD"/>
    <w:rsid w:val="006C33B0"/>
    <w:rsid w:val="006C4C62"/>
    <w:rsid w:val="006C4EF6"/>
    <w:rsid w:val="006C68DA"/>
    <w:rsid w:val="006C6E9D"/>
    <w:rsid w:val="006C71B1"/>
    <w:rsid w:val="006C7CF5"/>
    <w:rsid w:val="006D01D0"/>
    <w:rsid w:val="006D1B2E"/>
    <w:rsid w:val="006D257E"/>
    <w:rsid w:val="006D32EF"/>
    <w:rsid w:val="006D3921"/>
    <w:rsid w:val="006D398D"/>
    <w:rsid w:val="006D3E43"/>
    <w:rsid w:val="006D4DE9"/>
    <w:rsid w:val="006D51B5"/>
    <w:rsid w:val="006D55C0"/>
    <w:rsid w:val="006D5743"/>
    <w:rsid w:val="006D71BD"/>
    <w:rsid w:val="006D75BF"/>
    <w:rsid w:val="006E02EF"/>
    <w:rsid w:val="006E0AB3"/>
    <w:rsid w:val="006E0CED"/>
    <w:rsid w:val="006E1DE8"/>
    <w:rsid w:val="006E32BA"/>
    <w:rsid w:val="006E35CC"/>
    <w:rsid w:val="006E4DB9"/>
    <w:rsid w:val="006E501D"/>
    <w:rsid w:val="006E57DF"/>
    <w:rsid w:val="006E71B4"/>
    <w:rsid w:val="006F03EB"/>
    <w:rsid w:val="006F0438"/>
    <w:rsid w:val="006F2513"/>
    <w:rsid w:val="006F276F"/>
    <w:rsid w:val="006F3D67"/>
    <w:rsid w:val="006F4045"/>
    <w:rsid w:val="006F5582"/>
    <w:rsid w:val="006F581B"/>
    <w:rsid w:val="006F622B"/>
    <w:rsid w:val="006F6955"/>
    <w:rsid w:val="006F71B6"/>
    <w:rsid w:val="006F74B9"/>
    <w:rsid w:val="006F7A87"/>
    <w:rsid w:val="0070010A"/>
    <w:rsid w:val="0070019E"/>
    <w:rsid w:val="00700B96"/>
    <w:rsid w:val="00700F0C"/>
    <w:rsid w:val="00700F27"/>
    <w:rsid w:val="007014D0"/>
    <w:rsid w:val="0070245E"/>
    <w:rsid w:val="00702E7D"/>
    <w:rsid w:val="007038A4"/>
    <w:rsid w:val="00703EE6"/>
    <w:rsid w:val="007045D9"/>
    <w:rsid w:val="00705D21"/>
    <w:rsid w:val="00706209"/>
    <w:rsid w:val="00706C7C"/>
    <w:rsid w:val="00707348"/>
    <w:rsid w:val="00707AB6"/>
    <w:rsid w:val="007105D7"/>
    <w:rsid w:val="00710790"/>
    <w:rsid w:val="00710DAD"/>
    <w:rsid w:val="00710EC1"/>
    <w:rsid w:val="00710EC2"/>
    <w:rsid w:val="007115D5"/>
    <w:rsid w:val="007119C2"/>
    <w:rsid w:val="00712DF8"/>
    <w:rsid w:val="00713A10"/>
    <w:rsid w:val="007145C5"/>
    <w:rsid w:val="007149B4"/>
    <w:rsid w:val="00714F58"/>
    <w:rsid w:val="007151E8"/>
    <w:rsid w:val="00717D39"/>
    <w:rsid w:val="00717FBF"/>
    <w:rsid w:val="00717FF1"/>
    <w:rsid w:val="00721694"/>
    <w:rsid w:val="007259CD"/>
    <w:rsid w:val="0072671A"/>
    <w:rsid w:val="007273CC"/>
    <w:rsid w:val="0073096D"/>
    <w:rsid w:val="00730E92"/>
    <w:rsid w:val="007310B8"/>
    <w:rsid w:val="00731191"/>
    <w:rsid w:val="00731201"/>
    <w:rsid w:val="007321A8"/>
    <w:rsid w:val="007322A9"/>
    <w:rsid w:val="00733CC6"/>
    <w:rsid w:val="007340B2"/>
    <w:rsid w:val="0073443C"/>
    <w:rsid w:val="00736A08"/>
    <w:rsid w:val="0073723C"/>
    <w:rsid w:val="007377D8"/>
    <w:rsid w:val="00741C15"/>
    <w:rsid w:val="007421E7"/>
    <w:rsid w:val="0074243E"/>
    <w:rsid w:val="00742CB1"/>
    <w:rsid w:val="00743DC6"/>
    <w:rsid w:val="00743F6B"/>
    <w:rsid w:val="00744800"/>
    <w:rsid w:val="00744CCB"/>
    <w:rsid w:val="00745228"/>
    <w:rsid w:val="007452EE"/>
    <w:rsid w:val="007460E2"/>
    <w:rsid w:val="00747369"/>
    <w:rsid w:val="007474C2"/>
    <w:rsid w:val="00747A14"/>
    <w:rsid w:val="00747E2E"/>
    <w:rsid w:val="00747F1D"/>
    <w:rsid w:val="00751E2A"/>
    <w:rsid w:val="00753D2C"/>
    <w:rsid w:val="00753F4D"/>
    <w:rsid w:val="00754502"/>
    <w:rsid w:val="00754B3A"/>
    <w:rsid w:val="007551C3"/>
    <w:rsid w:val="007552CE"/>
    <w:rsid w:val="007555E4"/>
    <w:rsid w:val="0075700C"/>
    <w:rsid w:val="00757F41"/>
    <w:rsid w:val="007613D7"/>
    <w:rsid w:val="00761AB4"/>
    <w:rsid w:val="007629C1"/>
    <w:rsid w:val="00762F95"/>
    <w:rsid w:val="007638DE"/>
    <w:rsid w:val="00763C90"/>
    <w:rsid w:val="00763D81"/>
    <w:rsid w:val="00763FB6"/>
    <w:rsid w:val="00766280"/>
    <w:rsid w:val="007665CA"/>
    <w:rsid w:val="007666A0"/>
    <w:rsid w:val="00766773"/>
    <w:rsid w:val="00766B82"/>
    <w:rsid w:val="00766F34"/>
    <w:rsid w:val="007676A7"/>
    <w:rsid w:val="00767902"/>
    <w:rsid w:val="007717AA"/>
    <w:rsid w:val="00771F1F"/>
    <w:rsid w:val="00772FB5"/>
    <w:rsid w:val="00775317"/>
    <w:rsid w:val="00775E5A"/>
    <w:rsid w:val="007764DD"/>
    <w:rsid w:val="0077775E"/>
    <w:rsid w:val="007777B6"/>
    <w:rsid w:val="007778D9"/>
    <w:rsid w:val="00780163"/>
    <w:rsid w:val="00780C65"/>
    <w:rsid w:val="007812D1"/>
    <w:rsid w:val="007815F4"/>
    <w:rsid w:val="00782633"/>
    <w:rsid w:val="00782C99"/>
    <w:rsid w:val="007834F7"/>
    <w:rsid w:val="007855A8"/>
    <w:rsid w:val="00785D0E"/>
    <w:rsid w:val="00787651"/>
    <w:rsid w:val="007912C7"/>
    <w:rsid w:val="0079163E"/>
    <w:rsid w:val="0079193C"/>
    <w:rsid w:val="00793817"/>
    <w:rsid w:val="007950BA"/>
    <w:rsid w:val="00795104"/>
    <w:rsid w:val="00796014"/>
    <w:rsid w:val="007A0D16"/>
    <w:rsid w:val="007A1193"/>
    <w:rsid w:val="007A14F9"/>
    <w:rsid w:val="007A19EF"/>
    <w:rsid w:val="007A2C5B"/>
    <w:rsid w:val="007A2D3C"/>
    <w:rsid w:val="007A3445"/>
    <w:rsid w:val="007A3538"/>
    <w:rsid w:val="007A430F"/>
    <w:rsid w:val="007A4B1E"/>
    <w:rsid w:val="007A59DD"/>
    <w:rsid w:val="007A74B5"/>
    <w:rsid w:val="007A7A46"/>
    <w:rsid w:val="007B001D"/>
    <w:rsid w:val="007B03C7"/>
    <w:rsid w:val="007B06E5"/>
    <w:rsid w:val="007B0D9D"/>
    <w:rsid w:val="007B14C6"/>
    <w:rsid w:val="007B1578"/>
    <w:rsid w:val="007B2C29"/>
    <w:rsid w:val="007B3672"/>
    <w:rsid w:val="007B39B1"/>
    <w:rsid w:val="007B4013"/>
    <w:rsid w:val="007B44A1"/>
    <w:rsid w:val="007B4789"/>
    <w:rsid w:val="007B49F7"/>
    <w:rsid w:val="007B571F"/>
    <w:rsid w:val="007B5CF7"/>
    <w:rsid w:val="007B63B3"/>
    <w:rsid w:val="007B651E"/>
    <w:rsid w:val="007C0019"/>
    <w:rsid w:val="007C0454"/>
    <w:rsid w:val="007C0478"/>
    <w:rsid w:val="007C0BF6"/>
    <w:rsid w:val="007C203A"/>
    <w:rsid w:val="007C20A9"/>
    <w:rsid w:val="007C2CB6"/>
    <w:rsid w:val="007C311B"/>
    <w:rsid w:val="007C3B77"/>
    <w:rsid w:val="007C5849"/>
    <w:rsid w:val="007C5976"/>
    <w:rsid w:val="007C6448"/>
    <w:rsid w:val="007C6496"/>
    <w:rsid w:val="007C6841"/>
    <w:rsid w:val="007C6DF2"/>
    <w:rsid w:val="007C77E0"/>
    <w:rsid w:val="007D11FF"/>
    <w:rsid w:val="007D2D3E"/>
    <w:rsid w:val="007D349D"/>
    <w:rsid w:val="007D3FAF"/>
    <w:rsid w:val="007D4387"/>
    <w:rsid w:val="007D43A0"/>
    <w:rsid w:val="007D52DA"/>
    <w:rsid w:val="007D53B9"/>
    <w:rsid w:val="007D6897"/>
    <w:rsid w:val="007D7388"/>
    <w:rsid w:val="007D7ED3"/>
    <w:rsid w:val="007E01B3"/>
    <w:rsid w:val="007E0D88"/>
    <w:rsid w:val="007E1652"/>
    <w:rsid w:val="007E2634"/>
    <w:rsid w:val="007E2DC5"/>
    <w:rsid w:val="007E3889"/>
    <w:rsid w:val="007E44D4"/>
    <w:rsid w:val="007E46CF"/>
    <w:rsid w:val="007E48FD"/>
    <w:rsid w:val="007E5F3F"/>
    <w:rsid w:val="007E61A3"/>
    <w:rsid w:val="007E6383"/>
    <w:rsid w:val="007E6546"/>
    <w:rsid w:val="007E6ADC"/>
    <w:rsid w:val="007E70F8"/>
    <w:rsid w:val="007E7842"/>
    <w:rsid w:val="007E796C"/>
    <w:rsid w:val="007F022F"/>
    <w:rsid w:val="007F0586"/>
    <w:rsid w:val="007F19B2"/>
    <w:rsid w:val="007F3026"/>
    <w:rsid w:val="007F310C"/>
    <w:rsid w:val="007F4A8F"/>
    <w:rsid w:val="007F560A"/>
    <w:rsid w:val="007F5D7C"/>
    <w:rsid w:val="007F61EF"/>
    <w:rsid w:val="007F63AE"/>
    <w:rsid w:val="007F6FFC"/>
    <w:rsid w:val="007F778F"/>
    <w:rsid w:val="007F7C95"/>
    <w:rsid w:val="008018A5"/>
    <w:rsid w:val="00801FD2"/>
    <w:rsid w:val="008021B4"/>
    <w:rsid w:val="00803780"/>
    <w:rsid w:val="00803CBF"/>
    <w:rsid w:val="00804E30"/>
    <w:rsid w:val="008056B4"/>
    <w:rsid w:val="00805F48"/>
    <w:rsid w:val="00805FC4"/>
    <w:rsid w:val="00806D99"/>
    <w:rsid w:val="00806F6A"/>
    <w:rsid w:val="00811FC3"/>
    <w:rsid w:val="0081423D"/>
    <w:rsid w:val="00814645"/>
    <w:rsid w:val="00814B98"/>
    <w:rsid w:val="00816D24"/>
    <w:rsid w:val="00817BC2"/>
    <w:rsid w:val="00817C24"/>
    <w:rsid w:val="00820631"/>
    <w:rsid w:val="00820998"/>
    <w:rsid w:val="00820D56"/>
    <w:rsid w:val="00820DE9"/>
    <w:rsid w:val="0082150D"/>
    <w:rsid w:val="0082151E"/>
    <w:rsid w:val="0082160C"/>
    <w:rsid w:val="00821F3E"/>
    <w:rsid w:val="00824AD7"/>
    <w:rsid w:val="00825AE9"/>
    <w:rsid w:val="00826500"/>
    <w:rsid w:val="0082661C"/>
    <w:rsid w:val="00826662"/>
    <w:rsid w:val="0082684D"/>
    <w:rsid w:val="00826F9D"/>
    <w:rsid w:val="00830A68"/>
    <w:rsid w:val="00830B35"/>
    <w:rsid w:val="00833658"/>
    <w:rsid w:val="00833666"/>
    <w:rsid w:val="0083389A"/>
    <w:rsid w:val="00834941"/>
    <w:rsid w:val="00835679"/>
    <w:rsid w:val="00835D65"/>
    <w:rsid w:val="00835D83"/>
    <w:rsid w:val="0083603D"/>
    <w:rsid w:val="008368E7"/>
    <w:rsid w:val="00836DBC"/>
    <w:rsid w:val="008371E0"/>
    <w:rsid w:val="0083730E"/>
    <w:rsid w:val="00837B44"/>
    <w:rsid w:val="008403B9"/>
    <w:rsid w:val="008408D0"/>
    <w:rsid w:val="008421A5"/>
    <w:rsid w:val="0084232E"/>
    <w:rsid w:val="00843FDC"/>
    <w:rsid w:val="00844AB1"/>
    <w:rsid w:val="00844E64"/>
    <w:rsid w:val="0084676D"/>
    <w:rsid w:val="00847A39"/>
    <w:rsid w:val="00847C43"/>
    <w:rsid w:val="00850329"/>
    <w:rsid w:val="0085098F"/>
    <w:rsid w:val="00850B4C"/>
    <w:rsid w:val="00850CF7"/>
    <w:rsid w:val="00850F42"/>
    <w:rsid w:val="008514D8"/>
    <w:rsid w:val="00851A63"/>
    <w:rsid w:val="0085293F"/>
    <w:rsid w:val="00852C4C"/>
    <w:rsid w:val="00852D17"/>
    <w:rsid w:val="00852DB8"/>
    <w:rsid w:val="00853325"/>
    <w:rsid w:val="00855575"/>
    <w:rsid w:val="008558F5"/>
    <w:rsid w:val="00856732"/>
    <w:rsid w:val="00856BD1"/>
    <w:rsid w:val="0085720B"/>
    <w:rsid w:val="0085722C"/>
    <w:rsid w:val="008602C0"/>
    <w:rsid w:val="0086074D"/>
    <w:rsid w:val="008608F8"/>
    <w:rsid w:val="00860F41"/>
    <w:rsid w:val="00861170"/>
    <w:rsid w:val="008620D3"/>
    <w:rsid w:val="008623B7"/>
    <w:rsid w:val="008626AF"/>
    <w:rsid w:val="008638AC"/>
    <w:rsid w:val="008638FB"/>
    <w:rsid w:val="008639B4"/>
    <w:rsid w:val="00863E2F"/>
    <w:rsid w:val="008640C0"/>
    <w:rsid w:val="00864288"/>
    <w:rsid w:val="0086660C"/>
    <w:rsid w:val="0086740F"/>
    <w:rsid w:val="008676B2"/>
    <w:rsid w:val="00867843"/>
    <w:rsid w:val="00870772"/>
    <w:rsid w:val="00870A9F"/>
    <w:rsid w:val="00870D87"/>
    <w:rsid w:val="0087172E"/>
    <w:rsid w:val="00871CC0"/>
    <w:rsid w:val="0087201A"/>
    <w:rsid w:val="00872541"/>
    <w:rsid w:val="008726EA"/>
    <w:rsid w:val="0087307B"/>
    <w:rsid w:val="00873FDB"/>
    <w:rsid w:val="00875BC1"/>
    <w:rsid w:val="00876426"/>
    <w:rsid w:val="00876B46"/>
    <w:rsid w:val="008770CA"/>
    <w:rsid w:val="00877D4B"/>
    <w:rsid w:val="00880229"/>
    <w:rsid w:val="0088099F"/>
    <w:rsid w:val="00880A1F"/>
    <w:rsid w:val="00880D95"/>
    <w:rsid w:val="00882369"/>
    <w:rsid w:val="00882723"/>
    <w:rsid w:val="00882CCF"/>
    <w:rsid w:val="00884605"/>
    <w:rsid w:val="00884BC7"/>
    <w:rsid w:val="00884CB0"/>
    <w:rsid w:val="00884D43"/>
    <w:rsid w:val="00885936"/>
    <w:rsid w:val="0088618F"/>
    <w:rsid w:val="00886636"/>
    <w:rsid w:val="00890273"/>
    <w:rsid w:val="00890ACA"/>
    <w:rsid w:val="00891B59"/>
    <w:rsid w:val="00891D22"/>
    <w:rsid w:val="008920F4"/>
    <w:rsid w:val="008931C6"/>
    <w:rsid w:val="008948DC"/>
    <w:rsid w:val="00894FF1"/>
    <w:rsid w:val="00895303"/>
    <w:rsid w:val="00895536"/>
    <w:rsid w:val="008972C2"/>
    <w:rsid w:val="00897B71"/>
    <w:rsid w:val="008A04D8"/>
    <w:rsid w:val="008A0AB4"/>
    <w:rsid w:val="008A100F"/>
    <w:rsid w:val="008A1E81"/>
    <w:rsid w:val="008A1FD2"/>
    <w:rsid w:val="008A35B2"/>
    <w:rsid w:val="008A3E58"/>
    <w:rsid w:val="008A3FAD"/>
    <w:rsid w:val="008A435F"/>
    <w:rsid w:val="008A44C7"/>
    <w:rsid w:val="008A4A76"/>
    <w:rsid w:val="008A51E4"/>
    <w:rsid w:val="008A561B"/>
    <w:rsid w:val="008A5CA1"/>
    <w:rsid w:val="008A604A"/>
    <w:rsid w:val="008B04B5"/>
    <w:rsid w:val="008B1A82"/>
    <w:rsid w:val="008B1C54"/>
    <w:rsid w:val="008B2FA0"/>
    <w:rsid w:val="008B4843"/>
    <w:rsid w:val="008B5517"/>
    <w:rsid w:val="008B591D"/>
    <w:rsid w:val="008B5DDC"/>
    <w:rsid w:val="008B633B"/>
    <w:rsid w:val="008B7A80"/>
    <w:rsid w:val="008C0063"/>
    <w:rsid w:val="008C0505"/>
    <w:rsid w:val="008C0A27"/>
    <w:rsid w:val="008C137D"/>
    <w:rsid w:val="008C1398"/>
    <w:rsid w:val="008C1A45"/>
    <w:rsid w:val="008C1C8D"/>
    <w:rsid w:val="008C2A23"/>
    <w:rsid w:val="008C3173"/>
    <w:rsid w:val="008C3852"/>
    <w:rsid w:val="008C3E48"/>
    <w:rsid w:val="008C3FE5"/>
    <w:rsid w:val="008C4A29"/>
    <w:rsid w:val="008C5730"/>
    <w:rsid w:val="008C57C3"/>
    <w:rsid w:val="008C6C58"/>
    <w:rsid w:val="008C7E94"/>
    <w:rsid w:val="008C7FFE"/>
    <w:rsid w:val="008D0FD1"/>
    <w:rsid w:val="008D1336"/>
    <w:rsid w:val="008D18AF"/>
    <w:rsid w:val="008D190E"/>
    <w:rsid w:val="008D218A"/>
    <w:rsid w:val="008D24D0"/>
    <w:rsid w:val="008D3926"/>
    <w:rsid w:val="008D4551"/>
    <w:rsid w:val="008D79E7"/>
    <w:rsid w:val="008E1608"/>
    <w:rsid w:val="008E21B6"/>
    <w:rsid w:val="008E2B50"/>
    <w:rsid w:val="008E2D4D"/>
    <w:rsid w:val="008E2F71"/>
    <w:rsid w:val="008E3662"/>
    <w:rsid w:val="008E457E"/>
    <w:rsid w:val="008E4DC2"/>
    <w:rsid w:val="008E5E2E"/>
    <w:rsid w:val="008E71B4"/>
    <w:rsid w:val="008E73F9"/>
    <w:rsid w:val="008F00BB"/>
    <w:rsid w:val="008F051F"/>
    <w:rsid w:val="008F13D9"/>
    <w:rsid w:val="008F1630"/>
    <w:rsid w:val="008F172B"/>
    <w:rsid w:val="008F1C0F"/>
    <w:rsid w:val="008F2804"/>
    <w:rsid w:val="008F5111"/>
    <w:rsid w:val="008F5C36"/>
    <w:rsid w:val="00901665"/>
    <w:rsid w:val="00901F45"/>
    <w:rsid w:val="00903609"/>
    <w:rsid w:val="00903A05"/>
    <w:rsid w:val="00903EEC"/>
    <w:rsid w:val="0090409E"/>
    <w:rsid w:val="00904AE2"/>
    <w:rsid w:val="00905238"/>
    <w:rsid w:val="00905C84"/>
    <w:rsid w:val="00905FAC"/>
    <w:rsid w:val="00906C0E"/>
    <w:rsid w:val="00907840"/>
    <w:rsid w:val="00910649"/>
    <w:rsid w:val="009118D9"/>
    <w:rsid w:val="009123D3"/>
    <w:rsid w:val="009135D1"/>
    <w:rsid w:val="00913F74"/>
    <w:rsid w:val="009147D1"/>
    <w:rsid w:val="00915A71"/>
    <w:rsid w:val="00916427"/>
    <w:rsid w:val="009206E6"/>
    <w:rsid w:val="009206EC"/>
    <w:rsid w:val="009212BE"/>
    <w:rsid w:val="00922A55"/>
    <w:rsid w:val="009231D5"/>
    <w:rsid w:val="009240C9"/>
    <w:rsid w:val="009247E8"/>
    <w:rsid w:val="00925699"/>
    <w:rsid w:val="00926E82"/>
    <w:rsid w:val="0092707F"/>
    <w:rsid w:val="00927683"/>
    <w:rsid w:val="00927AC4"/>
    <w:rsid w:val="00927B87"/>
    <w:rsid w:val="009313F7"/>
    <w:rsid w:val="00932D0F"/>
    <w:rsid w:val="00932D87"/>
    <w:rsid w:val="00932F6E"/>
    <w:rsid w:val="009334D3"/>
    <w:rsid w:val="00933D2F"/>
    <w:rsid w:val="009346ED"/>
    <w:rsid w:val="00934A0E"/>
    <w:rsid w:val="00935560"/>
    <w:rsid w:val="00935C15"/>
    <w:rsid w:val="0093625A"/>
    <w:rsid w:val="009365F7"/>
    <w:rsid w:val="0093675E"/>
    <w:rsid w:val="00937184"/>
    <w:rsid w:val="009371E5"/>
    <w:rsid w:val="009415EF"/>
    <w:rsid w:val="00941F76"/>
    <w:rsid w:val="00941FD9"/>
    <w:rsid w:val="0094294A"/>
    <w:rsid w:val="009435B9"/>
    <w:rsid w:val="009435C5"/>
    <w:rsid w:val="00944007"/>
    <w:rsid w:val="00944C17"/>
    <w:rsid w:val="00944DDA"/>
    <w:rsid w:val="00945DB4"/>
    <w:rsid w:val="00945F1B"/>
    <w:rsid w:val="009467DA"/>
    <w:rsid w:val="00946E12"/>
    <w:rsid w:val="009474A6"/>
    <w:rsid w:val="009474B4"/>
    <w:rsid w:val="00947D77"/>
    <w:rsid w:val="00950953"/>
    <w:rsid w:val="00950F60"/>
    <w:rsid w:val="00952D8F"/>
    <w:rsid w:val="00954001"/>
    <w:rsid w:val="00954B12"/>
    <w:rsid w:val="009556B9"/>
    <w:rsid w:val="00955DA1"/>
    <w:rsid w:val="00955EF0"/>
    <w:rsid w:val="00955EFC"/>
    <w:rsid w:val="009568B9"/>
    <w:rsid w:val="0095716A"/>
    <w:rsid w:val="009579CD"/>
    <w:rsid w:val="00957A10"/>
    <w:rsid w:val="009601DF"/>
    <w:rsid w:val="00961CB1"/>
    <w:rsid w:val="00961FDF"/>
    <w:rsid w:val="00962D44"/>
    <w:rsid w:val="00962F60"/>
    <w:rsid w:val="00963F22"/>
    <w:rsid w:val="009642BF"/>
    <w:rsid w:val="0096492D"/>
    <w:rsid w:val="00964FCB"/>
    <w:rsid w:val="00965772"/>
    <w:rsid w:val="0096586E"/>
    <w:rsid w:val="00965D27"/>
    <w:rsid w:val="0096627C"/>
    <w:rsid w:val="00967730"/>
    <w:rsid w:val="00967CE9"/>
    <w:rsid w:val="0097122E"/>
    <w:rsid w:val="009718BD"/>
    <w:rsid w:val="00972794"/>
    <w:rsid w:val="009731DF"/>
    <w:rsid w:val="00973F69"/>
    <w:rsid w:val="00974958"/>
    <w:rsid w:val="009757A3"/>
    <w:rsid w:val="00975F24"/>
    <w:rsid w:val="00975F80"/>
    <w:rsid w:val="0097652C"/>
    <w:rsid w:val="00976BE3"/>
    <w:rsid w:val="0097745D"/>
    <w:rsid w:val="00977C4D"/>
    <w:rsid w:val="009814A0"/>
    <w:rsid w:val="009816C4"/>
    <w:rsid w:val="00982300"/>
    <w:rsid w:val="00982724"/>
    <w:rsid w:val="00982AF5"/>
    <w:rsid w:val="00982FB4"/>
    <w:rsid w:val="00983D5C"/>
    <w:rsid w:val="009842BF"/>
    <w:rsid w:val="009844AD"/>
    <w:rsid w:val="009848F5"/>
    <w:rsid w:val="009855EC"/>
    <w:rsid w:val="00986437"/>
    <w:rsid w:val="00987697"/>
    <w:rsid w:val="009876AE"/>
    <w:rsid w:val="0099032A"/>
    <w:rsid w:val="009906C6"/>
    <w:rsid w:val="009906FF"/>
    <w:rsid w:val="00990F21"/>
    <w:rsid w:val="00991099"/>
    <w:rsid w:val="009911D6"/>
    <w:rsid w:val="00991AAA"/>
    <w:rsid w:val="009925C4"/>
    <w:rsid w:val="009937A9"/>
    <w:rsid w:val="00993F81"/>
    <w:rsid w:val="0099593B"/>
    <w:rsid w:val="00995BC8"/>
    <w:rsid w:val="00995D41"/>
    <w:rsid w:val="00997ADC"/>
    <w:rsid w:val="009A0CA0"/>
    <w:rsid w:val="009A1034"/>
    <w:rsid w:val="009A1F3C"/>
    <w:rsid w:val="009A31DC"/>
    <w:rsid w:val="009A4ACD"/>
    <w:rsid w:val="009A4D3A"/>
    <w:rsid w:val="009A542D"/>
    <w:rsid w:val="009A579A"/>
    <w:rsid w:val="009A5842"/>
    <w:rsid w:val="009A58EE"/>
    <w:rsid w:val="009A5AB7"/>
    <w:rsid w:val="009A6C41"/>
    <w:rsid w:val="009A6EBF"/>
    <w:rsid w:val="009A6F0D"/>
    <w:rsid w:val="009A7C33"/>
    <w:rsid w:val="009B04C3"/>
    <w:rsid w:val="009B0F04"/>
    <w:rsid w:val="009B3B1F"/>
    <w:rsid w:val="009B46A3"/>
    <w:rsid w:val="009B4B9C"/>
    <w:rsid w:val="009B5285"/>
    <w:rsid w:val="009B7E0D"/>
    <w:rsid w:val="009B7E67"/>
    <w:rsid w:val="009C00A0"/>
    <w:rsid w:val="009C0134"/>
    <w:rsid w:val="009C116D"/>
    <w:rsid w:val="009C19CB"/>
    <w:rsid w:val="009C32C6"/>
    <w:rsid w:val="009C3317"/>
    <w:rsid w:val="009C3730"/>
    <w:rsid w:val="009C3D2F"/>
    <w:rsid w:val="009C439D"/>
    <w:rsid w:val="009C5425"/>
    <w:rsid w:val="009C5BDD"/>
    <w:rsid w:val="009C5CE4"/>
    <w:rsid w:val="009C6975"/>
    <w:rsid w:val="009C6C86"/>
    <w:rsid w:val="009D0362"/>
    <w:rsid w:val="009D11F2"/>
    <w:rsid w:val="009D1238"/>
    <w:rsid w:val="009D155E"/>
    <w:rsid w:val="009D17CB"/>
    <w:rsid w:val="009D2A93"/>
    <w:rsid w:val="009D4798"/>
    <w:rsid w:val="009D4F4F"/>
    <w:rsid w:val="009D5B11"/>
    <w:rsid w:val="009D5EB7"/>
    <w:rsid w:val="009D60E5"/>
    <w:rsid w:val="009D688E"/>
    <w:rsid w:val="009D6AC2"/>
    <w:rsid w:val="009E00F0"/>
    <w:rsid w:val="009E1697"/>
    <w:rsid w:val="009E17C6"/>
    <w:rsid w:val="009E20F5"/>
    <w:rsid w:val="009E2347"/>
    <w:rsid w:val="009E2670"/>
    <w:rsid w:val="009E28A9"/>
    <w:rsid w:val="009E2DC5"/>
    <w:rsid w:val="009E2FAF"/>
    <w:rsid w:val="009E38A2"/>
    <w:rsid w:val="009E44EF"/>
    <w:rsid w:val="009E6B5A"/>
    <w:rsid w:val="009F0B27"/>
    <w:rsid w:val="009F1EA1"/>
    <w:rsid w:val="009F3638"/>
    <w:rsid w:val="009F36FE"/>
    <w:rsid w:val="009F3BBB"/>
    <w:rsid w:val="009F4234"/>
    <w:rsid w:val="009F489F"/>
    <w:rsid w:val="009F51EE"/>
    <w:rsid w:val="009F577B"/>
    <w:rsid w:val="009F5D19"/>
    <w:rsid w:val="009F6230"/>
    <w:rsid w:val="009F65C9"/>
    <w:rsid w:val="009F6BC2"/>
    <w:rsid w:val="009F76FF"/>
    <w:rsid w:val="009F7B35"/>
    <w:rsid w:val="00A011AA"/>
    <w:rsid w:val="00A01F94"/>
    <w:rsid w:val="00A027CF"/>
    <w:rsid w:val="00A0368F"/>
    <w:rsid w:val="00A04D6A"/>
    <w:rsid w:val="00A054C8"/>
    <w:rsid w:val="00A057C9"/>
    <w:rsid w:val="00A05C3D"/>
    <w:rsid w:val="00A0614F"/>
    <w:rsid w:val="00A0699D"/>
    <w:rsid w:val="00A07566"/>
    <w:rsid w:val="00A07573"/>
    <w:rsid w:val="00A07A13"/>
    <w:rsid w:val="00A07D3F"/>
    <w:rsid w:val="00A10ACA"/>
    <w:rsid w:val="00A11E85"/>
    <w:rsid w:val="00A147F0"/>
    <w:rsid w:val="00A1535A"/>
    <w:rsid w:val="00A16B39"/>
    <w:rsid w:val="00A16B6D"/>
    <w:rsid w:val="00A17003"/>
    <w:rsid w:val="00A17957"/>
    <w:rsid w:val="00A20185"/>
    <w:rsid w:val="00A20AB5"/>
    <w:rsid w:val="00A20C00"/>
    <w:rsid w:val="00A20DBC"/>
    <w:rsid w:val="00A20ED6"/>
    <w:rsid w:val="00A210B5"/>
    <w:rsid w:val="00A21C76"/>
    <w:rsid w:val="00A21FD7"/>
    <w:rsid w:val="00A2256E"/>
    <w:rsid w:val="00A22687"/>
    <w:rsid w:val="00A22CD6"/>
    <w:rsid w:val="00A24707"/>
    <w:rsid w:val="00A24DF1"/>
    <w:rsid w:val="00A25011"/>
    <w:rsid w:val="00A2594A"/>
    <w:rsid w:val="00A265E6"/>
    <w:rsid w:val="00A27176"/>
    <w:rsid w:val="00A27305"/>
    <w:rsid w:val="00A2786F"/>
    <w:rsid w:val="00A278A6"/>
    <w:rsid w:val="00A2791D"/>
    <w:rsid w:val="00A3077C"/>
    <w:rsid w:val="00A30B34"/>
    <w:rsid w:val="00A31712"/>
    <w:rsid w:val="00A317EC"/>
    <w:rsid w:val="00A31A70"/>
    <w:rsid w:val="00A324EC"/>
    <w:rsid w:val="00A32CFA"/>
    <w:rsid w:val="00A3326A"/>
    <w:rsid w:val="00A33530"/>
    <w:rsid w:val="00A335A1"/>
    <w:rsid w:val="00A335C2"/>
    <w:rsid w:val="00A33D2B"/>
    <w:rsid w:val="00A3580C"/>
    <w:rsid w:val="00A3598B"/>
    <w:rsid w:val="00A37418"/>
    <w:rsid w:val="00A3773A"/>
    <w:rsid w:val="00A415D9"/>
    <w:rsid w:val="00A41ACE"/>
    <w:rsid w:val="00A41F5B"/>
    <w:rsid w:val="00A42067"/>
    <w:rsid w:val="00A42271"/>
    <w:rsid w:val="00A42BAC"/>
    <w:rsid w:val="00A430DA"/>
    <w:rsid w:val="00A430E5"/>
    <w:rsid w:val="00A4366F"/>
    <w:rsid w:val="00A436D3"/>
    <w:rsid w:val="00A441B0"/>
    <w:rsid w:val="00A4459C"/>
    <w:rsid w:val="00A44D02"/>
    <w:rsid w:val="00A45A69"/>
    <w:rsid w:val="00A4686B"/>
    <w:rsid w:val="00A46B8A"/>
    <w:rsid w:val="00A47550"/>
    <w:rsid w:val="00A47C29"/>
    <w:rsid w:val="00A501A8"/>
    <w:rsid w:val="00A51725"/>
    <w:rsid w:val="00A52228"/>
    <w:rsid w:val="00A533D3"/>
    <w:rsid w:val="00A53D38"/>
    <w:rsid w:val="00A5518B"/>
    <w:rsid w:val="00A568C4"/>
    <w:rsid w:val="00A579F0"/>
    <w:rsid w:val="00A57A9E"/>
    <w:rsid w:val="00A57DE7"/>
    <w:rsid w:val="00A603C4"/>
    <w:rsid w:val="00A60D2E"/>
    <w:rsid w:val="00A60E47"/>
    <w:rsid w:val="00A61BCF"/>
    <w:rsid w:val="00A6255A"/>
    <w:rsid w:val="00A62D98"/>
    <w:rsid w:val="00A63990"/>
    <w:rsid w:val="00A64B7D"/>
    <w:rsid w:val="00A64CDD"/>
    <w:rsid w:val="00A669C0"/>
    <w:rsid w:val="00A719CB"/>
    <w:rsid w:val="00A725AE"/>
    <w:rsid w:val="00A725DF"/>
    <w:rsid w:val="00A72A01"/>
    <w:rsid w:val="00A7387D"/>
    <w:rsid w:val="00A739B9"/>
    <w:rsid w:val="00A74207"/>
    <w:rsid w:val="00A744AE"/>
    <w:rsid w:val="00A74DAA"/>
    <w:rsid w:val="00A75174"/>
    <w:rsid w:val="00A754F8"/>
    <w:rsid w:val="00A75DA2"/>
    <w:rsid w:val="00A77041"/>
    <w:rsid w:val="00A774A0"/>
    <w:rsid w:val="00A77839"/>
    <w:rsid w:val="00A77B6E"/>
    <w:rsid w:val="00A77C7A"/>
    <w:rsid w:val="00A80C7D"/>
    <w:rsid w:val="00A8167B"/>
    <w:rsid w:val="00A81737"/>
    <w:rsid w:val="00A8438D"/>
    <w:rsid w:val="00A84CE5"/>
    <w:rsid w:val="00A84DF0"/>
    <w:rsid w:val="00A85045"/>
    <w:rsid w:val="00A85E68"/>
    <w:rsid w:val="00A8648C"/>
    <w:rsid w:val="00A909AC"/>
    <w:rsid w:val="00A90A59"/>
    <w:rsid w:val="00A90BC4"/>
    <w:rsid w:val="00A915D7"/>
    <w:rsid w:val="00A9193F"/>
    <w:rsid w:val="00A944E6"/>
    <w:rsid w:val="00A94543"/>
    <w:rsid w:val="00A94DE0"/>
    <w:rsid w:val="00A9558C"/>
    <w:rsid w:val="00A95A81"/>
    <w:rsid w:val="00A95DDA"/>
    <w:rsid w:val="00A95E38"/>
    <w:rsid w:val="00A9635D"/>
    <w:rsid w:val="00A96F15"/>
    <w:rsid w:val="00A9722B"/>
    <w:rsid w:val="00A975CB"/>
    <w:rsid w:val="00AA0E02"/>
    <w:rsid w:val="00AA0E7F"/>
    <w:rsid w:val="00AA1756"/>
    <w:rsid w:val="00AA19ED"/>
    <w:rsid w:val="00AA202A"/>
    <w:rsid w:val="00AA20CA"/>
    <w:rsid w:val="00AA22FC"/>
    <w:rsid w:val="00AA2C88"/>
    <w:rsid w:val="00AA3095"/>
    <w:rsid w:val="00AA3C66"/>
    <w:rsid w:val="00AA4DDC"/>
    <w:rsid w:val="00AA5C83"/>
    <w:rsid w:val="00AA6643"/>
    <w:rsid w:val="00AA679E"/>
    <w:rsid w:val="00AA6E17"/>
    <w:rsid w:val="00AA7C58"/>
    <w:rsid w:val="00AB0417"/>
    <w:rsid w:val="00AB04B8"/>
    <w:rsid w:val="00AB2DE6"/>
    <w:rsid w:val="00AB35F6"/>
    <w:rsid w:val="00AB366D"/>
    <w:rsid w:val="00AB43E7"/>
    <w:rsid w:val="00AB49EE"/>
    <w:rsid w:val="00AB4E53"/>
    <w:rsid w:val="00AB4ED2"/>
    <w:rsid w:val="00AB50D8"/>
    <w:rsid w:val="00AB6AD6"/>
    <w:rsid w:val="00AB6EE2"/>
    <w:rsid w:val="00AB711E"/>
    <w:rsid w:val="00AB7B22"/>
    <w:rsid w:val="00AB7CCC"/>
    <w:rsid w:val="00AC0D73"/>
    <w:rsid w:val="00AC23A5"/>
    <w:rsid w:val="00AC356D"/>
    <w:rsid w:val="00AC7648"/>
    <w:rsid w:val="00AC796A"/>
    <w:rsid w:val="00AD0468"/>
    <w:rsid w:val="00AD119B"/>
    <w:rsid w:val="00AD191D"/>
    <w:rsid w:val="00AD1C72"/>
    <w:rsid w:val="00AD1D8B"/>
    <w:rsid w:val="00AD2B9C"/>
    <w:rsid w:val="00AD3168"/>
    <w:rsid w:val="00AD4305"/>
    <w:rsid w:val="00AD590C"/>
    <w:rsid w:val="00AD5B81"/>
    <w:rsid w:val="00AD7B31"/>
    <w:rsid w:val="00AE044D"/>
    <w:rsid w:val="00AE0B22"/>
    <w:rsid w:val="00AE0C59"/>
    <w:rsid w:val="00AE1F84"/>
    <w:rsid w:val="00AE213C"/>
    <w:rsid w:val="00AE250B"/>
    <w:rsid w:val="00AE2E2D"/>
    <w:rsid w:val="00AE3C5E"/>
    <w:rsid w:val="00AE4D06"/>
    <w:rsid w:val="00AE57E1"/>
    <w:rsid w:val="00AE5FE3"/>
    <w:rsid w:val="00AE673E"/>
    <w:rsid w:val="00AE6A18"/>
    <w:rsid w:val="00AE6C22"/>
    <w:rsid w:val="00AE7183"/>
    <w:rsid w:val="00AF022B"/>
    <w:rsid w:val="00AF12FF"/>
    <w:rsid w:val="00AF13EB"/>
    <w:rsid w:val="00AF2294"/>
    <w:rsid w:val="00AF3C07"/>
    <w:rsid w:val="00AF449E"/>
    <w:rsid w:val="00AF4A76"/>
    <w:rsid w:val="00AF4BF6"/>
    <w:rsid w:val="00AF4FC2"/>
    <w:rsid w:val="00AF547E"/>
    <w:rsid w:val="00AF5526"/>
    <w:rsid w:val="00AF5E4E"/>
    <w:rsid w:val="00AF6990"/>
    <w:rsid w:val="00AF7B47"/>
    <w:rsid w:val="00AF7E79"/>
    <w:rsid w:val="00B0113B"/>
    <w:rsid w:val="00B02524"/>
    <w:rsid w:val="00B040C7"/>
    <w:rsid w:val="00B058AE"/>
    <w:rsid w:val="00B06307"/>
    <w:rsid w:val="00B064CC"/>
    <w:rsid w:val="00B068F2"/>
    <w:rsid w:val="00B07633"/>
    <w:rsid w:val="00B07B31"/>
    <w:rsid w:val="00B07F0F"/>
    <w:rsid w:val="00B10B47"/>
    <w:rsid w:val="00B10F1E"/>
    <w:rsid w:val="00B1240C"/>
    <w:rsid w:val="00B12B55"/>
    <w:rsid w:val="00B13158"/>
    <w:rsid w:val="00B1380A"/>
    <w:rsid w:val="00B142F4"/>
    <w:rsid w:val="00B1435B"/>
    <w:rsid w:val="00B1632A"/>
    <w:rsid w:val="00B16D45"/>
    <w:rsid w:val="00B16FFB"/>
    <w:rsid w:val="00B1712F"/>
    <w:rsid w:val="00B20300"/>
    <w:rsid w:val="00B22060"/>
    <w:rsid w:val="00B22104"/>
    <w:rsid w:val="00B22127"/>
    <w:rsid w:val="00B223AD"/>
    <w:rsid w:val="00B22617"/>
    <w:rsid w:val="00B23985"/>
    <w:rsid w:val="00B23E94"/>
    <w:rsid w:val="00B25193"/>
    <w:rsid w:val="00B25D00"/>
    <w:rsid w:val="00B25F1E"/>
    <w:rsid w:val="00B26599"/>
    <w:rsid w:val="00B3014D"/>
    <w:rsid w:val="00B3040B"/>
    <w:rsid w:val="00B305B6"/>
    <w:rsid w:val="00B30655"/>
    <w:rsid w:val="00B3074B"/>
    <w:rsid w:val="00B3094F"/>
    <w:rsid w:val="00B3216A"/>
    <w:rsid w:val="00B32204"/>
    <w:rsid w:val="00B33ADC"/>
    <w:rsid w:val="00B33B13"/>
    <w:rsid w:val="00B35F48"/>
    <w:rsid w:val="00B36F8D"/>
    <w:rsid w:val="00B370C4"/>
    <w:rsid w:val="00B40158"/>
    <w:rsid w:val="00B4040D"/>
    <w:rsid w:val="00B42137"/>
    <w:rsid w:val="00B42F2D"/>
    <w:rsid w:val="00B42FCC"/>
    <w:rsid w:val="00B437D7"/>
    <w:rsid w:val="00B45939"/>
    <w:rsid w:val="00B4658A"/>
    <w:rsid w:val="00B47F88"/>
    <w:rsid w:val="00B50718"/>
    <w:rsid w:val="00B50C7B"/>
    <w:rsid w:val="00B50D1A"/>
    <w:rsid w:val="00B51788"/>
    <w:rsid w:val="00B51A5B"/>
    <w:rsid w:val="00B537D7"/>
    <w:rsid w:val="00B53C7E"/>
    <w:rsid w:val="00B53D2C"/>
    <w:rsid w:val="00B540E3"/>
    <w:rsid w:val="00B54A3E"/>
    <w:rsid w:val="00B555E0"/>
    <w:rsid w:val="00B56BEC"/>
    <w:rsid w:val="00B57E73"/>
    <w:rsid w:val="00B60B40"/>
    <w:rsid w:val="00B612E2"/>
    <w:rsid w:val="00B61829"/>
    <w:rsid w:val="00B61C81"/>
    <w:rsid w:val="00B62219"/>
    <w:rsid w:val="00B623E5"/>
    <w:rsid w:val="00B624E9"/>
    <w:rsid w:val="00B634C9"/>
    <w:rsid w:val="00B64E20"/>
    <w:rsid w:val="00B64ED4"/>
    <w:rsid w:val="00B6625F"/>
    <w:rsid w:val="00B66742"/>
    <w:rsid w:val="00B66AB3"/>
    <w:rsid w:val="00B67550"/>
    <w:rsid w:val="00B70033"/>
    <w:rsid w:val="00B7009E"/>
    <w:rsid w:val="00B70441"/>
    <w:rsid w:val="00B704FE"/>
    <w:rsid w:val="00B705F6"/>
    <w:rsid w:val="00B70794"/>
    <w:rsid w:val="00B70E12"/>
    <w:rsid w:val="00B727B1"/>
    <w:rsid w:val="00B72D70"/>
    <w:rsid w:val="00B7371B"/>
    <w:rsid w:val="00B7377A"/>
    <w:rsid w:val="00B75F36"/>
    <w:rsid w:val="00B760E9"/>
    <w:rsid w:val="00B7667C"/>
    <w:rsid w:val="00B76859"/>
    <w:rsid w:val="00B77041"/>
    <w:rsid w:val="00B7729E"/>
    <w:rsid w:val="00B77960"/>
    <w:rsid w:val="00B779E2"/>
    <w:rsid w:val="00B80318"/>
    <w:rsid w:val="00B81364"/>
    <w:rsid w:val="00B81A4B"/>
    <w:rsid w:val="00B821F5"/>
    <w:rsid w:val="00B825E0"/>
    <w:rsid w:val="00B82843"/>
    <w:rsid w:val="00B82DCE"/>
    <w:rsid w:val="00B8466F"/>
    <w:rsid w:val="00B85087"/>
    <w:rsid w:val="00B85213"/>
    <w:rsid w:val="00B853FA"/>
    <w:rsid w:val="00B85EC6"/>
    <w:rsid w:val="00B86592"/>
    <w:rsid w:val="00B872AF"/>
    <w:rsid w:val="00B906CF"/>
    <w:rsid w:val="00B9181C"/>
    <w:rsid w:val="00B92DB5"/>
    <w:rsid w:val="00B93455"/>
    <w:rsid w:val="00B93990"/>
    <w:rsid w:val="00B93DA3"/>
    <w:rsid w:val="00B9428C"/>
    <w:rsid w:val="00B94363"/>
    <w:rsid w:val="00B9506A"/>
    <w:rsid w:val="00B95B3F"/>
    <w:rsid w:val="00B96ABA"/>
    <w:rsid w:val="00BA0409"/>
    <w:rsid w:val="00BA1243"/>
    <w:rsid w:val="00BA27E4"/>
    <w:rsid w:val="00BA2AC7"/>
    <w:rsid w:val="00BA3CE0"/>
    <w:rsid w:val="00BA3D5E"/>
    <w:rsid w:val="00BA4FE2"/>
    <w:rsid w:val="00BA5126"/>
    <w:rsid w:val="00BA54E2"/>
    <w:rsid w:val="00BA6461"/>
    <w:rsid w:val="00BB01AE"/>
    <w:rsid w:val="00BB0DE7"/>
    <w:rsid w:val="00BB1E20"/>
    <w:rsid w:val="00BB2CA0"/>
    <w:rsid w:val="00BB44FB"/>
    <w:rsid w:val="00BB52AA"/>
    <w:rsid w:val="00BB5F8B"/>
    <w:rsid w:val="00BB7147"/>
    <w:rsid w:val="00BB71DC"/>
    <w:rsid w:val="00BB797D"/>
    <w:rsid w:val="00BC0123"/>
    <w:rsid w:val="00BC0B88"/>
    <w:rsid w:val="00BC155A"/>
    <w:rsid w:val="00BC2728"/>
    <w:rsid w:val="00BC3D30"/>
    <w:rsid w:val="00BC4B83"/>
    <w:rsid w:val="00BC777A"/>
    <w:rsid w:val="00BC7AAA"/>
    <w:rsid w:val="00BC7CDC"/>
    <w:rsid w:val="00BD007A"/>
    <w:rsid w:val="00BD05B7"/>
    <w:rsid w:val="00BD0CFB"/>
    <w:rsid w:val="00BD101B"/>
    <w:rsid w:val="00BD1880"/>
    <w:rsid w:val="00BD2587"/>
    <w:rsid w:val="00BD265B"/>
    <w:rsid w:val="00BD26B4"/>
    <w:rsid w:val="00BD2D66"/>
    <w:rsid w:val="00BD2D84"/>
    <w:rsid w:val="00BD3116"/>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242E"/>
    <w:rsid w:val="00BE30B2"/>
    <w:rsid w:val="00BE3D5B"/>
    <w:rsid w:val="00BE414A"/>
    <w:rsid w:val="00BE4FBD"/>
    <w:rsid w:val="00BE5265"/>
    <w:rsid w:val="00BE606C"/>
    <w:rsid w:val="00BE6ACC"/>
    <w:rsid w:val="00BE6CEA"/>
    <w:rsid w:val="00BE6DE7"/>
    <w:rsid w:val="00BE7661"/>
    <w:rsid w:val="00BE7C31"/>
    <w:rsid w:val="00BE7D64"/>
    <w:rsid w:val="00BF02CC"/>
    <w:rsid w:val="00BF0503"/>
    <w:rsid w:val="00BF1041"/>
    <w:rsid w:val="00BF1898"/>
    <w:rsid w:val="00BF4568"/>
    <w:rsid w:val="00BF4F45"/>
    <w:rsid w:val="00BF5DB0"/>
    <w:rsid w:val="00BF61B6"/>
    <w:rsid w:val="00BF7C49"/>
    <w:rsid w:val="00BF7FFC"/>
    <w:rsid w:val="00C0034E"/>
    <w:rsid w:val="00C004DC"/>
    <w:rsid w:val="00C00EBF"/>
    <w:rsid w:val="00C00FC7"/>
    <w:rsid w:val="00C01408"/>
    <w:rsid w:val="00C017F4"/>
    <w:rsid w:val="00C025E7"/>
    <w:rsid w:val="00C04FED"/>
    <w:rsid w:val="00C05B96"/>
    <w:rsid w:val="00C06836"/>
    <w:rsid w:val="00C070F8"/>
    <w:rsid w:val="00C0753A"/>
    <w:rsid w:val="00C10C5D"/>
    <w:rsid w:val="00C12B2E"/>
    <w:rsid w:val="00C12C46"/>
    <w:rsid w:val="00C12ECE"/>
    <w:rsid w:val="00C13692"/>
    <w:rsid w:val="00C1436F"/>
    <w:rsid w:val="00C1454D"/>
    <w:rsid w:val="00C15A85"/>
    <w:rsid w:val="00C1630E"/>
    <w:rsid w:val="00C1666D"/>
    <w:rsid w:val="00C1779A"/>
    <w:rsid w:val="00C226F6"/>
    <w:rsid w:val="00C23E55"/>
    <w:rsid w:val="00C265F8"/>
    <w:rsid w:val="00C26911"/>
    <w:rsid w:val="00C26EA5"/>
    <w:rsid w:val="00C278D8"/>
    <w:rsid w:val="00C309C5"/>
    <w:rsid w:val="00C30E31"/>
    <w:rsid w:val="00C32264"/>
    <w:rsid w:val="00C32313"/>
    <w:rsid w:val="00C326D3"/>
    <w:rsid w:val="00C33584"/>
    <w:rsid w:val="00C33954"/>
    <w:rsid w:val="00C339A0"/>
    <w:rsid w:val="00C33D83"/>
    <w:rsid w:val="00C34A36"/>
    <w:rsid w:val="00C34F87"/>
    <w:rsid w:val="00C356FE"/>
    <w:rsid w:val="00C35B82"/>
    <w:rsid w:val="00C362D5"/>
    <w:rsid w:val="00C376CA"/>
    <w:rsid w:val="00C37C9B"/>
    <w:rsid w:val="00C40322"/>
    <w:rsid w:val="00C40E25"/>
    <w:rsid w:val="00C41570"/>
    <w:rsid w:val="00C41AEE"/>
    <w:rsid w:val="00C41AFD"/>
    <w:rsid w:val="00C41D01"/>
    <w:rsid w:val="00C425AA"/>
    <w:rsid w:val="00C42D4C"/>
    <w:rsid w:val="00C42EF3"/>
    <w:rsid w:val="00C44E3B"/>
    <w:rsid w:val="00C4599B"/>
    <w:rsid w:val="00C46905"/>
    <w:rsid w:val="00C46C50"/>
    <w:rsid w:val="00C500B0"/>
    <w:rsid w:val="00C509B1"/>
    <w:rsid w:val="00C51B8F"/>
    <w:rsid w:val="00C51F8D"/>
    <w:rsid w:val="00C525A6"/>
    <w:rsid w:val="00C5263A"/>
    <w:rsid w:val="00C52B31"/>
    <w:rsid w:val="00C52C71"/>
    <w:rsid w:val="00C54057"/>
    <w:rsid w:val="00C55392"/>
    <w:rsid w:val="00C5564B"/>
    <w:rsid w:val="00C56042"/>
    <w:rsid w:val="00C56B47"/>
    <w:rsid w:val="00C5700B"/>
    <w:rsid w:val="00C574EF"/>
    <w:rsid w:val="00C579A2"/>
    <w:rsid w:val="00C6015A"/>
    <w:rsid w:val="00C60682"/>
    <w:rsid w:val="00C60E31"/>
    <w:rsid w:val="00C60FD6"/>
    <w:rsid w:val="00C635B5"/>
    <w:rsid w:val="00C6363F"/>
    <w:rsid w:val="00C636AA"/>
    <w:rsid w:val="00C6389A"/>
    <w:rsid w:val="00C63F6E"/>
    <w:rsid w:val="00C6450D"/>
    <w:rsid w:val="00C65985"/>
    <w:rsid w:val="00C66622"/>
    <w:rsid w:val="00C6707C"/>
    <w:rsid w:val="00C671DA"/>
    <w:rsid w:val="00C67F9A"/>
    <w:rsid w:val="00C7044C"/>
    <w:rsid w:val="00C70805"/>
    <w:rsid w:val="00C70F35"/>
    <w:rsid w:val="00C7302E"/>
    <w:rsid w:val="00C735BB"/>
    <w:rsid w:val="00C743E2"/>
    <w:rsid w:val="00C74F8C"/>
    <w:rsid w:val="00C75C12"/>
    <w:rsid w:val="00C75CF5"/>
    <w:rsid w:val="00C7721B"/>
    <w:rsid w:val="00C775ED"/>
    <w:rsid w:val="00C80362"/>
    <w:rsid w:val="00C8068C"/>
    <w:rsid w:val="00C8145A"/>
    <w:rsid w:val="00C81727"/>
    <w:rsid w:val="00C83496"/>
    <w:rsid w:val="00C83BFD"/>
    <w:rsid w:val="00C83DE2"/>
    <w:rsid w:val="00C845F4"/>
    <w:rsid w:val="00C848B8"/>
    <w:rsid w:val="00C84CE2"/>
    <w:rsid w:val="00C84FEF"/>
    <w:rsid w:val="00C85D62"/>
    <w:rsid w:val="00C866C5"/>
    <w:rsid w:val="00C908A3"/>
    <w:rsid w:val="00C90FAA"/>
    <w:rsid w:val="00C91798"/>
    <w:rsid w:val="00C92D84"/>
    <w:rsid w:val="00C935D8"/>
    <w:rsid w:val="00C93D87"/>
    <w:rsid w:val="00C94237"/>
    <w:rsid w:val="00C96950"/>
    <w:rsid w:val="00C96CC7"/>
    <w:rsid w:val="00C976FF"/>
    <w:rsid w:val="00C97F64"/>
    <w:rsid w:val="00CA0862"/>
    <w:rsid w:val="00CA11B0"/>
    <w:rsid w:val="00CA3730"/>
    <w:rsid w:val="00CA49F5"/>
    <w:rsid w:val="00CA640B"/>
    <w:rsid w:val="00CA710E"/>
    <w:rsid w:val="00CA747E"/>
    <w:rsid w:val="00CA773F"/>
    <w:rsid w:val="00CA7B14"/>
    <w:rsid w:val="00CB055C"/>
    <w:rsid w:val="00CB1350"/>
    <w:rsid w:val="00CB13F7"/>
    <w:rsid w:val="00CB167B"/>
    <w:rsid w:val="00CB2781"/>
    <w:rsid w:val="00CB32F2"/>
    <w:rsid w:val="00CB3774"/>
    <w:rsid w:val="00CB418D"/>
    <w:rsid w:val="00CB5CBF"/>
    <w:rsid w:val="00CB6151"/>
    <w:rsid w:val="00CB63F2"/>
    <w:rsid w:val="00CB7885"/>
    <w:rsid w:val="00CC05C7"/>
    <w:rsid w:val="00CC0D43"/>
    <w:rsid w:val="00CC1345"/>
    <w:rsid w:val="00CC3A9B"/>
    <w:rsid w:val="00CC3B95"/>
    <w:rsid w:val="00CC4641"/>
    <w:rsid w:val="00CC5491"/>
    <w:rsid w:val="00CC5AE9"/>
    <w:rsid w:val="00CC5AFE"/>
    <w:rsid w:val="00CC66B1"/>
    <w:rsid w:val="00CC7048"/>
    <w:rsid w:val="00CD0628"/>
    <w:rsid w:val="00CD077B"/>
    <w:rsid w:val="00CD158F"/>
    <w:rsid w:val="00CD31B9"/>
    <w:rsid w:val="00CD48EF"/>
    <w:rsid w:val="00CD4C58"/>
    <w:rsid w:val="00CD67F4"/>
    <w:rsid w:val="00CD6916"/>
    <w:rsid w:val="00CD7C4A"/>
    <w:rsid w:val="00CD7F2B"/>
    <w:rsid w:val="00CE1C40"/>
    <w:rsid w:val="00CE23D2"/>
    <w:rsid w:val="00CE27AA"/>
    <w:rsid w:val="00CE2DF6"/>
    <w:rsid w:val="00CE3796"/>
    <w:rsid w:val="00CE4709"/>
    <w:rsid w:val="00CE5619"/>
    <w:rsid w:val="00CE5CF2"/>
    <w:rsid w:val="00CE5E3B"/>
    <w:rsid w:val="00CE6B34"/>
    <w:rsid w:val="00CE726F"/>
    <w:rsid w:val="00CF01A7"/>
    <w:rsid w:val="00CF07AF"/>
    <w:rsid w:val="00CF172F"/>
    <w:rsid w:val="00CF1F8A"/>
    <w:rsid w:val="00CF2409"/>
    <w:rsid w:val="00CF4E0E"/>
    <w:rsid w:val="00CF6303"/>
    <w:rsid w:val="00CF6826"/>
    <w:rsid w:val="00CF7116"/>
    <w:rsid w:val="00CF739E"/>
    <w:rsid w:val="00D00EEC"/>
    <w:rsid w:val="00D01ACC"/>
    <w:rsid w:val="00D022B6"/>
    <w:rsid w:val="00D028E3"/>
    <w:rsid w:val="00D02911"/>
    <w:rsid w:val="00D038B3"/>
    <w:rsid w:val="00D053B2"/>
    <w:rsid w:val="00D064CC"/>
    <w:rsid w:val="00D06ECA"/>
    <w:rsid w:val="00D113BF"/>
    <w:rsid w:val="00D113ED"/>
    <w:rsid w:val="00D1241A"/>
    <w:rsid w:val="00D127A8"/>
    <w:rsid w:val="00D12C54"/>
    <w:rsid w:val="00D138D2"/>
    <w:rsid w:val="00D139E1"/>
    <w:rsid w:val="00D13F27"/>
    <w:rsid w:val="00D14162"/>
    <w:rsid w:val="00D14209"/>
    <w:rsid w:val="00D147CD"/>
    <w:rsid w:val="00D148ED"/>
    <w:rsid w:val="00D15366"/>
    <w:rsid w:val="00D15E90"/>
    <w:rsid w:val="00D16192"/>
    <w:rsid w:val="00D20D67"/>
    <w:rsid w:val="00D2209A"/>
    <w:rsid w:val="00D221BC"/>
    <w:rsid w:val="00D22276"/>
    <w:rsid w:val="00D22BFA"/>
    <w:rsid w:val="00D23F00"/>
    <w:rsid w:val="00D24444"/>
    <w:rsid w:val="00D24D1A"/>
    <w:rsid w:val="00D24E58"/>
    <w:rsid w:val="00D252B0"/>
    <w:rsid w:val="00D268A0"/>
    <w:rsid w:val="00D2736B"/>
    <w:rsid w:val="00D27A47"/>
    <w:rsid w:val="00D31B14"/>
    <w:rsid w:val="00D32F13"/>
    <w:rsid w:val="00D3389C"/>
    <w:rsid w:val="00D33D1B"/>
    <w:rsid w:val="00D3530F"/>
    <w:rsid w:val="00D35855"/>
    <w:rsid w:val="00D36131"/>
    <w:rsid w:val="00D36D53"/>
    <w:rsid w:val="00D36EB0"/>
    <w:rsid w:val="00D40700"/>
    <w:rsid w:val="00D40A5F"/>
    <w:rsid w:val="00D40F00"/>
    <w:rsid w:val="00D4108D"/>
    <w:rsid w:val="00D41341"/>
    <w:rsid w:val="00D41F6C"/>
    <w:rsid w:val="00D42821"/>
    <w:rsid w:val="00D42835"/>
    <w:rsid w:val="00D42E8F"/>
    <w:rsid w:val="00D456D7"/>
    <w:rsid w:val="00D46DF4"/>
    <w:rsid w:val="00D46FA6"/>
    <w:rsid w:val="00D507D6"/>
    <w:rsid w:val="00D52151"/>
    <w:rsid w:val="00D53792"/>
    <w:rsid w:val="00D5387D"/>
    <w:rsid w:val="00D545FD"/>
    <w:rsid w:val="00D55221"/>
    <w:rsid w:val="00D55875"/>
    <w:rsid w:val="00D563F1"/>
    <w:rsid w:val="00D5704D"/>
    <w:rsid w:val="00D5706B"/>
    <w:rsid w:val="00D60E2C"/>
    <w:rsid w:val="00D61038"/>
    <w:rsid w:val="00D6435E"/>
    <w:rsid w:val="00D648F3"/>
    <w:rsid w:val="00D649C6"/>
    <w:rsid w:val="00D64F32"/>
    <w:rsid w:val="00D65AD8"/>
    <w:rsid w:val="00D66090"/>
    <w:rsid w:val="00D66B99"/>
    <w:rsid w:val="00D66CB4"/>
    <w:rsid w:val="00D70DC6"/>
    <w:rsid w:val="00D712F0"/>
    <w:rsid w:val="00D71E4E"/>
    <w:rsid w:val="00D7296B"/>
    <w:rsid w:val="00D74936"/>
    <w:rsid w:val="00D7494E"/>
    <w:rsid w:val="00D74997"/>
    <w:rsid w:val="00D75A59"/>
    <w:rsid w:val="00D76249"/>
    <w:rsid w:val="00D7649C"/>
    <w:rsid w:val="00D7683C"/>
    <w:rsid w:val="00D77047"/>
    <w:rsid w:val="00D7748C"/>
    <w:rsid w:val="00D775F8"/>
    <w:rsid w:val="00D80444"/>
    <w:rsid w:val="00D8070B"/>
    <w:rsid w:val="00D80D4D"/>
    <w:rsid w:val="00D81133"/>
    <w:rsid w:val="00D81713"/>
    <w:rsid w:val="00D81DAD"/>
    <w:rsid w:val="00D8434D"/>
    <w:rsid w:val="00D846B2"/>
    <w:rsid w:val="00D848A3"/>
    <w:rsid w:val="00D853F5"/>
    <w:rsid w:val="00D85745"/>
    <w:rsid w:val="00D8615A"/>
    <w:rsid w:val="00D8636E"/>
    <w:rsid w:val="00D86437"/>
    <w:rsid w:val="00D86990"/>
    <w:rsid w:val="00D87B14"/>
    <w:rsid w:val="00D90253"/>
    <w:rsid w:val="00D906C6"/>
    <w:rsid w:val="00D92052"/>
    <w:rsid w:val="00D92947"/>
    <w:rsid w:val="00D92C3A"/>
    <w:rsid w:val="00D92EF2"/>
    <w:rsid w:val="00D9366E"/>
    <w:rsid w:val="00D93E18"/>
    <w:rsid w:val="00D95C38"/>
    <w:rsid w:val="00D96598"/>
    <w:rsid w:val="00D9681C"/>
    <w:rsid w:val="00D96B2A"/>
    <w:rsid w:val="00D96F3F"/>
    <w:rsid w:val="00D97316"/>
    <w:rsid w:val="00D97773"/>
    <w:rsid w:val="00D97CE8"/>
    <w:rsid w:val="00DA0745"/>
    <w:rsid w:val="00DA14AD"/>
    <w:rsid w:val="00DA20C2"/>
    <w:rsid w:val="00DA2325"/>
    <w:rsid w:val="00DA25F4"/>
    <w:rsid w:val="00DA33A1"/>
    <w:rsid w:val="00DA3680"/>
    <w:rsid w:val="00DA39CC"/>
    <w:rsid w:val="00DA3E40"/>
    <w:rsid w:val="00DA4146"/>
    <w:rsid w:val="00DA64C0"/>
    <w:rsid w:val="00DA7495"/>
    <w:rsid w:val="00DB0153"/>
    <w:rsid w:val="00DB09D0"/>
    <w:rsid w:val="00DB0B51"/>
    <w:rsid w:val="00DB1EBA"/>
    <w:rsid w:val="00DB26E5"/>
    <w:rsid w:val="00DB282A"/>
    <w:rsid w:val="00DB2DCA"/>
    <w:rsid w:val="00DB2FA8"/>
    <w:rsid w:val="00DB2FB6"/>
    <w:rsid w:val="00DB3312"/>
    <w:rsid w:val="00DB56B1"/>
    <w:rsid w:val="00DB619F"/>
    <w:rsid w:val="00DB6429"/>
    <w:rsid w:val="00DB72E2"/>
    <w:rsid w:val="00DC0101"/>
    <w:rsid w:val="00DC027C"/>
    <w:rsid w:val="00DC0EEA"/>
    <w:rsid w:val="00DC1C67"/>
    <w:rsid w:val="00DC1CFF"/>
    <w:rsid w:val="00DC21AC"/>
    <w:rsid w:val="00DC2678"/>
    <w:rsid w:val="00DC2853"/>
    <w:rsid w:val="00DC2E5C"/>
    <w:rsid w:val="00DC38F1"/>
    <w:rsid w:val="00DC3FA3"/>
    <w:rsid w:val="00DC3FB9"/>
    <w:rsid w:val="00DC4CA9"/>
    <w:rsid w:val="00DC5449"/>
    <w:rsid w:val="00DC5576"/>
    <w:rsid w:val="00DC62B2"/>
    <w:rsid w:val="00DC738E"/>
    <w:rsid w:val="00DD0440"/>
    <w:rsid w:val="00DD10A5"/>
    <w:rsid w:val="00DD1A3C"/>
    <w:rsid w:val="00DD1BC6"/>
    <w:rsid w:val="00DD218D"/>
    <w:rsid w:val="00DD2C5D"/>
    <w:rsid w:val="00DD3AA6"/>
    <w:rsid w:val="00DD3B9A"/>
    <w:rsid w:val="00DD403F"/>
    <w:rsid w:val="00DD4E93"/>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F018B"/>
    <w:rsid w:val="00DF04BD"/>
    <w:rsid w:val="00DF0886"/>
    <w:rsid w:val="00DF1373"/>
    <w:rsid w:val="00DF15EE"/>
    <w:rsid w:val="00DF1A55"/>
    <w:rsid w:val="00DF1F8C"/>
    <w:rsid w:val="00DF2F12"/>
    <w:rsid w:val="00DF2FBB"/>
    <w:rsid w:val="00DF327A"/>
    <w:rsid w:val="00DF33DC"/>
    <w:rsid w:val="00DF370B"/>
    <w:rsid w:val="00DF503A"/>
    <w:rsid w:val="00DF6042"/>
    <w:rsid w:val="00DF6152"/>
    <w:rsid w:val="00DF665F"/>
    <w:rsid w:val="00DF6D9C"/>
    <w:rsid w:val="00DF7095"/>
    <w:rsid w:val="00DF7A66"/>
    <w:rsid w:val="00DF7C7B"/>
    <w:rsid w:val="00E01403"/>
    <w:rsid w:val="00E01FE5"/>
    <w:rsid w:val="00E02BDA"/>
    <w:rsid w:val="00E03767"/>
    <w:rsid w:val="00E03CFF"/>
    <w:rsid w:val="00E043EB"/>
    <w:rsid w:val="00E04499"/>
    <w:rsid w:val="00E04E61"/>
    <w:rsid w:val="00E0552B"/>
    <w:rsid w:val="00E055A0"/>
    <w:rsid w:val="00E05E2D"/>
    <w:rsid w:val="00E0631B"/>
    <w:rsid w:val="00E06DA5"/>
    <w:rsid w:val="00E0733E"/>
    <w:rsid w:val="00E076CA"/>
    <w:rsid w:val="00E07FC2"/>
    <w:rsid w:val="00E10AE4"/>
    <w:rsid w:val="00E10C42"/>
    <w:rsid w:val="00E11055"/>
    <w:rsid w:val="00E11E63"/>
    <w:rsid w:val="00E11F33"/>
    <w:rsid w:val="00E13216"/>
    <w:rsid w:val="00E132AA"/>
    <w:rsid w:val="00E14C9E"/>
    <w:rsid w:val="00E15FB0"/>
    <w:rsid w:val="00E16208"/>
    <w:rsid w:val="00E16440"/>
    <w:rsid w:val="00E170FD"/>
    <w:rsid w:val="00E173E2"/>
    <w:rsid w:val="00E17EE1"/>
    <w:rsid w:val="00E2006F"/>
    <w:rsid w:val="00E20EE5"/>
    <w:rsid w:val="00E21914"/>
    <w:rsid w:val="00E231C0"/>
    <w:rsid w:val="00E245D2"/>
    <w:rsid w:val="00E249B7"/>
    <w:rsid w:val="00E24E84"/>
    <w:rsid w:val="00E254DF"/>
    <w:rsid w:val="00E27363"/>
    <w:rsid w:val="00E27680"/>
    <w:rsid w:val="00E27E10"/>
    <w:rsid w:val="00E32129"/>
    <w:rsid w:val="00E326B5"/>
    <w:rsid w:val="00E328E1"/>
    <w:rsid w:val="00E32EDB"/>
    <w:rsid w:val="00E33166"/>
    <w:rsid w:val="00E3332A"/>
    <w:rsid w:val="00E34159"/>
    <w:rsid w:val="00E3416D"/>
    <w:rsid w:val="00E34C14"/>
    <w:rsid w:val="00E34E70"/>
    <w:rsid w:val="00E34E93"/>
    <w:rsid w:val="00E34ED8"/>
    <w:rsid w:val="00E34EDE"/>
    <w:rsid w:val="00E350DC"/>
    <w:rsid w:val="00E352D3"/>
    <w:rsid w:val="00E353B3"/>
    <w:rsid w:val="00E355F8"/>
    <w:rsid w:val="00E359F1"/>
    <w:rsid w:val="00E35E8E"/>
    <w:rsid w:val="00E36406"/>
    <w:rsid w:val="00E36666"/>
    <w:rsid w:val="00E36718"/>
    <w:rsid w:val="00E367F9"/>
    <w:rsid w:val="00E40DF5"/>
    <w:rsid w:val="00E4164F"/>
    <w:rsid w:val="00E42099"/>
    <w:rsid w:val="00E42E09"/>
    <w:rsid w:val="00E42E62"/>
    <w:rsid w:val="00E4313B"/>
    <w:rsid w:val="00E44DC9"/>
    <w:rsid w:val="00E457A8"/>
    <w:rsid w:val="00E458CD"/>
    <w:rsid w:val="00E45E6B"/>
    <w:rsid w:val="00E466BC"/>
    <w:rsid w:val="00E46AAE"/>
    <w:rsid w:val="00E46E8C"/>
    <w:rsid w:val="00E47432"/>
    <w:rsid w:val="00E50A58"/>
    <w:rsid w:val="00E51014"/>
    <w:rsid w:val="00E51A4F"/>
    <w:rsid w:val="00E540E3"/>
    <w:rsid w:val="00E545DE"/>
    <w:rsid w:val="00E54855"/>
    <w:rsid w:val="00E54F45"/>
    <w:rsid w:val="00E550A9"/>
    <w:rsid w:val="00E57150"/>
    <w:rsid w:val="00E572FB"/>
    <w:rsid w:val="00E57724"/>
    <w:rsid w:val="00E61129"/>
    <w:rsid w:val="00E618A0"/>
    <w:rsid w:val="00E61CFC"/>
    <w:rsid w:val="00E61FCC"/>
    <w:rsid w:val="00E62443"/>
    <w:rsid w:val="00E63B1D"/>
    <w:rsid w:val="00E645C0"/>
    <w:rsid w:val="00E652E3"/>
    <w:rsid w:val="00E65669"/>
    <w:rsid w:val="00E65953"/>
    <w:rsid w:val="00E65C09"/>
    <w:rsid w:val="00E664AD"/>
    <w:rsid w:val="00E669CB"/>
    <w:rsid w:val="00E673AA"/>
    <w:rsid w:val="00E706A7"/>
    <w:rsid w:val="00E70950"/>
    <w:rsid w:val="00E70B8B"/>
    <w:rsid w:val="00E70F7D"/>
    <w:rsid w:val="00E71474"/>
    <w:rsid w:val="00E71E64"/>
    <w:rsid w:val="00E729DC"/>
    <w:rsid w:val="00E72FCB"/>
    <w:rsid w:val="00E74474"/>
    <w:rsid w:val="00E74744"/>
    <w:rsid w:val="00E749CF"/>
    <w:rsid w:val="00E749ED"/>
    <w:rsid w:val="00E74DEA"/>
    <w:rsid w:val="00E74E6B"/>
    <w:rsid w:val="00E752FF"/>
    <w:rsid w:val="00E773BD"/>
    <w:rsid w:val="00E7754B"/>
    <w:rsid w:val="00E7772D"/>
    <w:rsid w:val="00E80B4E"/>
    <w:rsid w:val="00E80DCF"/>
    <w:rsid w:val="00E80F43"/>
    <w:rsid w:val="00E81259"/>
    <w:rsid w:val="00E81C5C"/>
    <w:rsid w:val="00E83200"/>
    <w:rsid w:val="00E833D9"/>
    <w:rsid w:val="00E8424A"/>
    <w:rsid w:val="00E844B5"/>
    <w:rsid w:val="00E850DB"/>
    <w:rsid w:val="00E852FF"/>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DF1"/>
    <w:rsid w:val="00EA018C"/>
    <w:rsid w:val="00EA0A5C"/>
    <w:rsid w:val="00EA1DBA"/>
    <w:rsid w:val="00EA2B6F"/>
    <w:rsid w:val="00EA2F39"/>
    <w:rsid w:val="00EA2F7D"/>
    <w:rsid w:val="00EA3502"/>
    <w:rsid w:val="00EA39CE"/>
    <w:rsid w:val="00EA3C0B"/>
    <w:rsid w:val="00EA6CAB"/>
    <w:rsid w:val="00EA7DBE"/>
    <w:rsid w:val="00EB002E"/>
    <w:rsid w:val="00EB1F74"/>
    <w:rsid w:val="00EB28D2"/>
    <w:rsid w:val="00EB3A0F"/>
    <w:rsid w:val="00EB4539"/>
    <w:rsid w:val="00EB47FA"/>
    <w:rsid w:val="00EB494A"/>
    <w:rsid w:val="00EB4D83"/>
    <w:rsid w:val="00EB61A0"/>
    <w:rsid w:val="00EB7454"/>
    <w:rsid w:val="00EB772D"/>
    <w:rsid w:val="00EB7B33"/>
    <w:rsid w:val="00EB7DC1"/>
    <w:rsid w:val="00EB7E26"/>
    <w:rsid w:val="00EC09C8"/>
    <w:rsid w:val="00EC2F19"/>
    <w:rsid w:val="00EC393C"/>
    <w:rsid w:val="00EC3BAC"/>
    <w:rsid w:val="00EC42BE"/>
    <w:rsid w:val="00EC45A6"/>
    <w:rsid w:val="00EC53E0"/>
    <w:rsid w:val="00EC5F78"/>
    <w:rsid w:val="00EC7094"/>
    <w:rsid w:val="00EC7153"/>
    <w:rsid w:val="00EC71F2"/>
    <w:rsid w:val="00ED1461"/>
    <w:rsid w:val="00ED234A"/>
    <w:rsid w:val="00ED36A2"/>
    <w:rsid w:val="00ED3E7C"/>
    <w:rsid w:val="00ED5703"/>
    <w:rsid w:val="00ED6E46"/>
    <w:rsid w:val="00EE0370"/>
    <w:rsid w:val="00EE2421"/>
    <w:rsid w:val="00EE28B8"/>
    <w:rsid w:val="00EE3C42"/>
    <w:rsid w:val="00EE3F58"/>
    <w:rsid w:val="00EE4501"/>
    <w:rsid w:val="00EE4DFA"/>
    <w:rsid w:val="00EE515E"/>
    <w:rsid w:val="00EE54FC"/>
    <w:rsid w:val="00EE7D97"/>
    <w:rsid w:val="00EF09C3"/>
    <w:rsid w:val="00EF0AE9"/>
    <w:rsid w:val="00EF3A77"/>
    <w:rsid w:val="00EF3C3A"/>
    <w:rsid w:val="00EF4075"/>
    <w:rsid w:val="00EF4D0D"/>
    <w:rsid w:val="00EF525A"/>
    <w:rsid w:val="00EF5757"/>
    <w:rsid w:val="00EF662A"/>
    <w:rsid w:val="00EF6B6B"/>
    <w:rsid w:val="00EF703D"/>
    <w:rsid w:val="00EF7550"/>
    <w:rsid w:val="00F006F5"/>
    <w:rsid w:val="00F00864"/>
    <w:rsid w:val="00F02036"/>
    <w:rsid w:val="00F020BE"/>
    <w:rsid w:val="00F021DC"/>
    <w:rsid w:val="00F03E73"/>
    <w:rsid w:val="00F03E84"/>
    <w:rsid w:val="00F03FF4"/>
    <w:rsid w:val="00F040DD"/>
    <w:rsid w:val="00F04C83"/>
    <w:rsid w:val="00F05273"/>
    <w:rsid w:val="00F0694D"/>
    <w:rsid w:val="00F06B31"/>
    <w:rsid w:val="00F06CC6"/>
    <w:rsid w:val="00F07CD8"/>
    <w:rsid w:val="00F07D63"/>
    <w:rsid w:val="00F07DF4"/>
    <w:rsid w:val="00F101CF"/>
    <w:rsid w:val="00F1038D"/>
    <w:rsid w:val="00F12F0A"/>
    <w:rsid w:val="00F1323F"/>
    <w:rsid w:val="00F134A2"/>
    <w:rsid w:val="00F14A72"/>
    <w:rsid w:val="00F14C12"/>
    <w:rsid w:val="00F14D22"/>
    <w:rsid w:val="00F14FD4"/>
    <w:rsid w:val="00F1520F"/>
    <w:rsid w:val="00F160D8"/>
    <w:rsid w:val="00F1703C"/>
    <w:rsid w:val="00F17CAE"/>
    <w:rsid w:val="00F17FC1"/>
    <w:rsid w:val="00F204E4"/>
    <w:rsid w:val="00F208D2"/>
    <w:rsid w:val="00F20952"/>
    <w:rsid w:val="00F20C99"/>
    <w:rsid w:val="00F21ED3"/>
    <w:rsid w:val="00F2207B"/>
    <w:rsid w:val="00F222C3"/>
    <w:rsid w:val="00F227ED"/>
    <w:rsid w:val="00F23633"/>
    <w:rsid w:val="00F240FF"/>
    <w:rsid w:val="00F24709"/>
    <w:rsid w:val="00F24792"/>
    <w:rsid w:val="00F248AD"/>
    <w:rsid w:val="00F25114"/>
    <w:rsid w:val="00F25B29"/>
    <w:rsid w:val="00F25C98"/>
    <w:rsid w:val="00F266D7"/>
    <w:rsid w:val="00F266E9"/>
    <w:rsid w:val="00F269C0"/>
    <w:rsid w:val="00F26A2F"/>
    <w:rsid w:val="00F26E64"/>
    <w:rsid w:val="00F27064"/>
    <w:rsid w:val="00F27281"/>
    <w:rsid w:val="00F272D4"/>
    <w:rsid w:val="00F2746A"/>
    <w:rsid w:val="00F27B9F"/>
    <w:rsid w:val="00F306D4"/>
    <w:rsid w:val="00F31115"/>
    <w:rsid w:val="00F32750"/>
    <w:rsid w:val="00F3361C"/>
    <w:rsid w:val="00F33669"/>
    <w:rsid w:val="00F338BC"/>
    <w:rsid w:val="00F34076"/>
    <w:rsid w:val="00F34553"/>
    <w:rsid w:val="00F36433"/>
    <w:rsid w:val="00F36C7C"/>
    <w:rsid w:val="00F36ED1"/>
    <w:rsid w:val="00F36F53"/>
    <w:rsid w:val="00F4204E"/>
    <w:rsid w:val="00F427DB"/>
    <w:rsid w:val="00F428D1"/>
    <w:rsid w:val="00F4301C"/>
    <w:rsid w:val="00F4328F"/>
    <w:rsid w:val="00F43C11"/>
    <w:rsid w:val="00F447B9"/>
    <w:rsid w:val="00F46867"/>
    <w:rsid w:val="00F46B31"/>
    <w:rsid w:val="00F515C9"/>
    <w:rsid w:val="00F518E1"/>
    <w:rsid w:val="00F52410"/>
    <w:rsid w:val="00F53565"/>
    <w:rsid w:val="00F537B1"/>
    <w:rsid w:val="00F541A9"/>
    <w:rsid w:val="00F557D2"/>
    <w:rsid w:val="00F55A57"/>
    <w:rsid w:val="00F56E82"/>
    <w:rsid w:val="00F57874"/>
    <w:rsid w:val="00F57B6D"/>
    <w:rsid w:val="00F60639"/>
    <w:rsid w:val="00F60F55"/>
    <w:rsid w:val="00F625C8"/>
    <w:rsid w:val="00F629D4"/>
    <w:rsid w:val="00F62CCC"/>
    <w:rsid w:val="00F62F3F"/>
    <w:rsid w:val="00F640F2"/>
    <w:rsid w:val="00F65557"/>
    <w:rsid w:val="00F659DA"/>
    <w:rsid w:val="00F665F8"/>
    <w:rsid w:val="00F67C36"/>
    <w:rsid w:val="00F70472"/>
    <w:rsid w:val="00F70C44"/>
    <w:rsid w:val="00F712F4"/>
    <w:rsid w:val="00F71B15"/>
    <w:rsid w:val="00F72801"/>
    <w:rsid w:val="00F73DBA"/>
    <w:rsid w:val="00F73EE1"/>
    <w:rsid w:val="00F7417A"/>
    <w:rsid w:val="00F752DD"/>
    <w:rsid w:val="00F75FE7"/>
    <w:rsid w:val="00F76DAC"/>
    <w:rsid w:val="00F8017D"/>
    <w:rsid w:val="00F80872"/>
    <w:rsid w:val="00F80A18"/>
    <w:rsid w:val="00F81D67"/>
    <w:rsid w:val="00F8303D"/>
    <w:rsid w:val="00F84CB8"/>
    <w:rsid w:val="00F85A70"/>
    <w:rsid w:val="00F90AA4"/>
    <w:rsid w:val="00F92639"/>
    <w:rsid w:val="00F934CD"/>
    <w:rsid w:val="00F93EC7"/>
    <w:rsid w:val="00F940F9"/>
    <w:rsid w:val="00F95D6F"/>
    <w:rsid w:val="00F965D2"/>
    <w:rsid w:val="00F96BBE"/>
    <w:rsid w:val="00F97DF4"/>
    <w:rsid w:val="00F97F2A"/>
    <w:rsid w:val="00FA0047"/>
    <w:rsid w:val="00FA082F"/>
    <w:rsid w:val="00FA13D6"/>
    <w:rsid w:val="00FA1D61"/>
    <w:rsid w:val="00FA1FBA"/>
    <w:rsid w:val="00FA2418"/>
    <w:rsid w:val="00FA2527"/>
    <w:rsid w:val="00FA3B8E"/>
    <w:rsid w:val="00FA3F95"/>
    <w:rsid w:val="00FA59F3"/>
    <w:rsid w:val="00FA6AE6"/>
    <w:rsid w:val="00FA6D3C"/>
    <w:rsid w:val="00FA7722"/>
    <w:rsid w:val="00FB016D"/>
    <w:rsid w:val="00FB0194"/>
    <w:rsid w:val="00FB1DDD"/>
    <w:rsid w:val="00FB28BF"/>
    <w:rsid w:val="00FB3090"/>
    <w:rsid w:val="00FB33C3"/>
    <w:rsid w:val="00FB3874"/>
    <w:rsid w:val="00FB50E3"/>
    <w:rsid w:val="00FB561B"/>
    <w:rsid w:val="00FB6011"/>
    <w:rsid w:val="00FB625A"/>
    <w:rsid w:val="00FB737C"/>
    <w:rsid w:val="00FC0BE0"/>
    <w:rsid w:val="00FC0DC9"/>
    <w:rsid w:val="00FC1626"/>
    <w:rsid w:val="00FC23E8"/>
    <w:rsid w:val="00FC28B1"/>
    <w:rsid w:val="00FC2CB8"/>
    <w:rsid w:val="00FC4FDE"/>
    <w:rsid w:val="00FC5713"/>
    <w:rsid w:val="00FC59BD"/>
    <w:rsid w:val="00FC5AF7"/>
    <w:rsid w:val="00FC70B9"/>
    <w:rsid w:val="00FC7C84"/>
    <w:rsid w:val="00FD0DCA"/>
    <w:rsid w:val="00FD0E82"/>
    <w:rsid w:val="00FD118A"/>
    <w:rsid w:val="00FD1544"/>
    <w:rsid w:val="00FD1B2A"/>
    <w:rsid w:val="00FD21E1"/>
    <w:rsid w:val="00FD2714"/>
    <w:rsid w:val="00FD37EE"/>
    <w:rsid w:val="00FD3CC8"/>
    <w:rsid w:val="00FD47EA"/>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546"/>
    <w:rsid w:val="00FE5D1D"/>
    <w:rsid w:val="00FE6B62"/>
    <w:rsid w:val="00FE6BDB"/>
    <w:rsid w:val="00FE7608"/>
    <w:rsid w:val="00FE7CCE"/>
    <w:rsid w:val="00FE7D89"/>
    <w:rsid w:val="00FE7EAE"/>
    <w:rsid w:val="00FF0E67"/>
    <w:rsid w:val="00FF191B"/>
    <w:rsid w:val="00FF1C7F"/>
    <w:rsid w:val="00FF3593"/>
    <w:rsid w:val="00FF5189"/>
    <w:rsid w:val="00FF62F7"/>
    <w:rsid w:val="00FF6559"/>
    <w:rsid w:val="00FF79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1" w:uiPriority="0"/>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semiHidden/>
    <w:unhideWhenUsed/>
    <w:locked/>
    <w:rsid w:val="00A335C2"/>
    <w:pPr>
      <w:tabs>
        <w:tab w:val="center" w:pos="4513"/>
        <w:tab w:val="right" w:pos="9026"/>
      </w:tabs>
      <w:spacing w:after="0"/>
    </w:pPr>
  </w:style>
  <w:style w:type="character" w:customStyle="1" w:styleId="HeaderChar">
    <w:name w:val="Header Char"/>
    <w:basedOn w:val="DefaultParagraphFont"/>
    <w:link w:val="Header"/>
    <w:semiHidden/>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2E61F2"/>
    <w:pPr>
      <w:numPr>
        <w:numId w:val="352"/>
      </w:numPr>
      <w:tabs>
        <w:tab w:val="left" w:pos="709"/>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2E61F2"/>
    <w:pPr>
      <w:numPr>
        <w:ilvl w:val="2"/>
        <w:numId w:val="352"/>
      </w:numPr>
      <w:tabs>
        <w:tab w:val="left" w:pos="2127"/>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7E2634"/>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7E26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2E61F2"/>
    <w:pPr>
      <w:numPr>
        <w:ilvl w:val="1"/>
        <w:numId w:val="352"/>
      </w:numPr>
      <w:tabs>
        <w:tab w:val="left" w:pos="1418"/>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2E61F2"/>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2E61F2"/>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220570"/>
    <w:pPr>
      <w:spacing w:before="240" w:after="120"/>
      <w:ind w:left="709"/>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20C99"/>
    <w:pPr>
      <w:tabs>
        <w:tab w:val="left" w:pos="1418"/>
      </w:tabs>
      <w:overflowPunct/>
      <w:autoSpaceDE/>
      <w:autoSpaceDN/>
      <w:spacing w:before="120" w:after="120"/>
      <w:ind w:left="1418"/>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A335C2"/>
    <w:pPr>
      <w:spacing w:after="220"/>
      <w:ind w:left="1418"/>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2E61F2"/>
    <w:pPr>
      <w:numPr>
        <w:numId w:val="353"/>
      </w:numPr>
      <w:overflowPunct/>
      <w:autoSpaceDE/>
      <w:autoSpaceDN/>
      <w:adjustRightInd/>
      <w:spacing w:before="240"/>
      <w:ind w:left="709" w:hanging="709"/>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8A35B2"/>
    <w:rPr>
      <w:b w:val="0"/>
    </w:rPr>
  </w:style>
  <w:style w:type="character" w:customStyle="1" w:styleId="GPSL2NumberedChar">
    <w:name w:val="GPS L2 Numbered Char"/>
    <w:basedOn w:val="GPSL2NumberedBoldHeadingChar"/>
    <w:link w:val="GPSL2Numbered"/>
    <w:rsid w:val="008A35B2"/>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numPr>
        <w:ilvl w:val="0"/>
        <w:numId w:val="0"/>
      </w:numPr>
      <w:ind w:left="1418"/>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434D4A"/>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2E61F2"/>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002C1D"/>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7A2D3C"/>
    <w:rPr>
      <w:rFonts w:ascii="Calibri" w:eastAsia="Times New Roman" w:hAnsi="Calibri" w:cs="Times New Roman"/>
      <w:lang w:val="en-US" w:eastAsia="en-US"/>
    </w:rPr>
  </w:style>
  <w:style w:type="character" w:styleId="SubtleEmphasis">
    <w:name w:val="Subtle Emphasis"/>
    <w:basedOn w:val="DefaultParagraphFont"/>
    <w:uiPriority w:val="19"/>
    <w:qFormat/>
    <w:rsid w:val="007A2D3C"/>
    <w:rPr>
      <w:rFonts w:eastAsia="Times New Roman" w:cs="Times New Roman"/>
      <w:bCs w:val="0"/>
      <w:i/>
      <w:iCs/>
      <w:color w:val="808080"/>
      <w:szCs w:val="22"/>
      <w:lang w:val="en-US"/>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AA7C58"/>
    <w:pPr>
      <w:ind w:left="720"/>
      <w:contextualSpacing/>
    </w:pPr>
  </w:style>
  <w:style w:type="paragraph" w:customStyle="1" w:styleId="PAM-HEADING">
    <w:name w:val="PAM - HEADING"/>
    <w:basedOn w:val="Normal"/>
    <w:rsid w:val="00E40DF5"/>
    <w:pPr>
      <w:keepNext/>
      <w:numPr>
        <w:numId w:val="433"/>
      </w:numPr>
      <w:overflowPunct/>
      <w:autoSpaceDE/>
      <w:autoSpaceDN/>
      <w:textAlignment w:val="auto"/>
      <w:outlineLvl w:val="0"/>
    </w:pPr>
    <w:rPr>
      <w:rFonts w:ascii="Arial Bold" w:hAnsi="Arial Bold"/>
      <w:caps/>
      <w:color w:val="800000"/>
      <w:sz w:val="24"/>
    </w:rPr>
  </w:style>
  <w:style w:type="paragraph" w:customStyle="1" w:styleId="PAM-NUMBEREDPARAGRAPH">
    <w:name w:val="PAM - NUMBERED PARAGRAPH"/>
    <w:basedOn w:val="Normal"/>
    <w:rsid w:val="00E40DF5"/>
    <w:pPr>
      <w:numPr>
        <w:ilvl w:val="1"/>
        <w:numId w:val="433"/>
      </w:numPr>
    </w:pPr>
  </w:style>
  <w:style w:type="paragraph" w:customStyle="1" w:styleId="TableText">
    <w:name w:val="Table Text"/>
    <w:basedOn w:val="Normal"/>
    <w:link w:val="TableTextChar"/>
    <w:qFormat/>
    <w:rsid w:val="00327B9A"/>
    <w:pPr>
      <w:overflowPunct/>
      <w:autoSpaceDE/>
      <w:autoSpaceDN/>
      <w:adjustRightInd/>
      <w:spacing w:after="120"/>
      <w:jc w:val="left"/>
      <w:textAlignment w:val="auto"/>
      <w:textboxTightWrap w:val="allLines"/>
    </w:pPr>
    <w:rPr>
      <w:rFonts w:cs="Times New Roman"/>
      <w:sz w:val="21"/>
      <w:szCs w:val="24"/>
      <w:lang w:eastAsia="en-GB"/>
    </w:rPr>
  </w:style>
  <w:style w:type="character" w:customStyle="1" w:styleId="TableTextChar">
    <w:name w:val="Table Text Char"/>
    <w:basedOn w:val="DefaultParagraphFont"/>
    <w:link w:val="TableText"/>
    <w:rsid w:val="00327B9A"/>
    <w:rPr>
      <w:rFonts w:ascii="Arial" w:hAnsi="Arial"/>
      <w:sz w:val="21"/>
      <w:szCs w:val="24"/>
    </w:rPr>
  </w:style>
  <w:style w:type="paragraph" w:customStyle="1" w:styleId="TableHeader">
    <w:name w:val="Table Header"/>
    <w:basedOn w:val="Normal"/>
    <w:qFormat/>
    <w:rsid w:val="00327B9A"/>
    <w:pPr>
      <w:tabs>
        <w:tab w:val="right" w:pos="14580"/>
      </w:tabs>
      <w:overflowPunct/>
      <w:autoSpaceDE/>
      <w:autoSpaceDN/>
      <w:adjustRightInd/>
      <w:spacing w:before="60" w:after="60"/>
      <w:ind w:right="-108"/>
      <w:jc w:val="left"/>
      <w:textAlignment w:val="auto"/>
      <w:textboxTightWrap w:val="allLines"/>
    </w:pPr>
    <w:rPr>
      <w:rFonts w:eastAsia="SimSun"/>
      <w:b/>
      <w:bCs/>
      <w:sz w:val="21"/>
      <w:szCs w:val="24"/>
      <w:lang w:val="en-US" w:eastAsia="en-GB"/>
    </w:rPr>
  </w:style>
  <w:style w:type="paragraph" w:customStyle="1" w:styleId="ScheduleLevel1">
    <w:name w:val="Schedule Level 1"/>
    <w:basedOn w:val="Normal"/>
    <w:rsid w:val="000D3063"/>
    <w:pPr>
      <w:tabs>
        <w:tab w:val="num" w:pos="432"/>
      </w:tabs>
      <w:overflowPunct/>
      <w:autoSpaceDE/>
      <w:autoSpaceDN/>
      <w:adjustRightInd/>
      <w:ind w:left="432" w:hanging="432"/>
      <w:textAlignment w:val="auto"/>
    </w:pPr>
    <w:rPr>
      <w:rFonts w:cs="Times New Roman"/>
      <w:szCs w:val="20"/>
    </w:rPr>
  </w:style>
  <w:style w:type="paragraph" w:customStyle="1" w:styleId="ScheduleLevel2">
    <w:name w:val="Schedule Level 2"/>
    <w:basedOn w:val="Normal"/>
    <w:rsid w:val="000D3063"/>
    <w:pPr>
      <w:tabs>
        <w:tab w:val="num" w:pos="1080"/>
      </w:tabs>
      <w:overflowPunct/>
      <w:autoSpaceDE/>
      <w:autoSpaceDN/>
      <w:adjustRightInd/>
      <w:ind w:left="1080" w:hanging="648"/>
      <w:textAlignment w:val="auto"/>
    </w:pPr>
    <w:rPr>
      <w:rFonts w:cs="Times New Roman"/>
      <w:szCs w:val="20"/>
    </w:rPr>
  </w:style>
  <w:style w:type="paragraph" w:customStyle="1" w:styleId="ScheduleLevel3">
    <w:name w:val="Schedule Level 3"/>
    <w:basedOn w:val="Normal"/>
    <w:rsid w:val="000D3063"/>
    <w:pPr>
      <w:tabs>
        <w:tab w:val="num" w:pos="1944"/>
      </w:tabs>
      <w:overflowPunct/>
      <w:autoSpaceDE/>
      <w:autoSpaceDN/>
      <w:adjustRightInd/>
      <w:ind w:left="1944" w:hanging="864"/>
      <w:textAlignment w:val="auto"/>
    </w:pPr>
    <w:rPr>
      <w:rFonts w:cs="Times New Roman"/>
      <w:szCs w:val="20"/>
    </w:rPr>
  </w:style>
  <w:style w:type="paragraph" w:customStyle="1" w:styleId="ScheduleLevel4">
    <w:name w:val="Schedule Level 4"/>
    <w:basedOn w:val="Normal"/>
    <w:uiPriority w:val="99"/>
    <w:rsid w:val="000D3063"/>
    <w:pPr>
      <w:tabs>
        <w:tab w:val="num" w:pos="2376"/>
      </w:tabs>
      <w:overflowPunct/>
      <w:autoSpaceDE/>
      <w:autoSpaceDN/>
      <w:adjustRightInd/>
      <w:ind w:left="2376" w:hanging="432"/>
      <w:textAlignment w:val="auto"/>
    </w:pPr>
    <w:rPr>
      <w:rFonts w:cs="Times New Roman"/>
      <w:szCs w:val="20"/>
    </w:rPr>
  </w:style>
  <w:style w:type="paragraph" w:customStyle="1" w:styleId="ScheduleLevel5">
    <w:name w:val="Schedule Level 5"/>
    <w:basedOn w:val="Normal"/>
    <w:rsid w:val="000D3063"/>
    <w:pPr>
      <w:tabs>
        <w:tab w:val="num" w:pos="3024"/>
      </w:tabs>
      <w:overflowPunct/>
      <w:autoSpaceDE/>
      <w:autoSpaceDN/>
      <w:adjustRightInd/>
      <w:ind w:left="3024" w:hanging="648"/>
      <w:textAlignment w:val="auto"/>
    </w:pPr>
    <w:rPr>
      <w:rFonts w:cs="Times New Roman"/>
      <w:szCs w:val="20"/>
    </w:rPr>
  </w:style>
  <w:style w:type="paragraph" w:customStyle="1" w:styleId="ScheduleLevel6">
    <w:name w:val="Schedule Level 6"/>
    <w:basedOn w:val="Normal"/>
    <w:rsid w:val="000D3063"/>
    <w:pPr>
      <w:tabs>
        <w:tab w:val="num" w:pos="3600"/>
      </w:tabs>
      <w:overflowPunct/>
      <w:autoSpaceDE/>
      <w:autoSpaceDN/>
      <w:adjustRightInd/>
      <w:ind w:left="3600" w:hanging="576"/>
      <w:textAlignment w:val="auto"/>
    </w:pPr>
    <w:rPr>
      <w:rFonts w:cs="Times New Roman"/>
      <w:szCs w:val="20"/>
    </w:rPr>
  </w:style>
  <w:style w:type="paragraph" w:customStyle="1" w:styleId="ScheduleLevel7">
    <w:name w:val="Schedule Level 7"/>
    <w:basedOn w:val="Normal"/>
    <w:rsid w:val="000D3063"/>
    <w:pPr>
      <w:tabs>
        <w:tab w:val="num" w:pos="3960"/>
      </w:tabs>
      <w:overflowPunct/>
      <w:autoSpaceDE/>
      <w:autoSpaceDN/>
      <w:adjustRightInd/>
      <w:ind w:left="3960" w:hanging="360"/>
      <w:textAlignment w:val="auto"/>
    </w:pPr>
    <w:rPr>
      <w:rFonts w:cs="Times New Roman"/>
      <w:szCs w:val="20"/>
    </w:rPr>
  </w:style>
  <w:style w:type="paragraph" w:customStyle="1" w:styleId="ScheduleLevel8">
    <w:name w:val="Schedule Level 8"/>
    <w:basedOn w:val="Normal"/>
    <w:rsid w:val="000D3063"/>
    <w:pPr>
      <w:tabs>
        <w:tab w:val="num" w:pos="4320"/>
      </w:tabs>
      <w:overflowPunct/>
      <w:autoSpaceDE/>
      <w:autoSpaceDN/>
      <w:adjustRightInd/>
      <w:ind w:left="4320" w:hanging="360"/>
      <w:textAlignment w:val="auto"/>
    </w:pPr>
    <w:rPr>
      <w:rFonts w:cs="Times New Roman"/>
      <w:szCs w:val="20"/>
    </w:rPr>
  </w:style>
  <w:style w:type="paragraph" w:customStyle="1" w:styleId="ScheduleLevel9">
    <w:name w:val="Schedule Level 9"/>
    <w:basedOn w:val="Normal"/>
    <w:rsid w:val="000D3063"/>
    <w:pPr>
      <w:tabs>
        <w:tab w:val="num" w:pos="4752"/>
      </w:tabs>
      <w:overflowPunct/>
      <w:autoSpaceDE/>
      <w:autoSpaceDN/>
      <w:adjustRightInd/>
      <w:ind w:left="4752" w:hanging="432"/>
      <w:textAlignment w:val="auto"/>
    </w:pPr>
    <w:rPr>
      <w:rFonts w:cs="Times New Roman"/>
      <w:szCs w:val="20"/>
    </w:rPr>
  </w:style>
  <w:style w:type="paragraph" w:styleId="PlainText">
    <w:name w:val="Plain Text"/>
    <w:basedOn w:val="Normal"/>
    <w:link w:val="PlainTextChar"/>
    <w:uiPriority w:val="99"/>
    <w:semiHidden/>
    <w:unhideWhenUsed/>
    <w:locked/>
    <w:rsid w:val="008C0A27"/>
    <w:pPr>
      <w:overflowPunct/>
      <w:autoSpaceDE/>
      <w:autoSpaceDN/>
      <w:adjustRightInd/>
      <w:spacing w:after="0"/>
      <w:jc w:val="left"/>
      <w:textAlignment w:val="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C0A27"/>
    <w:rPr>
      <w:rFonts w:ascii="Consolas" w:eastAsia="Calibri" w:hAnsi="Consolas" w:cs="Times New Roman"/>
      <w:sz w:val="21"/>
      <w:szCs w:val="21"/>
      <w:lang w:eastAsia="en-US"/>
    </w:rPr>
  </w:style>
  <w:style w:type="paragraph" w:customStyle="1" w:styleId="gpsl3numberedclause0">
    <w:name w:val="gpsl3numberedclause"/>
    <w:basedOn w:val="Normal"/>
    <w:rsid w:val="00030C40"/>
    <w:pPr>
      <w:overflowPunct/>
      <w:autoSpaceDE/>
      <w:autoSpaceDN/>
      <w:adjustRightInd/>
      <w:spacing w:before="120" w:after="120"/>
      <w:ind w:left="1997" w:hanging="720"/>
      <w:textAlignment w:val="auto"/>
    </w:pPr>
    <w:rPr>
      <w:rFonts w:eastAsia="Calibri"/>
      <w:lang w:eastAsia="en-GB"/>
    </w:rPr>
  </w:style>
  <w:style w:type="paragraph" w:customStyle="1" w:styleId="Footnote-hanging">
    <w:name w:val="Footnote - hanging"/>
    <w:basedOn w:val="Heading6"/>
    <w:link w:val="Footnote-hangingChar"/>
    <w:rsid w:val="004A5F98"/>
    <w:pPr>
      <w:tabs>
        <w:tab w:val="left" w:pos="284"/>
      </w:tabs>
      <w:autoSpaceDE w:val="0"/>
      <w:autoSpaceDN w:val="0"/>
      <w:spacing w:after="280"/>
      <w:ind w:left="284" w:hanging="284"/>
      <w:jc w:val="left"/>
      <w:outlineLvl w:val="9"/>
    </w:pPr>
    <w:rPr>
      <w:rFonts w:ascii="Arial" w:hAnsi="Arial" w:cs="FrutigerLTStd-Light"/>
      <w:i/>
      <w:sz w:val="18"/>
      <w:szCs w:val="18"/>
      <w:lang w:eastAsia="en-US"/>
    </w:rPr>
  </w:style>
  <w:style w:type="character" w:customStyle="1" w:styleId="Footnote-hangingChar">
    <w:name w:val="Footnote - hanging Char"/>
    <w:basedOn w:val="Heading6Char"/>
    <w:link w:val="Footnote-hanging"/>
    <w:rsid w:val="004A5F98"/>
    <w:rPr>
      <w:rFonts w:ascii="Arial" w:eastAsia="Times New Roman" w:hAnsi="Arial" w:cs="FrutigerLTStd-Light"/>
      <w:b/>
      <w:bCs/>
      <w: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1" w:uiPriority="0"/>
    <w:lsdException w:name="Table Grid" w:semiHidden="0" w:uiPriority="59"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semiHidden/>
    <w:unhideWhenUsed/>
    <w:locked/>
    <w:rsid w:val="00A335C2"/>
    <w:pPr>
      <w:tabs>
        <w:tab w:val="center" w:pos="4513"/>
        <w:tab w:val="right" w:pos="9026"/>
      </w:tabs>
      <w:spacing w:after="0"/>
    </w:pPr>
  </w:style>
  <w:style w:type="character" w:customStyle="1" w:styleId="HeaderChar">
    <w:name w:val="Header Char"/>
    <w:basedOn w:val="DefaultParagraphFont"/>
    <w:link w:val="Header"/>
    <w:semiHidden/>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2E61F2"/>
    <w:pPr>
      <w:numPr>
        <w:numId w:val="352"/>
      </w:numPr>
      <w:tabs>
        <w:tab w:val="left" w:pos="709"/>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2E61F2"/>
    <w:pPr>
      <w:numPr>
        <w:ilvl w:val="2"/>
        <w:numId w:val="352"/>
      </w:numPr>
      <w:tabs>
        <w:tab w:val="left" w:pos="2127"/>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7E2634"/>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7E26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2E61F2"/>
    <w:pPr>
      <w:numPr>
        <w:ilvl w:val="1"/>
        <w:numId w:val="352"/>
      </w:numPr>
      <w:tabs>
        <w:tab w:val="left" w:pos="1418"/>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2E61F2"/>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2E61F2"/>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220570"/>
    <w:pPr>
      <w:spacing w:before="240" w:after="120"/>
      <w:ind w:left="709"/>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20C99"/>
    <w:pPr>
      <w:tabs>
        <w:tab w:val="left" w:pos="1418"/>
      </w:tabs>
      <w:overflowPunct/>
      <w:autoSpaceDE/>
      <w:autoSpaceDN/>
      <w:spacing w:before="120" w:after="120"/>
      <w:ind w:left="1418"/>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A335C2"/>
    <w:pPr>
      <w:spacing w:after="220"/>
      <w:ind w:left="1418"/>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2E61F2"/>
    <w:pPr>
      <w:numPr>
        <w:numId w:val="353"/>
      </w:numPr>
      <w:overflowPunct/>
      <w:autoSpaceDE/>
      <w:autoSpaceDN/>
      <w:adjustRightInd/>
      <w:spacing w:before="240"/>
      <w:ind w:left="709" w:hanging="709"/>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8A35B2"/>
    <w:rPr>
      <w:b w:val="0"/>
    </w:rPr>
  </w:style>
  <w:style w:type="character" w:customStyle="1" w:styleId="GPSL2NumberedChar">
    <w:name w:val="GPS L2 Numbered Char"/>
    <w:basedOn w:val="GPSL2NumberedBoldHeadingChar"/>
    <w:link w:val="GPSL2Numbered"/>
    <w:rsid w:val="008A35B2"/>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numPr>
        <w:ilvl w:val="0"/>
        <w:numId w:val="0"/>
      </w:numPr>
      <w:ind w:left="1418"/>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434D4A"/>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2E61F2"/>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002C1D"/>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7A2D3C"/>
    <w:rPr>
      <w:rFonts w:ascii="Calibri" w:eastAsia="Times New Roman" w:hAnsi="Calibri" w:cs="Times New Roman"/>
      <w:lang w:val="en-US" w:eastAsia="en-US"/>
    </w:rPr>
  </w:style>
  <w:style w:type="character" w:styleId="SubtleEmphasis">
    <w:name w:val="Subtle Emphasis"/>
    <w:basedOn w:val="DefaultParagraphFont"/>
    <w:uiPriority w:val="19"/>
    <w:qFormat/>
    <w:rsid w:val="007A2D3C"/>
    <w:rPr>
      <w:rFonts w:eastAsia="Times New Roman" w:cs="Times New Roman"/>
      <w:bCs w:val="0"/>
      <w:i/>
      <w:iCs/>
      <w:color w:val="808080"/>
      <w:szCs w:val="22"/>
      <w:lang w:val="en-US"/>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AA7C58"/>
    <w:pPr>
      <w:ind w:left="720"/>
      <w:contextualSpacing/>
    </w:pPr>
  </w:style>
  <w:style w:type="paragraph" w:customStyle="1" w:styleId="PAM-HEADING">
    <w:name w:val="PAM - HEADING"/>
    <w:basedOn w:val="Normal"/>
    <w:rsid w:val="00E40DF5"/>
    <w:pPr>
      <w:keepNext/>
      <w:numPr>
        <w:numId w:val="433"/>
      </w:numPr>
      <w:overflowPunct/>
      <w:autoSpaceDE/>
      <w:autoSpaceDN/>
      <w:textAlignment w:val="auto"/>
      <w:outlineLvl w:val="0"/>
    </w:pPr>
    <w:rPr>
      <w:rFonts w:ascii="Arial Bold" w:hAnsi="Arial Bold"/>
      <w:caps/>
      <w:color w:val="800000"/>
      <w:sz w:val="24"/>
    </w:rPr>
  </w:style>
  <w:style w:type="paragraph" w:customStyle="1" w:styleId="PAM-NUMBEREDPARAGRAPH">
    <w:name w:val="PAM - NUMBERED PARAGRAPH"/>
    <w:basedOn w:val="Normal"/>
    <w:rsid w:val="00E40DF5"/>
    <w:pPr>
      <w:numPr>
        <w:ilvl w:val="1"/>
        <w:numId w:val="433"/>
      </w:numPr>
    </w:pPr>
  </w:style>
  <w:style w:type="paragraph" w:customStyle="1" w:styleId="TableText">
    <w:name w:val="Table Text"/>
    <w:basedOn w:val="Normal"/>
    <w:link w:val="TableTextChar"/>
    <w:qFormat/>
    <w:rsid w:val="00327B9A"/>
    <w:pPr>
      <w:overflowPunct/>
      <w:autoSpaceDE/>
      <w:autoSpaceDN/>
      <w:adjustRightInd/>
      <w:spacing w:after="120"/>
      <w:jc w:val="left"/>
      <w:textAlignment w:val="auto"/>
      <w:textboxTightWrap w:val="allLines"/>
    </w:pPr>
    <w:rPr>
      <w:rFonts w:cs="Times New Roman"/>
      <w:sz w:val="21"/>
      <w:szCs w:val="24"/>
      <w:lang w:eastAsia="en-GB"/>
    </w:rPr>
  </w:style>
  <w:style w:type="character" w:customStyle="1" w:styleId="TableTextChar">
    <w:name w:val="Table Text Char"/>
    <w:basedOn w:val="DefaultParagraphFont"/>
    <w:link w:val="TableText"/>
    <w:rsid w:val="00327B9A"/>
    <w:rPr>
      <w:rFonts w:ascii="Arial" w:hAnsi="Arial"/>
      <w:sz w:val="21"/>
      <w:szCs w:val="24"/>
    </w:rPr>
  </w:style>
  <w:style w:type="paragraph" w:customStyle="1" w:styleId="TableHeader">
    <w:name w:val="Table Header"/>
    <w:basedOn w:val="Normal"/>
    <w:qFormat/>
    <w:rsid w:val="00327B9A"/>
    <w:pPr>
      <w:tabs>
        <w:tab w:val="right" w:pos="14580"/>
      </w:tabs>
      <w:overflowPunct/>
      <w:autoSpaceDE/>
      <w:autoSpaceDN/>
      <w:adjustRightInd/>
      <w:spacing w:before="60" w:after="60"/>
      <w:ind w:right="-108"/>
      <w:jc w:val="left"/>
      <w:textAlignment w:val="auto"/>
      <w:textboxTightWrap w:val="allLines"/>
    </w:pPr>
    <w:rPr>
      <w:rFonts w:eastAsia="SimSun"/>
      <w:b/>
      <w:bCs/>
      <w:sz w:val="21"/>
      <w:szCs w:val="24"/>
      <w:lang w:val="en-US" w:eastAsia="en-GB"/>
    </w:rPr>
  </w:style>
  <w:style w:type="paragraph" w:customStyle="1" w:styleId="ScheduleLevel1">
    <w:name w:val="Schedule Level 1"/>
    <w:basedOn w:val="Normal"/>
    <w:rsid w:val="000D3063"/>
    <w:pPr>
      <w:tabs>
        <w:tab w:val="num" w:pos="432"/>
      </w:tabs>
      <w:overflowPunct/>
      <w:autoSpaceDE/>
      <w:autoSpaceDN/>
      <w:adjustRightInd/>
      <w:ind w:left="432" w:hanging="432"/>
      <w:textAlignment w:val="auto"/>
    </w:pPr>
    <w:rPr>
      <w:rFonts w:cs="Times New Roman"/>
      <w:szCs w:val="20"/>
    </w:rPr>
  </w:style>
  <w:style w:type="paragraph" w:customStyle="1" w:styleId="ScheduleLevel2">
    <w:name w:val="Schedule Level 2"/>
    <w:basedOn w:val="Normal"/>
    <w:rsid w:val="000D3063"/>
    <w:pPr>
      <w:tabs>
        <w:tab w:val="num" w:pos="1080"/>
      </w:tabs>
      <w:overflowPunct/>
      <w:autoSpaceDE/>
      <w:autoSpaceDN/>
      <w:adjustRightInd/>
      <w:ind w:left="1080" w:hanging="648"/>
      <w:textAlignment w:val="auto"/>
    </w:pPr>
    <w:rPr>
      <w:rFonts w:cs="Times New Roman"/>
      <w:szCs w:val="20"/>
    </w:rPr>
  </w:style>
  <w:style w:type="paragraph" w:customStyle="1" w:styleId="ScheduleLevel3">
    <w:name w:val="Schedule Level 3"/>
    <w:basedOn w:val="Normal"/>
    <w:rsid w:val="000D3063"/>
    <w:pPr>
      <w:tabs>
        <w:tab w:val="num" w:pos="1944"/>
      </w:tabs>
      <w:overflowPunct/>
      <w:autoSpaceDE/>
      <w:autoSpaceDN/>
      <w:adjustRightInd/>
      <w:ind w:left="1944" w:hanging="864"/>
      <w:textAlignment w:val="auto"/>
    </w:pPr>
    <w:rPr>
      <w:rFonts w:cs="Times New Roman"/>
      <w:szCs w:val="20"/>
    </w:rPr>
  </w:style>
  <w:style w:type="paragraph" w:customStyle="1" w:styleId="ScheduleLevel4">
    <w:name w:val="Schedule Level 4"/>
    <w:basedOn w:val="Normal"/>
    <w:uiPriority w:val="99"/>
    <w:rsid w:val="000D3063"/>
    <w:pPr>
      <w:tabs>
        <w:tab w:val="num" w:pos="2376"/>
      </w:tabs>
      <w:overflowPunct/>
      <w:autoSpaceDE/>
      <w:autoSpaceDN/>
      <w:adjustRightInd/>
      <w:ind w:left="2376" w:hanging="432"/>
      <w:textAlignment w:val="auto"/>
    </w:pPr>
    <w:rPr>
      <w:rFonts w:cs="Times New Roman"/>
      <w:szCs w:val="20"/>
    </w:rPr>
  </w:style>
  <w:style w:type="paragraph" w:customStyle="1" w:styleId="ScheduleLevel5">
    <w:name w:val="Schedule Level 5"/>
    <w:basedOn w:val="Normal"/>
    <w:rsid w:val="000D3063"/>
    <w:pPr>
      <w:tabs>
        <w:tab w:val="num" w:pos="3024"/>
      </w:tabs>
      <w:overflowPunct/>
      <w:autoSpaceDE/>
      <w:autoSpaceDN/>
      <w:adjustRightInd/>
      <w:ind w:left="3024" w:hanging="648"/>
      <w:textAlignment w:val="auto"/>
    </w:pPr>
    <w:rPr>
      <w:rFonts w:cs="Times New Roman"/>
      <w:szCs w:val="20"/>
    </w:rPr>
  </w:style>
  <w:style w:type="paragraph" w:customStyle="1" w:styleId="ScheduleLevel6">
    <w:name w:val="Schedule Level 6"/>
    <w:basedOn w:val="Normal"/>
    <w:rsid w:val="000D3063"/>
    <w:pPr>
      <w:tabs>
        <w:tab w:val="num" w:pos="3600"/>
      </w:tabs>
      <w:overflowPunct/>
      <w:autoSpaceDE/>
      <w:autoSpaceDN/>
      <w:adjustRightInd/>
      <w:ind w:left="3600" w:hanging="576"/>
      <w:textAlignment w:val="auto"/>
    </w:pPr>
    <w:rPr>
      <w:rFonts w:cs="Times New Roman"/>
      <w:szCs w:val="20"/>
    </w:rPr>
  </w:style>
  <w:style w:type="paragraph" w:customStyle="1" w:styleId="ScheduleLevel7">
    <w:name w:val="Schedule Level 7"/>
    <w:basedOn w:val="Normal"/>
    <w:rsid w:val="000D3063"/>
    <w:pPr>
      <w:tabs>
        <w:tab w:val="num" w:pos="3960"/>
      </w:tabs>
      <w:overflowPunct/>
      <w:autoSpaceDE/>
      <w:autoSpaceDN/>
      <w:adjustRightInd/>
      <w:ind w:left="3960" w:hanging="360"/>
      <w:textAlignment w:val="auto"/>
    </w:pPr>
    <w:rPr>
      <w:rFonts w:cs="Times New Roman"/>
      <w:szCs w:val="20"/>
    </w:rPr>
  </w:style>
  <w:style w:type="paragraph" w:customStyle="1" w:styleId="ScheduleLevel8">
    <w:name w:val="Schedule Level 8"/>
    <w:basedOn w:val="Normal"/>
    <w:rsid w:val="000D3063"/>
    <w:pPr>
      <w:tabs>
        <w:tab w:val="num" w:pos="4320"/>
      </w:tabs>
      <w:overflowPunct/>
      <w:autoSpaceDE/>
      <w:autoSpaceDN/>
      <w:adjustRightInd/>
      <w:ind w:left="4320" w:hanging="360"/>
      <w:textAlignment w:val="auto"/>
    </w:pPr>
    <w:rPr>
      <w:rFonts w:cs="Times New Roman"/>
      <w:szCs w:val="20"/>
    </w:rPr>
  </w:style>
  <w:style w:type="paragraph" w:customStyle="1" w:styleId="ScheduleLevel9">
    <w:name w:val="Schedule Level 9"/>
    <w:basedOn w:val="Normal"/>
    <w:rsid w:val="000D3063"/>
    <w:pPr>
      <w:tabs>
        <w:tab w:val="num" w:pos="4752"/>
      </w:tabs>
      <w:overflowPunct/>
      <w:autoSpaceDE/>
      <w:autoSpaceDN/>
      <w:adjustRightInd/>
      <w:ind w:left="4752" w:hanging="432"/>
      <w:textAlignment w:val="auto"/>
    </w:pPr>
    <w:rPr>
      <w:rFonts w:cs="Times New Roman"/>
      <w:szCs w:val="20"/>
    </w:rPr>
  </w:style>
  <w:style w:type="paragraph" w:styleId="PlainText">
    <w:name w:val="Plain Text"/>
    <w:basedOn w:val="Normal"/>
    <w:link w:val="PlainTextChar"/>
    <w:uiPriority w:val="99"/>
    <w:semiHidden/>
    <w:unhideWhenUsed/>
    <w:locked/>
    <w:rsid w:val="008C0A27"/>
    <w:pPr>
      <w:overflowPunct/>
      <w:autoSpaceDE/>
      <w:autoSpaceDN/>
      <w:adjustRightInd/>
      <w:spacing w:after="0"/>
      <w:jc w:val="left"/>
      <w:textAlignment w:val="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C0A27"/>
    <w:rPr>
      <w:rFonts w:ascii="Consolas" w:eastAsia="Calibri" w:hAnsi="Consolas" w:cs="Times New Roman"/>
      <w:sz w:val="21"/>
      <w:szCs w:val="21"/>
      <w:lang w:eastAsia="en-US"/>
    </w:rPr>
  </w:style>
  <w:style w:type="paragraph" w:customStyle="1" w:styleId="gpsl3numberedclause0">
    <w:name w:val="gpsl3numberedclause"/>
    <w:basedOn w:val="Normal"/>
    <w:rsid w:val="00030C40"/>
    <w:pPr>
      <w:overflowPunct/>
      <w:autoSpaceDE/>
      <w:autoSpaceDN/>
      <w:adjustRightInd/>
      <w:spacing w:before="120" w:after="120"/>
      <w:ind w:left="1997" w:hanging="720"/>
      <w:textAlignment w:val="auto"/>
    </w:pPr>
    <w:rPr>
      <w:rFonts w:eastAsia="Calibri"/>
      <w:lang w:eastAsia="en-GB"/>
    </w:rPr>
  </w:style>
  <w:style w:type="paragraph" w:customStyle="1" w:styleId="Footnote-hanging">
    <w:name w:val="Footnote - hanging"/>
    <w:basedOn w:val="Heading6"/>
    <w:link w:val="Footnote-hangingChar"/>
    <w:rsid w:val="004A5F98"/>
    <w:pPr>
      <w:tabs>
        <w:tab w:val="left" w:pos="284"/>
      </w:tabs>
      <w:autoSpaceDE w:val="0"/>
      <w:autoSpaceDN w:val="0"/>
      <w:spacing w:after="280"/>
      <w:ind w:left="284" w:hanging="284"/>
      <w:jc w:val="left"/>
      <w:outlineLvl w:val="9"/>
    </w:pPr>
    <w:rPr>
      <w:rFonts w:ascii="Arial" w:hAnsi="Arial" w:cs="FrutigerLTStd-Light"/>
      <w:i/>
      <w:sz w:val="18"/>
      <w:szCs w:val="18"/>
      <w:lang w:eastAsia="en-US"/>
    </w:rPr>
  </w:style>
  <w:style w:type="character" w:customStyle="1" w:styleId="Footnote-hangingChar">
    <w:name w:val="Footnote - hanging Char"/>
    <w:basedOn w:val="Heading6Char"/>
    <w:link w:val="Footnote-hanging"/>
    <w:rsid w:val="004A5F98"/>
    <w:rPr>
      <w:rFonts w:ascii="Arial" w:eastAsia="Times New Roman" w:hAnsi="Arial" w:cs="FrutigerLTStd-Light"/>
      <w:b/>
      <w:bCs/>
      <w: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4955">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0150830">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193344127">
      <w:bodyDiv w:val="1"/>
      <w:marLeft w:val="0"/>
      <w:marRight w:val="0"/>
      <w:marTop w:val="0"/>
      <w:marBottom w:val="0"/>
      <w:divBdr>
        <w:top w:val="none" w:sz="0" w:space="0" w:color="auto"/>
        <w:left w:val="none" w:sz="0" w:space="0" w:color="auto"/>
        <w:bottom w:val="none" w:sz="0" w:space="0" w:color="auto"/>
        <w:right w:val="none" w:sz="0" w:space="0" w:color="auto"/>
      </w:divBdr>
    </w:div>
    <w:div w:id="212036179">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23417203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67356508">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so.ccs.cabinetoffice.gov.uk/Pub/Login.aspx?ReturnUrl=%2f" TargetMode="External"/><Relationship Id="rId18" Type="http://schemas.openxmlformats.org/officeDocument/2006/relationships/hyperlink" Target="http://iet.jrc.ec.europa.eu/energyefficiency/ict-codes-conduct/data-centres-energy-efficien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open-source-open-standards-and-re-use-government-action-plan" TargetMode="External"/><Relationship Id="rId7" Type="http://schemas.microsoft.com/office/2007/relationships/stylesWithEffects" Target="stylesWithEffects.xml"/><Relationship Id="rId12" Type="http://schemas.openxmlformats.org/officeDocument/2006/relationships/hyperlink" Target="http://ccs.cabinetoffice.gov.uk/i-am-supplier/management-information/admin-fees" TargetMode="External"/><Relationship Id="rId17" Type="http://schemas.openxmlformats.org/officeDocument/2006/relationships/hyperlink" Target="http://www.uka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open-standards-principles" TargetMode="External"/><Relationship Id="rId20" Type="http://schemas.openxmlformats.org/officeDocument/2006/relationships/hyperlink" Target="https://www.gov.uk/government/publications/greening-government-ict-strate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kas.com/" TargetMode="External"/><Relationship Id="rId23" Type="http://schemas.openxmlformats.org/officeDocument/2006/relationships/hyperlink" Target="mailto:john.smith@examplehospital.nhs.net"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publications/open-standards-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46374/IA_Requirements_for_shared_PSN_and_G-Cloud_services_v1.pdf" TargetMode="External"/><Relationship Id="rId22" Type="http://schemas.openxmlformats.org/officeDocument/2006/relationships/hyperlink" Target="http://www.isb.nhs.uk/library/standard/16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1F570-C7C8-452F-89AB-ADEDB9554DE0}">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67DFC33-FE84-4007-9E01-FDFE82089DE6}">
  <ds:schemaRefs>
    <ds:schemaRef ds:uri="http://schemas.microsoft.com/sharepoint/v3/contenttype/forms"/>
  </ds:schemaRefs>
</ds:datastoreItem>
</file>

<file path=customXml/itemProps3.xml><?xml version="1.0" encoding="utf-8"?>
<ds:datastoreItem xmlns:ds="http://schemas.openxmlformats.org/officeDocument/2006/customXml" ds:itemID="{0F23FB76-D0CA-4AC0-BA1F-612C2E77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A872F5-737C-4755-BA7E-46932A88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169</Pages>
  <Words>52154</Words>
  <Characters>293595</Characters>
  <Application>Microsoft Office Word</Application>
  <DocSecurity>0</DocSecurity>
  <Lines>2446</Lines>
  <Paragraphs>690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345059</CharactersWithSpaces>
  <SharedDoc>false</SharedDoc>
  <HLinks>
    <vt:vector size="642" baseType="variant">
      <vt:variant>
        <vt:i4>196627</vt:i4>
      </vt:variant>
      <vt:variant>
        <vt:i4>1326</vt:i4>
      </vt:variant>
      <vt:variant>
        <vt:i4>0</vt:i4>
      </vt:variant>
      <vt:variant>
        <vt:i4>5</vt:i4>
      </vt:variant>
      <vt:variant>
        <vt:lpwstr>http://gps.cabinetoffice.gov.uk/about-government-procurement-service/operational-delivery/supplier-management</vt:lpwstr>
      </vt:variant>
      <vt:variant>
        <vt:lpwstr/>
      </vt:variant>
      <vt:variant>
        <vt:i4>7340124</vt:i4>
      </vt:variant>
      <vt:variant>
        <vt:i4>1209</vt:i4>
      </vt:variant>
      <vt:variant>
        <vt:i4>0</vt:i4>
      </vt:variant>
      <vt:variant>
        <vt:i4>5</vt:i4>
      </vt:variant>
      <vt:variant>
        <vt:lpwstr>mailto:john.smith@examplehospital.nhs.net</vt:lpwstr>
      </vt:variant>
      <vt:variant>
        <vt:lpwstr/>
      </vt:variant>
      <vt:variant>
        <vt:i4>3932203</vt:i4>
      </vt:variant>
      <vt:variant>
        <vt:i4>1206</vt:i4>
      </vt:variant>
      <vt:variant>
        <vt:i4>0</vt:i4>
      </vt:variant>
      <vt:variant>
        <vt:i4>5</vt:i4>
      </vt:variant>
      <vt:variant>
        <vt:lpwstr>http://www.isb.nhs.uk/library/standard/163</vt:lpwstr>
      </vt:variant>
      <vt:variant>
        <vt:lpwstr/>
      </vt:variant>
      <vt:variant>
        <vt:i4>8060985</vt:i4>
      </vt:variant>
      <vt:variant>
        <vt:i4>1203</vt:i4>
      </vt:variant>
      <vt:variant>
        <vt:i4>0</vt:i4>
      </vt:variant>
      <vt:variant>
        <vt:i4>5</vt:i4>
      </vt:variant>
      <vt:variant>
        <vt:lpwstr>https://www.gov.uk/government/publications/open-source-open-standards-and-re-use-government-action-plan</vt:lpwstr>
      </vt:variant>
      <vt:variant>
        <vt:lpwstr/>
      </vt:variant>
      <vt:variant>
        <vt:i4>6946854</vt:i4>
      </vt:variant>
      <vt:variant>
        <vt:i4>1200</vt:i4>
      </vt:variant>
      <vt:variant>
        <vt:i4>0</vt:i4>
      </vt:variant>
      <vt:variant>
        <vt:i4>5</vt:i4>
      </vt:variant>
      <vt:variant>
        <vt:lpwstr>https://www.gov.uk/government/publications/greening-government-ict-strategy</vt:lpwstr>
      </vt:variant>
      <vt:variant>
        <vt:lpwstr/>
      </vt:variant>
      <vt:variant>
        <vt:i4>6815787</vt:i4>
      </vt:variant>
      <vt:variant>
        <vt:i4>1197</vt:i4>
      </vt:variant>
      <vt:variant>
        <vt:i4>0</vt:i4>
      </vt:variant>
      <vt:variant>
        <vt:i4>5</vt:i4>
      </vt:variant>
      <vt:variant>
        <vt:lpwstr>https://www.gov.uk/public-services-network</vt:lpwstr>
      </vt:variant>
      <vt:variant>
        <vt:lpwstr>psn-standards</vt:lpwstr>
      </vt:variant>
      <vt:variant>
        <vt:i4>4194378</vt:i4>
      </vt:variant>
      <vt:variant>
        <vt:i4>1194</vt:i4>
      </vt:variant>
      <vt:variant>
        <vt:i4>0</vt:i4>
      </vt:variant>
      <vt:variant>
        <vt:i4>5</vt:i4>
      </vt:variant>
      <vt:variant>
        <vt:lpwstr>https://www.gov.uk/government/publications/open-standards-principles</vt:lpwstr>
      </vt:variant>
      <vt:variant>
        <vt:lpwstr/>
      </vt:variant>
      <vt:variant>
        <vt:i4>2162739</vt:i4>
      </vt:variant>
      <vt:variant>
        <vt:i4>1191</vt:i4>
      </vt:variant>
      <vt:variant>
        <vt:i4>0</vt:i4>
      </vt:variant>
      <vt:variant>
        <vt:i4>5</vt:i4>
      </vt:variant>
      <vt:variant>
        <vt:lpwstr>http://webarchive.nationalarchives.gov.uk/+/http://www.cabinetoffice.gov.uk/govtalk/schemasstandards/e-gif.aspx</vt:lpwstr>
      </vt:variant>
      <vt:variant>
        <vt:lpwstr/>
      </vt:variant>
      <vt:variant>
        <vt:i4>5439503</vt:i4>
      </vt:variant>
      <vt:variant>
        <vt:i4>1188</vt:i4>
      </vt:variant>
      <vt:variant>
        <vt:i4>0</vt:i4>
      </vt:variant>
      <vt:variant>
        <vt:i4>5</vt:i4>
      </vt:variant>
      <vt:variant>
        <vt:lpwstr>http://iet.jrc.ec.europa.eu/energyefficiency/ict-codes-conduct/data-centres-energy-efficiency</vt:lpwstr>
      </vt:variant>
      <vt:variant>
        <vt:lpwstr/>
      </vt:variant>
      <vt:variant>
        <vt:i4>5308486</vt:i4>
      </vt:variant>
      <vt:variant>
        <vt:i4>1185</vt:i4>
      </vt:variant>
      <vt:variant>
        <vt:i4>0</vt:i4>
      </vt:variant>
      <vt:variant>
        <vt:i4>5</vt:i4>
      </vt:variant>
      <vt:variant>
        <vt:lpwstr>http://www.ukas.com/</vt:lpwstr>
      </vt:variant>
      <vt:variant>
        <vt:lpwstr/>
      </vt:variant>
      <vt:variant>
        <vt:i4>4194378</vt:i4>
      </vt:variant>
      <vt:variant>
        <vt:i4>1182</vt:i4>
      </vt:variant>
      <vt:variant>
        <vt:i4>0</vt:i4>
      </vt:variant>
      <vt:variant>
        <vt:i4>5</vt:i4>
      </vt:variant>
      <vt:variant>
        <vt:lpwstr>https://www.gov.uk/government/publications/open-standards-principles</vt:lpwstr>
      </vt:variant>
      <vt:variant>
        <vt:lpwstr/>
      </vt:variant>
      <vt:variant>
        <vt:i4>5308486</vt:i4>
      </vt:variant>
      <vt:variant>
        <vt:i4>1179</vt:i4>
      </vt:variant>
      <vt:variant>
        <vt:i4>0</vt:i4>
      </vt:variant>
      <vt:variant>
        <vt:i4>5</vt:i4>
      </vt:variant>
      <vt:variant>
        <vt:lpwstr>http://www.ukas.com/</vt:lpwstr>
      </vt:variant>
      <vt:variant>
        <vt:lpwstr/>
      </vt:variant>
      <vt:variant>
        <vt:i4>8323137</vt:i4>
      </vt:variant>
      <vt:variant>
        <vt:i4>1176</vt:i4>
      </vt:variant>
      <vt:variant>
        <vt:i4>0</vt:i4>
      </vt:variant>
      <vt:variant>
        <vt:i4>5</vt:i4>
      </vt:variant>
      <vt:variant>
        <vt:lpwstr>https://www.gov.uk/government/uploads/system/uploads/attachment_data/file/246374/IA_Requirements_for_shared_PSN_and_G-Cloud_services_v1.pdf</vt:lpwstr>
      </vt:variant>
      <vt:variant>
        <vt:lpwstr/>
      </vt:variant>
      <vt:variant>
        <vt:i4>6160402</vt:i4>
      </vt:variant>
      <vt:variant>
        <vt:i4>1164</vt:i4>
      </vt:variant>
      <vt:variant>
        <vt:i4>0</vt:i4>
      </vt:variant>
      <vt:variant>
        <vt:i4>5</vt:i4>
      </vt:variant>
      <vt:variant>
        <vt:lpwstr>https://miso.buyingsolutions.gov.uk/</vt:lpwstr>
      </vt:variant>
      <vt:variant>
        <vt:lpwstr/>
      </vt:variant>
      <vt:variant>
        <vt:i4>7602278</vt:i4>
      </vt:variant>
      <vt:variant>
        <vt:i4>1128</vt:i4>
      </vt:variant>
      <vt:variant>
        <vt:i4>0</vt:i4>
      </vt:variant>
      <vt:variant>
        <vt:i4>5</vt:i4>
      </vt:variant>
      <vt:variant>
        <vt:lpwstr>http://www.buyingsolutions.gov.uk/categories/brand</vt:lpwstr>
      </vt:variant>
      <vt:variant>
        <vt:lpwstr/>
      </vt:variant>
      <vt:variant>
        <vt:i4>7209016</vt:i4>
      </vt:variant>
      <vt:variant>
        <vt:i4>1122</vt:i4>
      </vt:variant>
      <vt:variant>
        <vt:i4>0</vt:i4>
      </vt:variant>
      <vt:variant>
        <vt:i4>5</vt:i4>
      </vt:variant>
      <vt:variant>
        <vt:lpwstr>http://gps.cabinetoffice.gov.uk/i-am-supplier/management-information/admin-fees</vt:lpwstr>
      </vt:variant>
      <vt:variant>
        <vt:lpwstr/>
      </vt:variant>
      <vt:variant>
        <vt:i4>1638449</vt:i4>
      </vt:variant>
      <vt:variant>
        <vt:i4>542</vt:i4>
      </vt:variant>
      <vt:variant>
        <vt:i4>0</vt:i4>
      </vt:variant>
      <vt:variant>
        <vt:i4>5</vt:i4>
      </vt:variant>
      <vt:variant>
        <vt:lpwstr/>
      </vt:variant>
      <vt:variant>
        <vt:lpwstr>_Toc380053756</vt:lpwstr>
      </vt:variant>
      <vt:variant>
        <vt:i4>1638449</vt:i4>
      </vt:variant>
      <vt:variant>
        <vt:i4>536</vt:i4>
      </vt:variant>
      <vt:variant>
        <vt:i4>0</vt:i4>
      </vt:variant>
      <vt:variant>
        <vt:i4>5</vt:i4>
      </vt:variant>
      <vt:variant>
        <vt:lpwstr/>
      </vt:variant>
      <vt:variant>
        <vt:lpwstr>_Toc380053755</vt:lpwstr>
      </vt:variant>
      <vt:variant>
        <vt:i4>1638449</vt:i4>
      </vt:variant>
      <vt:variant>
        <vt:i4>530</vt:i4>
      </vt:variant>
      <vt:variant>
        <vt:i4>0</vt:i4>
      </vt:variant>
      <vt:variant>
        <vt:i4>5</vt:i4>
      </vt:variant>
      <vt:variant>
        <vt:lpwstr/>
      </vt:variant>
      <vt:variant>
        <vt:lpwstr>_Toc380053750</vt:lpwstr>
      </vt:variant>
      <vt:variant>
        <vt:i4>1572913</vt:i4>
      </vt:variant>
      <vt:variant>
        <vt:i4>524</vt:i4>
      </vt:variant>
      <vt:variant>
        <vt:i4>0</vt:i4>
      </vt:variant>
      <vt:variant>
        <vt:i4>5</vt:i4>
      </vt:variant>
      <vt:variant>
        <vt:lpwstr/>
      </vt:variant>
      <vt:variant>
        <vt:lpwstr>_Toc380053749</vt:lpwstr>
      </vt:variant>
      <vt:variant>
        <vt:i4>1572913</vt:i4>
      </vt:variant>
      <vt:variant>
        <vt:i4>518</vt:i4>
      </vt:variant>
      <vt:variant>
        <vt:i4>0</vt:i4>
      </vt:variant>
      <vt:variant>
        <vt:i4>5</vt:i4>
      </vt:variant>
      <vt:variant>
        <vt:lpwstr/>
      </vt:variant>
      <vt:variant>
        <vt:lpwstr>_Toc380053748</vt:lpwstr>
      </vt:variant>
      <vt:variant>
        <vt:i4>1572913</vt:i4>
      </vt:variant>
      <vt:variant>
        <vt:i4>512</vt:i4>
      </vt:variant>
      <vt:variant>
        <vt:i4>0</vt:i4>
      </vt:variant>
      <vt:variant>
        <vt:i4>5</vt:i4>
      </vt:variant>
      <vt:variant>
        <vt:lpwstr/>
      </vt:variant>
      <vt:variant>
        <vt:lpwstr>_Toc380053747</vt:lpwstr>
      </vt:variant>
      <vt:variant>
        <vt:i4>1572913</vt:i4>
      </vt:variant>
      <vt:variant>
        <vt:i4>506</vt:i4>
      </vt:variant>
      <vt:variant>
        <vt:i4>0</vt:i4>
      </vt:variant>
      <vt:variant>
        <vt:i4>5</vt:i4>
      </vt:variant>
      <vt:variant>
        <vt:lpwstr/>
      </vt:variant>
      <vt:variant>
        <vt:lpwstr>_Toc380053746</vt:lpwstr>
      </vt:variant>
      <vt:variant>
        <vt:i4>1572913</vt:i4>
      </vt:variant>
      <vt:variant>
        <vt:i4>500</vt:i4>
      </vt:variant>
      <vt:variant>
        <vt:i4>0</vt:i4>
      </vt:variant>
      <vt:variant>
        <vt:i4>5</vt:i4>
      </vt:variant>
      <vt:variant>
        <vt:lpwstr/>
      </vt:variant>
      <vt:variant>
        <vt:lpwstr>_Toc380053745</vt:lpwstr>
      </vt:variant>
      <vt:variant>
        <vt:i4>1572913</vt:i4>
      </vt:variant>
      <vt:variant>
        <vt:i4>494</vt:i4>
      </vt:variant>
      <vt:variant>
        <vt:i4>0</vt:i4>
      </vt:variant>
      <vt:variant>
        <vt:i4>5</vt:i4>
      </vt:variant>
      <vt:variant>
        <vt:lpwstr/>
      </vt:variant>
      <vt:variant>
        <vt:lpwstr>_Toc380053744</vt:lpwstr>
      </vt:variant>
      <vt:variant>
        <vt:i4>1572913</vt:i4>
      </vt:variant>
      <vt:variant>
        <vt:i4>488</vt:i4>
      </vt:variant>
      <vt:variant>
        <vt:i4>0</vt:i4>
      </vt:variant>
      <vt:variant>
        <vt:i4>5</vt:i4>
      </vt:variant>
      <vt:variant>
        <vt:lpwstr/>
      </vt:variant>
      <vt:variant>
        <vt:lpwstr>_Toc380053743</vt:lpwstr>
      </vt:variant>
      <vt:variant>
        <vt:i4>1572913</vt:i4>
      </vt:variant>
      <vt:variant>
        <vt:i4>482</vt:i4>
      </vt:variant>
      <vt:variant>
        <vt:i4>0</vt:i4>
      </vt:variant>
      <vt:variant>
        <vt:i4>5</vt:i4>
      </vt:variant>
      <vt:variant>
        <vt:lpwstr/>
      </vt:variant>
      <vt:variant>
        <vt:lpwstr>_Toc380053742</vt:lpwstr>
      </vt:variant>
      <vt:variant>
        <vt:i4>1572913</vt:i4>
      </vt:variant>
      <vt:variant>
        <vt:i4>476</vt:i4>
      </vt:variant>
      <vt:variant>
        <vt:i4>0</vt:i4>
      </vt:variant>
      <vt:variant>
        <vt:i4>5</vt:i4>
      </vt:variant>
      <vt:variant>
        <vt:lpwstr/>
      </vt:variant>
      <vt:variant>
        <vt:lpwstr>_Toc380053741</vt:lpwstr>
      </vt:variant>
      <vt:variant>
        <vt:i4>1572913</vt:i4>
      </vt:variant>
      <vt:variant>
        <vt:i4>470</vt:i4>
      </vt:variant>
      <vt:variant>
        <vt:i4>0</vt:i4>
      </vt:variant>
      <vt:variant>
        <vt:i4>5</vt:i4>
      </vt:variant>
      <vt:variant>
        <vt:lpwstr/>
      </vt:variant>
      <vt:variant>
        <vt:lpwstr>_Toc380053740</vt:lpwstr>
      </vt:variant>
      <vt:variant>
        <vt:i4>2031665</vt:i4>
      </vt:variant>
      <vt:variant>
        <vt:i4>464</vt:i4>
      </vt:variant>
      <vt:variant>
        <vt:i4>0</vt:i4>
      </vt:variant>
      <vt:variant>
        <vt:i4>5</vt:i4>
      </vt:variant>
      <vt:variant>
        <vt:lpwstr/>
      </vt:variant>
      <vt:variant>
        <vt:lpwstr>_Toc380053739</vt:lpwstr>
      </vt:variant>
      <vt:variant>
        <vt:i4>2031665</vt:i4>
      </vt:variant>
      <vt:variant>
        <vt:i4>458</vt:i4>
      </vt:variant>
      <vt:variant>
        <vt:i4>0</vt:i4>
      </vt:variant>
      <vt:variant>
        <vt:i4>5</vt:i4>
      </vt:variant>
      <vt:variant>
        <vt:lpwstr/>
      </vt:variant>
      <vt:variant>
        <vt:lpwstr>_Toc380053738</vt:lpwstr>
      </vt:variant>
      <vt:variant>
        <vt:i4>2031665</vt:i4>
      </vt:variant>
      <vt:variant>
        <vt:i4>452</vt:i4>
      </vt:variant>
      <vt:variant>
        <vt:i4>0</vt:i4>
      </vt:variant>
      <vt:variant>
        <vt:i4>5</vt:i4>
      </vt:variant>
      <vt:variant>
        <vt:lpwstr/>
      </vt:variant>
      <vt:variant>
        <vt:lpwstr>_Toc380053737</vt:lpwstr>
      </vt:variant>
      <vt:variant>
        <vt:i4>2031665</vt:i4>
      </vt:variant>
      <vt:variant>
        <vt:i4>446</vt:i4>
      </vt:variant>
      <vt:variant>
        <vt:i4>0</vt:i4>
      </vt:variant>
      <vt:variant>
        <vt:i4>5</vt:i4>
      </vt:variant>
      <vt:variant>
        <vt:lpwstr/>
      </vt:variant>
      <vt:variant>
        <vt:lpwstr>_Toc380053736</vt:lpwstr>
      </vt:variant>
      <vt:variant>
        <vt:i4>2031665</vt:i4>
      </vt:variant>
      <vt:variant>
        <vt:i4>440</vt:i4>
      </vt:variant>
      <vt:variant>
        <vt:i4>0</vt:i4>
      </vt:variant>
      <vt:variant>
        <vt:i4>5</vt:i4>
      </vt:variant>
      <vt:variant>
        <vt:lpwstr/>
      </vt:variant>
      <vt:variant>
        <vt:lpwstr>_Toc380053735</vt:lpwstr>
      </vt:variant>
      <vt:variant>
        <vt:i4>2031665</vt:i4>
      </vt:variant>
      <vt:variant>
        <vt:i4>434</vt:i4>
      </vt:variant>
      <vt:variant>
        <vt:i4>0</vt:i4>
      </vt:variant>
      <vt:variant>
        <vt:i4>5</vt:i4>
      </vt:variant>
      <vt:variant>
        <vt:lpwstr/>
      </vt:variant>
      <vt:variant>
        <vt:lpwstr>_Toc380053734</vt:lpwstr>
      </vt:variant>
      <vt:variant>
        <vt:i4>2031665</vt:i4>
      </vt:variant>
      <vt:variant>
        <vt:i4>428</vt:i4>
      </vt:variant>
      <vt:variant>
        <vt:i4>0</vt:i4>
      </vt:variant>
      <vt:variant>
        <vt:i4>5</vt:i4>
      </vt:variant>
      <vt:variant>
        <vt:lpwstr/>
      </vt:variant>
      <vt:variant>
        <vt:lpwstr>_Toc380053733</vt:lpwstr>
      </vt:variant>
      <vt:variant>
        <vt:i4>2031665</vt:i4>
      </vt:variant>
      <vt:variant>
        <vt:i4>422</vt:i4>
      </vt:variant>
      <vt:variant>
        <vt:i4>0</vt:i4>
      </vt:variant>
      <vt:variant>
        <vt:i4>5</vt:i4>
      </vt:variant>
      <vt:variant>
        <vt:lpwstr/>
      </vt:variant>
      <vt:variant>
        <vt:lpwstr>_Toc380053732</vt:lpwstr>
      </vt:variant>
      <vt:variant>
        <vt:i4>2031665</vt:i4>
      </vt:variant>
      <vt:variant>
        <vt:i4>416</vt:i4>
      </vt:variant>
      <vt:variant>
        <vt:i4>0</vt:i4>
      </vt:variant>
      <vt:variant>
        <vt:i4>5</vt:i4>
      </vt:variant>
      <vt:variant>
        <vt:lpwstr/>
      </vt:variant>
      <vt:variant>
        <vt:lpwstr>_Toc380053730</vt:lpwstr>
      </vt:variant>
      <vt:variant>
        <vt:i4>1966129</vt:i4>
      </vt:variant>
      <vt:variant>
        <vt:i4>410</vt:i4>
      </vt:variant>
      <vt:variant>
        <vt:i4>0</vt:i4>
      </vt:variant>
      <vt:variant>
        <vt:i4>5</vt:i4>
      </vt:variant>
      <vt:variant>
        <vt:lpwstr/>
      </vt:variant>
      <vt:variant>
        <vt:lpwstr>_Toc380053729</vt:lpwstr>
      </vt:variant>
      <vt:variant>
        <vt:i4>1966129</vt:i4>
      </vt:variant>
      <vt:variant>
        <vt:i4>404</vt:i4>
      </vt:variant>
      <vt:variant>
        <vt:i4>0</vt:i4>
      </vt:variant>
      <vt:variant>
        <vt:i4>5</vt:i4>
      </vt:variant>
      <vt:variant>
        <vt:lpwstr/>
      </vt:variant>
      <vt:variant>
        <vt:lpwstr>_Toc380053728</vt:lpwstr>
      </vt:variant>
      <vt:variant>
        <vt:i4>1966129</vt:i4>
      </vt:variant>
      <vt:variant>
        <vt:i4>398</vt:i4>
      </vt:variant>
      <vt:variant>
        <vt:i4>0</vt:i4>
      </vt:variant>
      <vt:variant>
        <vt:i4>5</vt:i4>
      </vt:variant>
      <vt:variant>
        <vt:lpwstr/>
      </vt:variant>
      <vt:variant>
        <vt:lpwstr>_Toc380053727</vt:lpwstr>
      </vt:variant>
      <vt:variant>
        <vt:i4>1966129</vt:i4>
      </vt:variant>
      <vt:variant>
        <vt:i4>392</vt:i4>
      </vt:variant>
      <vt:variant>
        <vt:i4>0</vt:i4>
      </vt:variant>
      <vt:variant>
        <vt:i4>5</vt:i4>
      </vt:variant>
      <vt:variant>
        <vt:lpwstr/>
      </vt:variant>
      <vt:variant>
        <vt:lpwstr>_Toc380053726</vt:lpwstr>
      </vt:variant>
      <vt:variant>
        <vt:i4>1966129</vt:i4>
      </vt:variant>
      <vt:variant>
        <vt:i4>386</vt:i4>
      </vt:variant>
      <vt:variant>
        <vt:i4>0</vt:i4>
      </vt:variant>
      <vt:variant>
        <vt:i4>5</vt:i4>
      </vt:variant>
      <vt:variant>
        <vt:lpwstr/>
      </vt:variant>
      <vt:variant>
        <vt:lpwstr>_Toc380053724</vt:lpwstr>
      </vt:variant>
      <vt:variant>
        <vt:i4>1966129</vt:i4>
      </vt:variant>
      <vt:variant>
        <vt:i4>380</vt:i4>
      </vt:variant>
      <vt:variant>
        <vt:i4>0</vt:i4>
      </vt:variant>
      <vt:variant>
        <vt:i4>5</vt:i4>
      </vt:variant>
      <vt:variant>
        <vt:lpwstr/>
      </vt:variant>
      <vt:variant>
        <vt:lpwstr>_Toc380053722</vt:lpwstr>
      </vt:variant>
      <vt:variant>
        <vt:i4>1900593</vt:i4>
      </vt:variant>
      <vt:variant>
        <vt:i4>374</vt:i4>
      </vt:variant>
      <vt:variant>
        <vt:i4>0</vt:i4>
      </vt:variant>
      <vt:variant>
        <vt:i4>5</vt:i4>
      </vt:variant>
      <vt:variant>
        <vt:lpwstr/>
      </vt:variant>
      <vt:variant>
        <vt:lpwstr>_Toc380053719</vt:lpwstr>
      </vt:variant>
      <vt:variant>
        <vt:i4>1900593</vt:i4>
      </vt:variant>
      <vt:variant>
        <vt:i4>368</vt:i4>
      </vt:variant>
      <vt:variant>
        <vt:i4>0</vt:i4>
      </vt:variant>
      <vt:variant>
        <vt:i4>5</vt:i4>
      </vt:variant>
      <vt:variant>
        <vt:lpwstr/>
      </vt:variant>
      <vt:variant>
        <vt:lpwstr>_Toc380053717</vt:lpwstr>
      </vt:variant>
      <vt:variant>
        <vt:i4>1900593</vt:i4>
      </vt:variant>
      <vt:variant>
        <vt:i4>362</vt:i4>
      </vt:variant>
      <vt:variant>
        <vt:i4>0</vt:i4>
      </vt:variant>
      <vt:variant>
        <vt:i4>5</vt:i4>
      </vt:variant>
      <vt:variant>
        <vt:lpwstr/>
      </vt:variant>
      <vt:variant>
        <vt:lpwstr>_Toc380053714</vt:lpwstr>
      </vt:variant>
      <vt:variant>
        <vt:i4>1900593</vt:i4>
      </vt:variant>
      <vt:variant>
        <vt:i4>356</vt:i4>
      </vt:variant>
      <vt:variant>
        <vt:i4>0</vt:i4>
      </vt:variant>
      <vt:variant>
        <vt:i4>5</vt:i4>
      </vt:variant>
      <vt:variant>
        <vt:lpwstr/>
      </vt:variant>
      <vt:variant>
        <vt:lpwstr>_Toc380053711</vt:lpwstr>
      </vt:variant>
      <vt:variant>
        <vt:i4>1900593</vt:i4>
      </vt:variant>
      <vt:variant>
        <vt:i4>350</vt:i4>
      </vt:variant>
      <vt:variant>
        <vt:i4>0</vt:i4>
      </vt:variant>
      <vt:variant>
        <vt:i4>5</vt:i4>
      </vt:variant>
      <vt:variant>
        <vt:lpwstr/>
      </vt:variant>
      <vt:variant>
        <vt:lpwstr>_Toc380053710</vt:lpwstr>
      </vt:variant>
      <vt:variant>
        <vt:i4>1835057</vt:i4>
      </vt:variant>
      <vt:variant>
        <vt:i4>344</vt:i4>
      </vt:variant>
      <vt:variant>
        <vt:i4>0</vt:i4>
      </vt:variant>
      <vt:variant>
        <vt:i4>5</vt:i4>
      </vt:variant>
      <vt:variant>
        <vt:lpwstr/>
      </vt:variant>
      <vt:variant>
        <vt:lpwstr>_Toc380053709</vt:lpwstr>
      </vt:variant>
      <vt:variant>
        <vt:i4>1835057</vt:i4>
      </vt:variant>
      <vt:variant>
        <vt:i4>338</vt:i4>
      </vt:variant>
      <vt:variant>
        <vt:i4>0</vt:i4>
      </vt:variant>
      <vt:variant>
        <vt:i4>5</vt:i4>
      </vt:variant>
      <vt:variant>
        <vt:lpwstr/>
      </vt:variant>
      <vt:variant>
        <vt:lpwstr>_Toc380053708</vt:lpwstr>
      </vt:variant>
      <vt:variant>
        <vt:i4>1835057</vt:i4>
      </vt:variant>
      <vt:variant>
        <vt:i4>332</vt:i4>
      </vt:variant>
      <vt:variant>
        <vt:i4>0</vt:i4>
      </vt:variant>
      <vt:variant>
        <vt:i4>5</vt:i4>
      </vt:variant>
      <vt:variant>
        <vt:lpwstr/>
      </vt:variant>
      <vt:variant>
        <vt:lpwstr>_Toc380053707</vt:lpwstr>
      </vt:variant>
      <vt:variant>
        <vt:i4>1835057</vt:i4>
      </vt:variant>
      <vt:variant>
        <vt:i4>326</vt:i4>
      </vt:variant>
      <vt:variant>
        <vt:i4>0</vt:i4>
      </vt:variant>
      <vt:variant>
        <vt:i4>5</vt:i4>
      </vt:variant>
      <vt:variant>
        <vt:lpwstr/>
      </vt:variant>
      <vt:variant>
        <vt:lpwstr>_Toc380053706</vt:lpwstr>
      </vt:variant>
      <vt:variant>
        <vt:i4>1835057</vt:i4>
      </vt:variant>
      <vt:variant>
        <vt:i4>320</vt:i4>
      </vt:variant>
      <vt:variant>
        <vt:i4>0</vt:i4>
      </vt:variant>
      <vt:variant>
        <vt:i4>5</vt:i4>
      </vt:variant>
      <vt:variant>
        <vt:lpwstr/>
      </vt:variant>
      <vt:variant>
        <vt:lpwstr>_Toc380053705</vt:lpwstr>
      </vt:variant>
      <vt:variant>
        <vt:i4>1835057</vt:i4>
      </vt:variant>
      <vt:variant>
        <vt:i4>314</vt:i4>
      </vt:variant>
      <vt:variant>
        <vt:i4>0</vt:i4>
      </vt:variant>
      <vt:variant>
        <vt:i4>5</vt:i4>
      </vt:variant>
      <vt:variant>
        <vt:lpwstr/>
      </vt:variant>
      <vt:variant>
        <vt:lpwstr>_Toc380053704</vt:lpwstr>
      </vt:variant>
      <vt:variant>
        <vt:i4>1835057</vt:i4>
      </vt:variant>
      <vt:variant>
        <vt:i4>308</vt:i4>
      </vt:variant>
      <vt:variant>
        <vt:i4>0</vt:i4>
      </vt:variant>
      <vt:variant>
        <vt:i4>5</vt:i4>
      </vt:variant>
      <vt:variant>
        <vt:lpwstr/>
      </vt:variant>
      <vt:variant>
        <vt:lpwstr>_Toc380053703</vt:lpwstr>
      </vt:variant>
      <vt:variant>
        <vt:i4>1835057</vt:i4>
      </vt:variant>
      <vt:variant>
        <vt:i4>302</vt:i4>
      </vt:variant>
      <vt:variant>
        <vt:i4>0</vt:i4>
      </vt:variant>
      <vt:variant>
        <vt:i4>5</vt:i4>
      </vt:variant>
      <vt:variant>
        <vt:lpwstr/>
      </vt:variant>
      <vt:variant>
        <vt:lpwstr>_Toc380053702</vt:lpwstr>
      </vt:variant>
      <vt:variant>
        <vt:i4>1835057</vt:i4>
      </vt:variant>
      <vt:variant>
        <vt:i4>296</vt:i4>
      </vt:variant>
      <vt:variant>
        <vt:i4>0</vt:i4>
      </vt:variant>
      <vt:variant>
        <vt:i4>5</vt:i4>
      </vt:variant>
      <vt:variant>
        <vt:lpwstr/>
      </vt:variant>
      <vt:variant>
        <vt:lpwstr>_Toc380053701</vt:lpwstr>
      </vt:variant>
      <vt:variant>
        <vt:i4>1835057</vt:i4>
      </vt:variant>
      <vt:variant>
        <vt:i4>290</vt:i4>
      </vt:variant>
      <vt:variant>
        <vt:i4>0</vt:i4>
      </vt:variant>
      <vt:variant>
        <vt:i4>5</vt:i4>
      </vt:variant>
      <vt:variant>
        <vt:lpwstr/>
      </vt:variant>
      <vt:variant>
        <vt:lpwstr>_Toc380053700</vt:lpwstr>
      </vt:variant>
      <vt:variant>
        <vt:i4>1376304</vt:i4>
      </vt:variant>
      <vt:variant>
        <vt:i4>284</vt:i4>
      </vt:variant>
      <vt:variant>
        <vt:i4>0</vt:i4>
      </vt:variant>
      <vt:variant>
        <vt:i4>5</vt:i4>
      </vt:variant>
      <vt:variant>
        <vt:lpwstr/>
      </vt:variant>
      <vt:variant>
        <vt:lpwstr>_Toc380053699</vt:lpwstr>
      </vt:variant>
      <vt:variant>
        <vt:i4>1376304</vt:i4>
      </vt:variant>
      <vt:variant>
        <vt:i4>278</vt:i4>
      </vt:variant>
      <vt:variant>
        <vt:i4>0</vt:i4>
      </vt:variant>
      <vt:variant>
        <vt:i4>5</vt:i4>
      </vt:variant>
      <vt:variant>
        <vt:lpwstr/>
      </vt:variant>
      <vt:variant>
        <vt:lpwstr>_Toc380053698</vt:lpwstr>
      </vt:variant>
      <vt:variant>
        <vt:i4>1376304</vt:i4>
      </vt:variant>
      <vt:variant>
        <vt:i4>272</vt:i4>
      </vt:variant>
      <vt:variant>
        <vt:i4>0</vt:i4>
      </vt:variant>
      <vt:variant>
        <vt:i4>5</vt:i4>
      </vt:variant>
      <vt:variant>
        <vt:lpwstr/>
      </vt:variant>
      <vt:variant>
        <vt:lpwstr>_Toc380053697</vt:lpwstr>
      </vt:variant>
      <vt:variant>
        <vt:i4>1376304</vt:i4>
      </vt:variant>
      <vt:variant>
        <vt:i4>266</vt:i4>
      </vt:variant>
      <vt:variant>
        <vt:i4>0</vt:i4>
      </vt:variant>
      <vt:variant>
        <vt:i4>5</vt:i4>
      </vt:variant>
      <vt:variant>
        <vt:lpwstr/>
      </vt:variant>
      <vt:variant>
        <vt:lpwstr>_Toc380053696</vt:lpwstr>
      </vt:variant>
      <vt:variant>
        <vt:i4>1376304</vt:i4>
      </vt:variant>
      <vt:variant>
        <vt:i4>260</vt:i4>
      </vt:variant>
      <vt:variant>
        <vt:i4>0</vt:i4>
      </vt:variant>
      <vt:variant>
        <vt:i4>5</vt:i4>
      </vt:variant>
      <vt:variant>
        <vt:lpwstr/>
      </vt:variant>
      <vt:variant>
        <vt:lpwstr>_Toc380053695</vt:lpwstr>
      </vt:variant>
      <vt:variant>
        <vt:i4>1376304</vt:i4>
      </vt:variant>
      <vt:variant>
        <vt:i4>254</vt:i4>
      </vt:variant>
      <vt:variant>
        <vt:i4>0</vt:i4>
      </vt:variant>
      <vt:variant>
        <vt:i4>5</vt:i4>
      </vt:variant>
      <vt:variant>
        <vt:lpwstr/>
      </vt:variant>
      <vt:variant>
        <vt:lpwstr>_Toc380053694</vt:lpwstr>
      </vt:variant>
      <vt:variant>
        <vt:i4>1376304</vt:i4>
      </vt:variant>
      <vt:variant>
        <vt:i4>248</vt:i4>
      </vt:variant>
      <vt:variant>
        <vt:i4>0</vt:i4>
      </vt:variant>
      <vt:variant>
        <vt:i4>5</vt:i4>
      </vt:variant>
      <vt:variant>
        <vt:lpwstr/>
      </vt:variant>
      <vt:variant>
        <vt:lpwstr>_Toc380053693</vt:lpwstr>
      </vt:variant>
      <vt:variant>
        <vt:i4>1376304</vt:i4>
      </vt:variant>
      <vt:variant>
        <vt:i4>242</vt:i4>
      </vt:variant>
      <vt:variant>
        <vt:i4>0</vt:i4>
      </vt:variant>
      <vt:variant>
        <vt:i4>5</vt:i4>
      </vt:variant>
      <vt:variant>
        <vt:lpwstr/>
      </vt:variant>
      <vt:variant>
        <vt:lpwstr>_Toc380053692</vt:lpwstr>
      </vt:variant>
      <vt:variant>
        <vt:i4>1376304</vt:i4>
      </vt:variant>
      <vt:variant>
        <vt:i4>236</vt:i4>
      </vt:variant>
      <vt:variant>
        <vt:i4>0</vt:i4>
      </vt:variant>
      <vt:variant>
        <vt:i4>5</vt:i4>
      </vt:variant>
      <vt:variant>
        <vt:lpwstr/>
      </vt:variant>
      <vt:variant>
        <vt:lpwstr>_Toc380053691</vt:lpwstr>
      </vt:variant>
      <vt:variant>
        <vt:i4>1376304</vt:i4>
      </vt:variant>
      <vt:variant>
        <vt:i4>230</vt:i4>
      </vt:variant>
      <vt:variant>
        <vt:i4>0</vt:i4>
      </vt:variant>
      <vt:variant>
        <vt:i4>5</vt:i4>
      </vt:variant>
      <vt:variant>
        <vt:lpwstr/>
      </vt:variant>
      <vt:variant>
        <vt:lpwstr>_Toc380053690</vt:lpwstr>
      </vt:variant>
      <vt:variant>
        <vt:i4>1310768</vt:i4>
      </vt:variant>
      <vt:variant>
        <vt:i4>224</vt:i4>
      </vt:variant>
      <vt:variant>
        <vt:i4>0</vt:i4>
      </vt:variant>
      <vt:variant>
        <vt:i4>5</vt:i4>
      </vt:variant>
      <vt:variant>
        <vt:lpwstr/>
      </vt:variant>
      <vt:variant>
        <vt:lpwstr>_Toc380053689</vt:lpwstr>
      </vt:variant>
      <vt:variant>
        <vt:i4>1310768</vt:i4>
      </vt:variant>
      <vt:variant>
        <vt:i4>218</vt:i4>
      </vt:variant>
      <vt:variant>
        <vt:i4>0</vt:i4>
      </vt:variant>
      <vt:variant>
        <vt:i4>5</vt:i4>
      </vt:variant>
      <vt:variant>
        <vt:lpwstr/>
      </vt:variant>
      <vt:variant>
        <vt:lpwstr>_Toc380053688</vt:lpwstr>
      </vt:variant>
      <vt:variant>
        <vt:i4>1310768</vt:i4>
      </vt:variant>
      <vt:variant>
        <vt:i4>212</vt:i4>
      </vt:variant>
      <vt:variant>
        <vt:i4>0</vt:i4>
      </vt:variant>
      <vt:variant>
        <vt:i4>5</vt:i4>
      </vt:variant>
      <vt:variant>
        <vt:lpwstr/>
      </vt:variant>
      <vt:variant>
        <vt:lpwstr>_Toc380053687</vt:lpwstr>
      </vt:variant>
      <vt:variant>
        <vt:i4>1310768</vt:i4>
      </vt:variant>
      <vt:variant>
        <vt:i4>206</vt:i4>
      </vt:variant>
      <vt:variant>
        <vt:i4>0</vt:i4>
      </vt:variant>
      <vt:variant>
        <vt:i4>5</vt:i4>
      </vt:variant>
      <vt:variant>
        <vt:lpwstr/>
      </vt:variant>
      <vt:variant>
        <vt:lpwstr>_Toc380053686</vt:lpwstr>
      </vt:variant>
      <vt:variant>
        <vt:i4>1310768</vt:i4>
      </vt:variant>
      <vt:variant>
        <vt:i4>200</vt:i4>
      </vt:variant>
      <vt:variant>
        <vt:i4>0</vt:i4>
      </vt:variant>
      <vt:variant>
        <vt:i4>5</vt:i4>
      </vt:variant>
      <vt:variant>
        <vt:lpwstr/>
      </vt:variant>
      <vt:variant>
        <vt:lpwstr>_Toc380053685</vt:lpwstr>
      </vt:variant>
      <vt:variant>
        <vt:i4>1310768</vt:i4>
      </vt:variant>
      <vt:variant>
        <vt:i4>194</vt:i4>
      </vt:variant>
      <vt:variant>
        <vt:i4>0</vt:i4>
      </vt:variant>
      <vt:variant>
        <vt:i4>5</vt:i4>
      </vt:variant>
      <vt:variant>
        <vt:lpwstr/>
      </vt:variant>
      <vt:variant>
        <vt:lpwstr>_Toc380053684</vt:lpwstr>
      </vt:variant>
      <vt:variant>
        <vt:i4>1310768</vt:i4>
      </vt:variant>
      <vt:variant>
        <vt:i4>188</vt:i4>
      </vt:variant>
      <vt:variant>
        <vt:i4>0</vt:i4>
      </vt:variant>
      <vt:variant>
        <vt:i4>5</vt:i4>
      </vt:variant>
      <vt:variant>
        <vt:lpwstr/>
      </vt:variant>
      <vt:variant>
        <vt:lpwstr>_Toc380053683</vt:lpwstr>
      </vt:variant>
      <vt:variant>
        <vt:i4>1310768</vt:i4>
      </vt:variant>
      <vt:variant>
        <vt:i4>182</vt:i4>
      </vt:variant>
      <vt:variant>
        <vt:i4>0</vt:i4>
      </vt:variant>
      <vt:variant>
        <vt:i4>5</vt:i4>
      </vt:variant>
      <vt:variant>
        <vt:lpwstr/>
      </vt:variant>
      <vt:variant>
        <vt:lpwstr>_Toc380053682</vt:lpwstr>
      </vt:variant>
      <vt:variant>
        <vt:i4>1310768</vt:i4>
      </vt:variant>
      <vt:variant>
        <vt:i4>176</vt:i4>
      </vt:variant>
      <vt:variant>
        <vt:i4>0</vt:i4>
      </vt:variant>
      <vt:variant>
        <vt:i4>5</vt:i4>
      </vt:variant>
      <vt:variant>
        <vt:lpwstr/>
      </vt:variant>
      <vt:variant>
        <vt:lpwstr>_Toc380053681</vt:lpwstr>
      </vt:variant>
      <vt:variant>
        <vt:i4>1310768</vt:i4>
      </vt:variant>
      <vt:variant>
        <vt:i4>170</vt:i4>
      </vt:variant>
      <vt:variant>
        <vt:i4>0</vt:i4>
      </vt:variant>
      <vt:variant>
        <vt:i4>5</vt:i4>
      </vt:variant>
      <vt:variant>
        <vt:lpwstr/>
      </vt:variant>
      <vt:variant>
        <vt:lpwstr>_Toc380053680</vt:lpwstr>
      </vt:variant>
      <vt:variant>
        <vt:i4>1769520</vt:i4>
      </vt:variant>
      <vt:variant>
        <vt:i4>164</vt:i4>
      </vt:variant>
      <vt:variant>
        <vt:i4>0</vt:i4>
      </vt:variant>
      <vt:variant>
        <vt:i4>5</vt:i4>
      </vt:variant>
      <vt:variant>
        <vt:lpwstr/>
      </vt:variant>
      <vt:variant>
        <vt:lpwstr>_Toc380053679</vt:lpwstr>
      </vt:variant>
      <vt:variant>
        <vt:i4>1769520</vt:i4>
      </vt:variant>
      <vt:variant>
        <vt:i4>158</vt:i4>
      </vt:variant>
      <vt:variant>
        <vt:i4>0</vt:i4>
      </vt:variant>
      <vt:variant>
        <vt:i4>5</vt:i4>
      </vt:variant>
      <vt:variant>
        <vt:lpwstr/>
      </vt:variant>
      <vt:variant>
        <vt:lpwstr>_Toc380053678</vt:lpwstr>
      </vt:variant>
      <vt:variant>
        <vt:i4>1769520</vt:i4>
      </vt:variant>
      <vt:variant>
        <vt:i4>152</vt:i4>
      </vt:variant>
      <vt:variant>
        <vt:i4>0</vt:i4>
      </vt:variant>
      <vt:variant>
        <vt:i4>5</vt:i4>
      </vt:variant>
      <vt:variant>
        <vt:lpwstr/>
      </vt:variant>
      <vt:variant>
        <vt:lpwstr>_Toc380053677</vt:lpwstr>
      </vt:variant>
      <vt:variant>
        <vt:i4>1769520</vt:i4>
      </vt:variant>
      <vt:variant>
        <vt:i4>146</vt:i4>
      </vt:variant>
      <vt:variant>
        <vt:i4>0</vt:i4>
      </vt:variant>
      <vt:variant>
        <vt:i4>5</vt:i4>
      </vt:variant>
      <vt:variant>
        <vt:lpwstr/>
      </vt:variant>
      <vt:variant>
        <vt:lpwstr>_Toc380053676</vt:lpwstr>
      </vt:variant>
      <vt:variant>
        <vt:i4>1769520</vt:i4>
      </vt:variant>
      <vt:variant>
        <vt:i4>140</vt:i4>
      </vt:variant>
      <vt:variant>
        <vt:i4>0</vt:i4>
      </vt:variant>
      <vt:variant>
        <vt:i4>5</vt:i4>
      </vt:variant>
      <vt:variant>
        <vt:lpwstr/>
      </vt:variant>
      <vt:variant>
        <vt:lpwstr>_Toc380053675</vt:lpwstr>
      </vt:variant>
      <vt:variant>
        <vt:i4>1769520</vt:i4>
      </vt:variant>
      <vt:variant>
        <vt:i4>134</vt:i4>
      </vt:variant>
      <vt:variant>
        <vt:i4>0</vt:i4>
      </vt:variant>
      <vt:variant>
        <vt:i4>5</vt:i4>
      </vt:variant>
      <vt:variant>
        <vt:lpwstr/>
      </vt:variant>
      <vt:variant>
        <vt:lpwstr>_Toc380053674</vt:lpwstr>
      </vt:variant>
      <vt:variant>
        <vt:i4>1769520</vt:i4>
      </vt:variant>
      <vt:variant>
        <vt:i4>128</vt:i4>
      </vt:variant>
      <vt:variant>
        <vt:i4>0</vt:i4>
      </vt:variant>
      <vt:variant>
        <vt:i4>5</vt:i4>
      </vt:variant>
      <vt:variant>
        <vt:lpwstr/>
      </vt:variant>
      <vt:variant>
        <vt:lpwstr>_Toc380053673</vt:lpwstr>
      </vt:variant>
      <vt:variant>
        <vt:i4>1769520</vt:i4>
      </vt:variant>
      <vt:variant>
        <vt:i4>122</vt:i4>
      </vt:variant>
      <vt:variant>
        <vt:i4>0</vt:i4>
      </vt:variant>
      <vt:variant>
        <vt:i4>5</vt:i4>
      </vt:variant>
      <vt:variant>
        <vt:lpwstr/>
      </vt:variant>
      <vt:variant>
        <vt:lpwstr>_Toc380053672</vt:lpwstr>
      </vt:variant>
      <vt:variant>
        <vt:i4>1769520</vt:i4>
      </vt:variant>
      <vt:variant>
        <vt:i4>116</vt:i4>
      </vt:variant>
      <vt:variant>
        <vt:i4>0</vt:i4>
      </vt:variant>
      <vt:variant>
        <vt:i4>5</vt:i4>
      </vt:variant>
      <vt:variant>
        <vt:lpwstr/>
      </vt:variant>
      <vt:variant>
        <vt:lpwstr>_Toc380053671</vt:lpwstr>
      </vt:variant>
      <vt:variant>
        <vt:i4>1769520</vt:i4>
      </vt:variant>
      <vt:variant>
        <vt:i4>110</vt:i4>
      </vt:variant>
      <vt:variant>
        <vt:i4>0</vt:i4>
      </vt:variant>
      <vt:variant>
        <vt:i4>5</vt:i4>
      </vt:variant>
      <vt:variant>
        <vt:lpwstr/>
      </vt:variant>
      <vt:variant>
        <vt:lpwstr>_Toc380053670</vt:lpwstr>
      </vt:variant>
      <vt:variant>
        <vt:i4>1703984</vt:i4>
      </vt:variant>
      <vt:variant>
        <vt:i4>104</vt:i4>
      </vt:variant>
      <vt:variant>
        <vt:i4>0</vt:i4>
      </vt:variant>
      <vt:variant>
        <vt:i4>5</vt:i4>
      </vt:variant>
      <vt:variant>
        <vt:lpwstr/>
      </vt:variant>
      <vt:variant>
        <vt:lpwstr>_Toc380053669</vt:lpwstr>
      </vt:variant>
      <vt:variant>
        <vt:i4>1703984</vt:i4>
      </vt:variant>
      <vt:variant>
        <vt:i4>98</vt:i4>
      </vt:variant>
      <vt:variant>
        <vt:i4>0</vt:i4>
      </vt:variant>
      <vt:variant>
        <vt:i4>5</vt:i4>
      </vt:variant>
      <vt:variant>
        <vt:lpwstr/>
      </vt:variant>
      <vt:variant>
        <vt:lpwstr>_Toc380053668</vt:lpwstr>
      </vt:variant>
      <vt:variant>
        <vt:i4>1703984</vt:i4>
      </vt:variant>
      <vt:variant>
        <vt:i4>92</vt:i4>
      </vt:variant>
      <vt:variant>
        <vt:i4>0</vt:i4>
      </vt:variant>
      <vt:variant>
        <vt:i4>5</vt:i4>
      </vt:variant>
      <vt:variant>
        <vt:lpwstr/>
      </vt:variant>
      <vt:variant>
        <vt:lpwstr>_Toc380053667</vt:lpwstr>
      </vt:variant>
      <vt:variant>
        <vt:i4>1703984</vt:i4>
      </vt:variant>
      <vt:variant>
        <vt:i4>86</vt:i4>
      </vt:variant>
      <vt:variant>
        <vt:i4>0</vt:i4>
      </vt:variant>
      <vt:variant>
        <vt:i4>5</vt:i4>
      </vt:variant>
      <vt:variant>
        <vt:lpwstr/>
      </vt:variant>
      <vt:variant>
        <vt:lpwstr>_Toc380053666</vt:lpwstr>
      </vt:variant>
      <vt:variant>
        <vt:i4>1703984</vt:i4>
      </vt:variant>
      <vt:variant>
        <vt:i4>80</vt:i4>
      </vt:variant>
      <vt:variant>
        <vt:i4>0</vt:i4>
      </vt:variant>
      <vt:variant>
        <vt:i4>5</vt:i4>
      </vt:variant>
      <vt:variant>
        <vt:lpwstr/>
      </vt:variant>
      <vt:variant>
        <vt:lpwstr>_Toc380053665</vt:lpwstr>
      </vt:variant>
      <vt:variant>
        <vt:i4>1703984</vt:i4>
      </vt:variant>
      <vt:variant>
        <vt:i4>74</vt:i4>
      </vt:variant>
      <vt:variant>
        <vt:i4>0</vt:i4>
      </vt:variant>
      <vt:variant>
        <vt:i4>5</vt:i4>
      </vt:variant>
      <vt:variant>
        <vt:lpwstr/>
      </vt:variant>
      <vt:variant>
        <vt:lpwstr>_Toc380053664</vt:lpwstr>
      </vt:variant>
      <vt:variant>
        <vt:i4>1703984</vt:i4>
      </vt:variant>
      <vt:variant>
        <vt:i4>68</vt:i4>
      </vt:variant>
      <vt:variant>
        <vt:i4>0</vt:i4>
      </vt:variant>
      <vt:variant>
        <vt:i4>5</vt:i4>
      </vt:variant>
      <vt:variant>
        <vt:lpwstr/>
      </vt:variant>
      <vt:variant>
        <vt:lpwstr>_Toc380053663</vt:lpwstr>
      </vt:variant>
      <vt:variant>
        <vt:i4>1703984</vt:i4>
      </vt:variant>
      <vt:variant>
        <vt:i4>62</vt:i4>
      </vt:variant>
      <vt:variant>
        <vt:i4>0</vt:i4>
      </vt:variant>
      <vt:variant>
        <vt:i4>5</vt:i4>
      </vt:variant>
      <vt:variant>
        <vt:lpwstr/>
      </vt:variant>
      <vt:variant>
        <vt:lpwstr>_Toc380053662</vt:lpwstr>
      </vt:variant>
      <vt:variant>
        <vt:i4>1703984</vt:i4>
      </vt:variant>
      <vt:variant>
        <vt:i4>56</vt:i4>
      </vt:variant>
      <vt:variant>
        <vt:i4>0</vt:i4>
      </vt:variant>
      <vt:variant>
        <vt:i4>5</vt:i4>
      </vt:variant>
      <vt:variant>
        <vt:lpwstr/>
      </vt:variant>
      <vt:variant>
        <vt:lpwstr>_Toc380053661</vt:lpwstr>
      </vt:variant>
      <vt:variant>
        <vt:i4>1703984</vt:i4>
      </vt:variant>
      <vt:variant>
        <vt:i4>50</vt:i4>
      </vt:variant>
      <vt:variant>
        <vt:i4>0</vt:i4>
      </vt:variant>
      <vt:variant>
        <vt:i4>5</vt:i4>
      </vt:variant>
      <vt:variant>
        <vt:lpwstr/>
      </vt:variant>
      <vt:variant>
        <vt:lpwstr>_Toc380053660</vt:lpwstr>
      </vt:variant>
      <vt:variant>
        <vt:i4>1638448</vt:i4>
      </vt:variant>
      <vt:variant>
        <vt:i4>44</vt:i4>
      </vt:variant>
      <vt:variant>
        <vt:i4>0</vt:i4>
      </vt:variant>
      <vt:variant>
        <vt:i4>5</vt:i4>
      </vt:variant>
      <vt:variant>
        <vt:lpwstr/>
      </vt:variant>
      <vt:variant>
        <vt:lpwstr>_Toc380053659</vt:lpwstr>
      </vt:variant>
      <vt:variant>
        <vt:i4>1638448</vt:i4>
      </vt:variant>
      <vt:variant>
        <vt:i4>38</vt:i4>
      </vt:variant>
      <vt:variant>
        <vt:i4>0</vt:i4>
      </vt:variant>
      <vt:variant>
        <vt:i4>5</vt:i4>
      </vt:variant>
      <vt:variant>
        <vt:lpwstr/>
      </vt:variant>
      <vt:variant>
        <vt:lpwstr>_Toc380053658</vt:lpwstr>
      </vt:variant>
      <vt:variant>
        <vt:i4>1638448</vt:i4>
      </vt:variant>
      <vt:variant>
        <vt:i4>32</vt:i4>
      </vt:variant>
      <vt:variant>
        <vt:i4>0</vt:i4>
      </vt:variant>
      <vt:variant>
        <vt:i4>5</vt:i4>
      </vt:variant>
      <vt:variant>
        <vt:lpwstr/>
      </vt:variant>
      <vt:variant>
        <vt:lpwstr>_Toc380053657</vt:lpwstr>
      </vt:variant>
      <vt:variant>
        <vt:i4>1638448</vt:i4>
      </vt:variant>
      <vt:variant>
        <vt:i4>26</vt:i4>
      </vt:variant>
      <vt:variant>
        <vt:i4>0</vt:i4>
      </vt:variant>
      <vt:variant>
        <vt:i4>5</vt:i4>
      </vt:variant>
      <vt:variant>
        <vt:lpwstr/>
      </vt:variant>
      <vt:variant>
        <vt:lpwstr>_Toc380053656</vt:lpwstr>
      </vt:variant>
      <vt:variant>
        <vt:i4>1638448</vt:i4>
      </vt:variant>
      <vt:variant>
        <vt:i4>20</vt:i4>
      </vt:variant>
      <vt:variant>
        <vt:i4>0</vt:i4>
      </vt:variant>
      <vt:variant>
        <vt:i4>5</vt:i4>
      </vt:variant>
      <vt:variant>
        <vt:lpwstr/>
      </vt:variant>
      <vt:variant>
        <vt:lpwstr>_Toc380053655</vt:lpwstr>
      </vt:variant>
      <vt:variant>
        <vt:i4>1638448</vt:i4>
      </vt:variant>
      <vt:variant>
        <vt:i4>14</vt:i4>
      </vt:variant>
      <vt:variant>
        <vt:i4>0</vt:i4>
      </vt:variant>
      <vt:variant>
        <vt:i4>5</vt:i4>
      </vt:variant>
      <vt:variant>
        <vt:lpwstr/>
      </vt:variant>
      <vt:variant>
        <vt:lpwstr>_Toc380053654</vt:lpwstr>
      </vt:variant>
      <vt:variant>
        <vt:i4>1638448</vt:i4>
      </vt:variant>
      <vt:variant>
        <vt:i4>8</vt:i4>
      </vt:variant>
      <vt:variant>
        <vt:i4>0</vt:i4>
      </vt:variant>
      <vt:variant>
        <vt:i4>5</vt:i4>
      </vt:variant>
      <vt:variant>
        <vt:lpwstr/>
      </vt:variant>
      <vt:variant>
        <vt:lpwstr>_Toc380053653</vt:lpwstr>
      </vt:variant>
      <vt:variant>
        <vt:i4>1638448</vt:i4>
      </vt:variant>
      <vt:variant>
        <vt:i4>2</vt:i4>
      </vt:variant>
      <vt:variant>
        <vt:i4>0</vt:i4>
      </vt:variant>
      <vt:variant>
        <vt:i4>5</vt:i4>
      </vt:variant>
      <vt:variant>
        <vt:lpwstr/>
      </vt:variant>
      <vt:variant>
        <vt:lpwstr>_Toc380053652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robertsonm</dc:creator>
  <cp:lastModifiedBy>potterj</cp:lastModifiedBy>
  <cp:revision>3</cp:revision>
  <cp:lastPrinted>2013-09-04T19:20:00Z</cp:lastPrinted>
  <dcterms:created xsi:type="dcterms:W3CDTF">2014-08-08T10:24:00Z</dcterms:created>
  <dcterms:modified xsi:type="dcterms:W3CDTF">2014-08-28T11:42:00Z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73984</vt:lpwstr>
  </property>
  <property fmtid="{D5CDD505-2E9C-101B-9397-08002B2CF9AE}" pid="24" name="ASSOCID">
    <vt:lpwstr>316146</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2467805</vt:lpwstr>
  </property>
  <property fmtid="{D5CDD505-2E9C-101B-9397-08002B2CF9AE}" pid="28" name="DOCIDEX">
    <vt:lpwstr> </vt:lpwstr>
  </property>
  <property fmtid="{D5CDD505-2E9C-101B-9397-08002B2CF9AE}" pid="29" name="VERSIONID">
    <vt:lpwstr>1c35d809-07c1-4a66-be6c-99970f0758fd</vt:lpwstr>
  </property>
  <property fmtid="{D5CDD505-2E9C-101B-9397-08002B2CF9AE}" pid="30" name="VERSIONLABEL">
    <vt:lpwstr>1</vt:lpwstr>
  </property>
</Properties>
</file>