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right="-144"/>
        <w:rPr>
          <w:rFonts w:ascii="Arial" w:cs="Arial" w:eastAsia="Arial" w:hAnsi="Arial"/>
          <w:b w:val="1"/>
          <w:bCs w:val="1"/>
          <w:u w:val="single"/>
        </w:rPr>
      </w:pPr>
      <w:r w:rsidDel="00000000" w:rsidR="00000000" w:rsidRPr="00000000">
        <w:rPr>
          <w:rFonts w:ascii="Arial" w:cs="Arial" w:eastAsia="Arial" w:hAnsi="Arial"/>
          <w:b w:val="1"/>
          <w:bCs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28</wp:posOffset>
            </wp:positionH>
            <wp:positionV relativeFrom="paragraph">
              <wp:posOffset>0</wp:posOffset>
            </wp:positionV>
            <wp:extent cx="876300" cy="7239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ind w:right="-144"/>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right="-144"/>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Attachment 2b </w:t>
      </w:r>
      <w:r w:rsidDel="00000000" w:rsidR="00000000" w:rsidRPr="00000000">
        <w:rPr>
          <w:rFonts w:ascii="Arial" w:cs="Arial" w:eastAsia="Arial" w:hAnsi="Arial"/>
          <w:b w:val="1"/>
          <w:bCs w:val="1"/>
          <w:color w:val="000000"/>
          <w:sz w:val="28"/>
          <w:szCs w:val="28"/>
          <w:rtl w:val="0"/>
        </w:rPr>
        <w:t xml:space="preserve">Lot 2a </w:t>
      </w:r>
      <w:r w:rsidDel="00000000" w:rsidR="00000000" w:rsidRPr="00000000">
        <w:rPr>
          <w:rFonts w:ascii="Arial" w:cs="Arial" w:eastAsia="Arial" w:hAnsi="Arial"/>
          <w:b w:val="1"/>
          <w:bCs w:val="1"/>
          <w:sz w:val="28"/>
          <w:szCs w:val="28"/>
          <w:rtl w:val="0"/>
        </w:rPr>
        <w:t xml:space="preserve">Technical ability certificate</w:t>
      </w:r>
    </w:p>
    <w:p w:rsidR="00000000" w:rsidDel="00000000" w:rsidP="00000000" w:rsidRDefault="00000000" w:rsidRPr="00000000" w14:paraId="00000005">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RM155.15 G-Cloud 15</w:t>
      </w:r>
    </w:p>
    <w:p w:rsidR="00000000" w:rsidDel="00000000" w:rsidP="00000000" w:rsidRDefault="00000000" w:rsidRPr="00000000" w14:paraId="00000006">
      <w:pPr>
        <w:spacing w:after="12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Instructions</w:t>
      </w:r>
    </w:p>
    <w:p w:rsidR="00000000" w:rsidDel="00000000" w:rsidP="00000000" w:rsidRDefault="00000000" w:rsidRPr="00000000" w14:paraId="00000007">
      <w:pPr>
        <w:spacing w:after="120" w:lineRule="auto"/>
        <w:ind w:right="-140"/>
        <w:rPr>
          <w:rFonts w:ascii="Arial" w:cs="Arial" w:eastAsia="Arial" w:hAnsi="Arial"/>
          <w:strike w:val="1"/>
          <w:sz w:val="27"/>
          <w:szCs w:val="27"/>
        </w:rPr>
      </w:pPr>
      <w:r w:rsidDel="00000000" w:rsidR="00000000" w:rsidRPr="00000000">
        <w:rPr>
          <w:rFonts w:ascii="Arial" w:cs="Arial" w:eastAsia="Arial" w:hAnsi="Arial"/>
          <w:strike w:val="1"/>
          <w:sz w:val="27"/>
          <w:szCs w:val="27"/>
          <w:rtl w:val="0"/>
        </w:rPr>
        <w:t xml:space="preserve">We require you to demonstrate that you have delivered the services within the scope of this requirement. For the assessment of your technical ability the relevant services are listed within section A of this technical ability certificate (TAC). You are required to complete</w:t>
      </w:r>
      <w:r w:rsidDel="00000000" w:rsidR="00000000" w:rsidRPr="00000000">
        <w:rPr>
          <w:rFonts w:ascii="Arial" w:cs="Arial" w:eastAsia="Arial" w:hAnsi="Arial"/>
          <w:strike w:val="1"/>
          <w:sz w:val="27"/>
          <w:szCs w:val="27"/>
          <w:highlight w:val="white"/>
          <w:rtl w:val="0"/>
        </w:rPr>
        <w:t xml:space="preserve"> one certificate for lot 2a within the Technical ability certificate section of the Digital Platform. </w:t>
      </w:r>
      <w:r w:rsidDel="00000000" w:rsidR="00000000" w:rsidRPr="00000000">
        <w:rPr>
          <w:rFonts w:ascii="Arial" w:cs="Arial" w:eastAsia="Arial" w:hAnsi="Arial"/>
          <w:strike w:val="1"/>
          <w:sz w:val="27"/>
          <w:szCs w:val="27"/>
          <w:rtl w:val="0"/>
        </w:rPr>
        <w:t xml:space="preserve"> </w:t>
      </w:r>
    </w:p>
    <w:p w:rsidR="00000000" w:rsidDel="00000000" w:rsidP="00000000" w:rsidRDefault="00000000" w:rsidRPr="00000000" w14:paraId="00000008">
      <w:pPr>
        <w:spacing w:after="0" w:line="276" w:lineRule="auto"/>
        <w:ind w:right="-140"/>
        <w:rPr>
          <w:rFonts w:ascii="Arial" w:cs="Arial" w:eastAsia="Arial" w:hAnsi="Arial"/>
          <w:strike w:val="1"/>
          <w:sz w:val="27"/>
          <w:szCs w:val="27"/>
          <w:highlight w:val="white"/>
        </w:rPr>
      </w:pPr>
      <w:r w:rsidDel="00000000" w:rsidR="00000000" w:rsidRPr="00000000">
        <w:rPr>
          <w:rFonts w:ascii="Arial" w:cs="Arial" w:eastAsia="Arial" w:hAnsi="Arial"/>
          <w:strike w:val="1"/>
          <w:sz w:val="27"/>
          <w:szCs w:val="27"/>
          <w:highlight w:val="white"/>
          <w:rtl w:val="0"/>
        </w:rPr>
        <w:t xml:space="preserve">The customer will be contacted to confirm the information you provided in the TAC is correct. Please ensure your customer is aware they will be contacted for their signature. You will be able to submit your application if the TAC is not signed. For this lot you will be required to have a signed TAC submitted before you are able to enter into a call off contract.</w:t>
      </w:r>
    </w:p>
    <w:p w:rsidR="00000000" w:rsidDel="00000000" w:rsidP="00000000" w:rsidRDefault="00000000" w:rsidRPr="00000000" w14:paraId="00000009">
      <w:pPr>
        <w:spacing w:after="240" w:before="240" w:lineRule="auto"/>
        <w:ind w:right="-140"/>
        <w:rPr>
          <w:rFonts w:ascii="Arial" w:cs="Arial" w:eastAsia="Arial" w:hAnsi="Arial"/>
          <w:strike w:val="1"/>
          <w:color w:val="512da8"/>
          <w:sz w:val="27"/>
          <w:szCs w:val="27"/>
        </w:rPr>
      </w:pPr>
      <w:r w:rsidDel="00000000" w:rsidR="00000000" w:rsidRPr="00000000">
        <w:rPr>
          <w:rFonts w:ascii="Arial" w:cs="Arial" w:eastAsia="Arial" w:hAnsi="Arial"/>
          <w:strike w:val="1"/>
          <w:sz w:val="27"/>
          <w:szCs w:val="27"/>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trike w:val="1"/>
          <w:sz w:val="27"/>
          <w:szCs w:val="27"/>
          <w:rtl w:val="0"/>
        </w:rPr>
        <w:t xml:space="preserve">You must notify the customer that they may be contacted by us. </w:t>
      </w:r>
      <w:r w:rsidDel="00000000" w:rsidR="00000000" w:rsidRPr="00000000">
        <w:rPr>
          <w:rtl w:val="0"/>
        </w:rPr>
      </w:r>
    </w:p>
    <w:p w:rsidR="00000000" w:rsidDel="00000000" w:rsidP="00000000" w:rsidRDefault="00000000" w:rsidRPr="00000000" w14:paraId="0000000A">
      <w:pPr>
        <w:spacing w:after="12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We require you to demonstrate that you have delivered the services within the scope of this requirement. For the assessment of your technical ability the relevant services are listed within the table at the end of this document.</w:t>
      </w:r>
    </w:p>
    <w:p w:rsidR="00000000" w:rsidDel="00000000" w:rsidP="00000000" w:rsidRDefault="00000000" w:rsidRPr="00000000" w14:paraId="0000000B">
      <w:pPr>
        <w:spacing w:after="120" w:lineRule="auto"/>
        <w:ind w:right="-144"/>
        <w:rPr>
          <w:rFonts w:ascii="Arial" w:cs="Arial" w:eastAsia="Arial" w:hAnsi="Arial"/>
          <w:color w:val="ff0000"/>
          <w:sz w:val="27"/>
          <w:szCs w:val="27"/>
        </w:rPr>
      </w:pPr>
      <w:r w:rsidDel="00000000" w:rsidR="00000000" w:rsidRPr="00000000">
        <w:rPr>
          <w:rFonts w:ascii="Arial" w:cs="Arial" w:eastAsia="Arial" w:hAnsi="Arial"/>
          <w:sz w:val="27"/>
          <w:szCs w:val="27"/>
          <w:rtl w:val="0"/>
        </w:rPr>
        <w:t xml:space="preserve">You are required to complete</w:t>
      </w:r>
      <w:r w:rsidDel="00000000" w:rsidR="00000000" w:rsidRPr="00000000">
        <w:rPr>
          <w:rFonts w:ascii="Arial" w:cs="Arial" w:eastAsia="Arial" w:hAnsi="Arial"/>
          <w:sz w:val="27"/>
          <w:szCs w:val="27"/>
          <w:highlight w:val="white"/>
          <w:rtl w:val="0"/>
        </w:rPr>
        <w:t xml:space="preserve"> one certificate for lot 2a within the Technical ability certificate section of the Digital Platform. </w:t>
      </w:r>
      <w:r w:rsidDel="00000000" w:rsidR="00000000" w:rsidRPr="00000000">
        <w:rPr>
          <w:rFonts w:ascii="Arial" w:cs="Arial" w:eastAsia="Arial" w:hAnsi="Arial"/>
          <w:color w:val="ff0000"/>
          <w:sz w:val="27"/>
          <w:szCs w:val="27"/>
          <w:rtl w:val="0"/>
        </w:rPr>
        <w:t xml:space="preserve"> </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color w:val="ff0000"/>
          <w:sz w:val="27"/>
          <w:szCs w:val="27"/>
          <w:rtl w:val="0"/>
        </w:rPr>
        <w:t xml:space="preserve"> </w:t>
      </w:r>
    </w:p>
    <w:p w:rsidR="00000000" w:rsidDel="00000000" w:rsidP="00000000" w:rsidRDefault="00000000" w:rsidRPr="00000000" w14:paraId="0000000C">
      <w:pPr>
        <w:spacing w:after="20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The customer will be required to confirm the information you provided in the TAC is correct. You must notify your customer that they will receive the signature request email from digital.marketplace.ccs@notifications.service.gov.uk and should check their spam folder if they do not receive it immediately.</w:t>
      </w:r>
    </w:p>
    <w:p w:rsidR="00000000" w:rsidDel="00000000" w:rsidP="00000000" w:rsidRDefault="00000000" w:rsidRPr="00000000" w14:paraId="0000000D">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You will be able to submit your application if the TAC is not signed by the customer.</w:t>
      </w:r>
    </w:p>
    <w:p w:rsidR="00000000" w:rsidDel="00000000" w:rsidP="00000000" w:rsidRDefault="00000000" w:rsidRPr="00000000" w14:paraId="0000000E">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However, you will be required to have a signed TAC before you are able to enter into a call off contract.</w:t>
      </w:r>
    </w:p>
    <w:p w:rsidR="00000000" w:rsidDel="00000000" w:rsidP="00000000" w:rsidRDefault="00000000" w:rsidRPr="00000000" w14:paraId="0000000F">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Until the TAC is signed by the customer, it will show as “Pending” in the Digital Platform.</w:t>
      </w:r>
    </w:p>
    <w:p w:rsidR="00000000" w:rsidDel="00000000" w:rsidP="00000000" w:rsidRDefault="00000000" w:rsidRPr="00000000" w14:paraId="00000010">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When signed by the customer, it will show as Complete. CCS will be able to see if a TAC is Pending or Complete.</w:t>
      </w:r>
    </w:p>
    <w:p w:rsidR="00000000" w:rsidDel="00000000" w:rsidP="00000000" w:rsidRDefault="00000000" w:rsidRPr="00000000" w14:paraId="00000011">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Please note that we reserve the right to further contact the customer listed in the certificate to confirm the information provided. </w:t>
      </w:r>
      <w:r w:rsidDel="00000000" w:rsidR="00000000" w:rsidRPr="00000000">
        <w:rPr>
          <w:rFonts w:ascii="Arial" w:cs="Arial" w:eastAsia="Arial" w:hAnsi="Arial"/>
          <w:sz w:val="27"/>
          <w:szCs w:val="27"/>
          <w:rtl w:val="0"/>
        </w:rPr>
        <w:t xml:space="preserve">You must inform the customer that they may be contacted by us. </w:t>
      </w:r>
    </w:p>
    <w:p w:rsidR="00000000" w:rsidDel="00000000" w:rsidP="00000000" w:rsidRDefault="00000000" w:rsidRPr="00000000" w14:paraId="00000012">
      <w:pPr>
        <w:spacing w:after="240" w:before="24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Mandatory requirements </w:t>
      </w:r>
    </w:p>
    <w:p w:rsidR="00000000" w:rsidDel="00000000" w:rsidP="00000000" w:rsidRDefault="00000000" w:rsidRPr="00000000" w14:paraId="00000013">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that you have delivered in the 3 years prior to the publication of the tender notice for this competition</w:t>
      </w:r>
      <w:r w:rsidDel="00000000" w:rsidR="00000000" w:rsidRPr="00000000">
        <w:rPr>
          <w:rtl w:val="0"/>
        </w:rPr>
      </w:r>
    </w:p>
    <w:p w:rsidR="00000000" w:rsidDel="00000000" w:rsidP="00000000" w:rsidRDefault="00000000" w:rsidRPr="00000000" w14:paraId="00000014">
      <w:pPr>
        <w:numPr>
          <w:ilvl w:val="0"/>
          <w:numId w:val="4"/>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For the avoidance of doubt, the TAC must evidence a contract that started on or aft</w:t>
      </w:r>
      <w:r w:rsidDel="00000000" w:rsidR="00000000" w:rsidRPr="00000000">
        <w:rPr>
          <w:rFonts w:ascii="Arial" w:cs="Arial" w:eastAsia="Arial" w:hAnsi="Arial"/>
          <w:sz w:val="27"/>
          <w:szCs w:val="27"/>
          <w:highlight w:val="white"/>
          <w:rtl w:val="0"/>
        </w:rPr>
        <w:t xml:space="preserve">er 23 October 2022.</w:t>
      </w:r>
      <w:r w:rsidDel="00000000" w:rsidR="00000000" w:rsidRPr="00000000">
        <w:rPr>
          <w:rtl w:val="0"/>
        </w:rPr>
      </w:r>
    </w:p>
    <w:p w:rsidR="00000000" w:rsidDel="00000000" w:rsidP="00000000" w:rsidRDefault="00000000" w:rsidRPr="00000000" w14:paraId="00000015">
      <w:pPr>
        <w:numPr>
          <w:ilvl w:val="0"/>
          <w:numId w:val="5"/>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The contract can be ongoing and we will accept the extensions, as long as the start date of the extension is on or after 23 October 2022.</w:t>
      </w:r>
    </w:p>
    <w:p w:rsidR="00000000" w:rsidDel="00000000" w:rsidP="00000000" w:rsidRDefault="00000000" w:rsidRPr="00000000" w14:paraId="00000016">
      <w:pPr>
        <w:numPr>
          <w:ilvl w:val="0"/>
          <w:numId w:val="1"/>
        </w:numPr>
        <w:spacing w:after="0" w:lineRule="auto"/>
        <w:ind w:left="720" w:right="-144" w:hanging="360"/>
        <w:rPr>
          <w:rFonts w:ascii="Arial" w:cs="Arial" w:eastAsia="Arial" w:hAnsi="Arial"/>
          <w:sz w:val="27"/>
          <w:szCs w:val="27"/>
          <w:highlight w:val="white"/>
        </w:rPr>
      </w:pPr>
      <w:bookmarkStart w:colFirst="0" w:colLast="0" w:name="_heading=h.fo6wq5b4fqcs" w:id="0"/>
      <w:bookmarkEnd w:id="0"/>
      <w:r w:rsidDel="00000000" w:rsidR="00000000" w:rsidRPr="00000000">
        <w:rPr>
          <w:rFonts w:ascii="Arial" w:cs="Arial" w:eastAsia="Arial" w:hAnsi="Arial"/>
          <w:sz w:val="27"/>
          <w:szCs w:val="27"/>
          <w:highlight w:val="white"/>
          <w:rtl w:val="0"/>
        </w:rPr>
        <w:t xml:space="preserve">if the contract is ongoing you must be delivering the services. You cannot use a contract where you have not yet started to deliver the services.</w:t>
      </w:r>
    </w:p>
    <w:p w:rsidR="00000000" w:rsidDel="00000000" w:rsidP="00000000" w:rsidRDefault="00000000" w:rsidRPr="00000000" w14:paraId="00000017">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with a minimum value of £25,000.00 (ex VAT). </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projects only need to have been completed within</w:t>
      </w:r>
      <w:r w:rsidDel="00000000" w:rsidR="00000000" w:rsidRPr="00000000">
        <w:rPr>
          <w:rFonts w:ascii="Arial" w:cs="Arial" w:eastAsia="Arial" w:hAnsi="Arial"/>
          <w:sz w:val="27"/>
          <w:szCs w:val="27"/>
          <w:highlight w:val="white"/>
          <w:rtl w:val="0"/>
        </w:rPr>
        <w:t xml:space="preserve"> the time limit stated above. It is acceptable for the project to have commenced between 23 October 2022 to 23 October 2025.</w:t>
      </w:r>
    </w:p>
    <w:p w:rsidR="00000000" w:rsidDel="00000000" w:rsidP="00000000" w:rsidRDefault="00000000" w:rsidRPr="00000000" w14:paraId="00000019">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contracts must have been successful in </w:t>
      </w:r>
      <w:r w:rsidDel="00000000" w:rsidR="00000000" w:rsidRPr="00000000">
        <w:rPr>
          <w:rFonts w:ascii="Arial" w:cs="Arial" w:eastAsia="Arial" w:hAnsi="Arial"/>
          <w:b w:val="1"/>
          <w:bCs w:val="1"/>
          <w:sz w:val="27"/>
          <w:szCs w:val="27"/>
          <w:highlight w:val="white"/>
          <w:rtl w:val="0"/>
        </w:rPr>
        <w:t xml:space="preserve">i</w:t>
      </w:r>
      <w:r w:rsidDel="00000000" w:rsidR="00000000" w:rsidRPr="00000000">
        <w:rPr>
          <w:rFonts w:ascii="Arial" w:cs="Arial" w:eastAsia="Arial" w:hAnsi="Arial"/>
          <w:sz w:val="27"/>
          <w:szCs w:val="27"/>
          <w:highlight w:val="white"/>
          <w:rtl w:val="0"/>
        </w:rPr>
        <w:t xml:space="preserve">mplementation and mobilisation and have become operational.</w:t>
      </w:r>
    </w:p>
    <w:p w:rsidR="00000000" w:rsidDel="00000000" w:rsidP="00000000" w:rsidRDefault="00000000" w:rsidRPr="00000000" w14:paraId="0000001A">
      <w:pPr>
        <w:numPr>
          <w:ilvl w:val="0"/>
          <w:numId w:val="1"/>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contracts must demonstrate at least one of the services listed in section A. </w:t>
      </w:r>
    </w:p>
    <w:p w:rsidR="00000000" w:rsidDel="00000000" w:rsidP="00000000" w:rsidRDefault="00000000" w:rsidRPr="00000000" w14:paraId="0000001B">
      <w:pPr>
        <w:numPr>
          <w:ilvl w:val="0"/>
          <w:numId w:val="1"/>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contract can be from the public, private, or Third Sector (e.g. charity).</w:t>
      </w:r>
    </w:p>
    <w:p w:rsidR="00000000" w:rsidDel="00000000" w:rsidP="00000000" w:rsidRDefault="00000000" w:rsidRPr="00000000" w14:paraId="0000001C">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1E">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F">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customer contacts provided must not have been employed or appointed by your organisation, or from within your associated group of companies, within the past 3 years prior to the publication of the tender notice.</w:t>
      </w:r>
    </w:p>
    <w:p w:rsidR="00000000" w:rsidDel="00000000" w:rsidP="00000000" w:rsidRDefault="00000000" w:rsidRPr="00000000" w14:paraId="00000020">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a TAC must be signed by an existing employee of the company for whom the work was undertaken.</w:t>
      </w:r>
    </w:p>
    <w:p w:rsidR="00000000" w:rsidDel="00000000" w:rsidP="00000000" w:rsidRDefault="00000000" w:rsidRPr="00000000" w14:paraId="00000021">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if you are bidding on multiple lots, it is permissible to re-use the </w:t>
      </w:r>
      <w:r w:rsidDel="00000000" w:rsidR="00000000" w:rsidRPr="00000000">
        <w:rPr>
          <w:rFonts w:ascii="Arial" w:cs="Arial" w:eastAsia="Arial" w:hAnsi="Arial"/>
          <w:sz w:val="27"/>
          <w:szCs w:val="27"/>
          <w:highlight w:val="white"/>
          <w:rtl w:val="0"/>
        </w:rPr>
        <w:t xml:space="preserve">same customer contract example on TACs for each lot, provided that it covers each lot’s requirements. However, a separate TAC must be completed for each lot for which you are bidding, using the relevant TAC, which must be signed-off separately by the customer.</w:t>
      </w:r>
    </w:p>
    <w:p w:rsidR="00000000" w:rsidDel="00000000" w:rsidP="00000000" w:rsidRDefault="00000000" w:rsidRPr="00000000" w14:paraId="00000022">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You will not be able to amend your TAC after the </w:t>
      </w:r>
      <w:r w:rsidDel="00000000" w:rsidR="00000000" w:rsidRPr="00000000">
        <w:rPr>
          <w:rFonts w:ascii="Arial" w:cs="Arial" w:eastAsia="Arial" w:hAnsi="Arial"/>
          <w:sz w:val="27"/>
          <w:szCs w:val="27"/>
          <w:rtl w:val="0"/>
        </w:rPr>
        <w:t xml:space="preserve">tender submission deadline.</w:t>
      </w:r>
      <w:r w:rsidDel="00000000" w:rsidR="00000000" w:rsidRPr="00000000">
        <w:rPr>
          <w:rtl w:val="0"/>
        </w:rPr>
      </w:r>
    </w:p>
    <w:p w:rsidR="00000000" w:rsidDel="00000000" w:rsidP="00000000" w:rsidRDefault="00000000" w:rsidRPr="00000000" w14:paraId="00000023">
      <w:pPr>
        <w:spacing w:after="240" w:before="240" w:lineRule="auto"/>
        <w:ind w:right="-144"/>
        <w:rPr>
          <w:rFonts w:ascii="Arial" w:cs="Arial" w:eastAsia="Arial" w:hAnsi="Arial"/>
          <w:b w:val="1"/>
          <w:bCs w:val="1"/>
          <w:sz w:val="27"/>
          <w:szCs w:val="27"/>
          <w:highlight w:val="white"/>
        </w:rPr>
      </w:pPr>
      <w:r w:rsidDel="00000000" w:rsidR="00000000" w:rsidRPr="00000000">
        <w:rPr>
          <w:rtl w:val="0"/>
        </w:rPr>
      </w:r>
    </w:p>
    <w:p w:rsidR="00000000" w:rsidDel="00000000" w:rsidP="00000000" w:rsidRDefault="00000000" w:rsidRPr="00000000" w14:paraId="00000024">
      <w:pPr>
        <w:spacing w:after="240" w:before="240" w:lineRule="auto"/>
        <w:ind w:right="-144"/>
        <w:rPr>
          <w:rFonts w:ascii="Arial" w:cs="Arial" w:eastAsia="Arial" w:hAnsi="Arial"/>
          <w:b w:val="1"/>
          <w:bCs w:val="1"/>
          <w:sz w:val="27"/>
          <w:szCs w:val="27"/>
          <w:highlight w:val="white"/>
        </w:rPr>
      </w:pPr>
      <w:r w:rsidDel="00000000" w:rsidR="00000000" w:rsidRPr="00000000">
        <w:rPr>
          <w:rtl w:val="0"/>
        </w:rPr>
      </w:r>
    </w:p>
    <w:p w:rsidR="00000000" w:rsidDel="00000000" w:rsidP="00000000" w:rsidRDefault="00000000" w:rsidRPr="00000000" w14:paraId="00000025">
      <w:pPr>
        <w:spacing w:after="240" w:before="240" w:lineRule="auto"/>
        <w:ind w:right="-144"/>
        <w:rPr>
          <w:rFonts w:ascii="Arial" w:cs="Arial" w:eastAsia="Arial" w:hAnsi="Arial"/>
          <w:b w:val="1"/>
          <w:bCs w:val="1"/>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240" w:before="240" w:lineRule="auto"/>
        <w:ind w:right="-144"/>
        <w:rPr>
          <w:rFonts w:ascii="Arial" w:cs="Arial" w:eastAsia="Arial" w:hAnsi="Arial"/>
          <w:b w:val="1"/>
          <w:bCs w:val="1"/>
          <w:sz w:val="27"/>
          <w:szCs w:val="27"/>
          <w:highlight w:val="white"/>
        </w:rPr>
      </w:pPr>
      <w:r w:rsidDel="00000000" w:rsidR="00000000" w:rsidRPr="00000000">
        <w:rPr>
          <w:rFonts w:ascii="Arial" w:cs="Arial" w:eastAsia="Arial" w:hAnsi="Arial"/>
          <w:b w:val="1"/>
          <w:bCs w:val="1"/>
          <w:sz w:val="27"/>
          <w:szCs w:val="27"/>
          <w:highlight w:val="white"/>
          <w:rtl w:val="0"/>
        </w:rPr>
        <w:t xml:space="preserve">Assessment methodology: Technical ability will be marked pass/fail</w:t>
      </w:r>
    </w:p>
    <w:p w:rsidR="00000000" w:rsidDel="00000000" w:rsidP="00000000" w:rsidRDefault="00000000" w:rsidRPr="00000000" w14:paraId="00000027">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Pass: satisfies the condition of participation</w:t>
      </w:r>
    </w:p>
    <w:p w:rsidR="00000000" w:rsidDel="00000000" w:rsidP="00000000" w:rsidRDefault="00000000" w:rsidRPr="00000000" w14:paraId="00000028">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Fail: does not satisfy the condition of participation</w:t>
      </w:r>
    </w:p>
    <w:p w:rsidR="00000000" w:rsidDel="00000000" w:rsidP="00000000" w:rsidRDefault="00000000" w:rsidRPr="00000000" w14:paraId="00000029">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Your tender will not satisfy the condition of participation if:  </w:t>
      </w:r>
      <w:r w:rsidDel="00000000" w:rsidR="00000000" w:rsidRPr="00000000">
        <w:rPr>
          <w:rFonts w:ascii="Arial" w:cs="Arial" w:eastAsia="Arial" w:hAnsi="Arial"/>
          <w:b w:val="1"/>
          <w:bCs w:val="1"/>
          <w:sz w:val="27"/>
          <w:szCs w:val="27"/>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a TAC does not meet all the mandatory requirements set out above.</w:t>
      </w:r>
    </w:p>
    <w:p w:rsidR="00000000" w:rsidDel="00000000" w:rsidP="00000000" w:rsidRDefault="00000000" w:rsidRPr="00000000" w14:paraId="0000002B">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do not tick the relevant boxes to confirm that you have provided the services as detailed within section A. </w:t>
      </w:r>
    </w:p>
    <w:p w:rsidR="00000000" w:rsidDel="00000000" w:rsidP="00000000" w:rsidRDefault="00000000" w:rsidRPr="00000000" w14:paraId="0000002C">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have not completed all of the information requested in the technical ability certificate.</w:t>
      </w:r>
    </w:p>
    <w:p w:rsidR="00000000" w:rsidDel="00000000" w:rsidP="00000000" w:rsidRDefault="00000000" w:rsidRPr="00000000" w14:paraId="0000002D">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your customer has not confirmed that the information you have provided in the TAC is correct.</w:t>
      </w:r>
    </w:p>
    <w:p w:rsidR="00000000" w:rsidDel="00000000" w:rsidP="00000000" w:rsidRDefault="00000000" w:rsidRPr="00000000" w14:paraId="0000002E">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2F">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complete a TAC for a lot you are tendering for.</w:t>
      </w:r>
    </w:p>
    <w:p w:rsidR="00000000" w:rsidDel="00000000" w:rsidP="00000000" w:rsidRDefault="00000000" w:rsidRPr="00000000" w14:paraId="00000030">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demonstrate at least one of the Services listed in your TAC.</w:t>
      </w:r>
    </w:p>
    <w:p w:rsidR="00000000" w:rsidDel="00000000" w:rsidP="00000000" w:rsidRDefault="00000000" w:rsidRPr="00000000" w14:paraId="00000031">
      <w:pPr>
        <w:widowControl w:val="0"/>
        <w:numPr>
          <w:ilvl w:val="0"/>
          <w:numId w:val="3"/>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your TAC does not evidence a contract with a minimum value of £25,000.00 (ex VAT). </w:t>
      </w:r>
    </w:p>
    <w:p w:rsidR="00000000" w:rsidDel="00000000" w:rsidP="00000000" w:rsidRDefault="00000000" w:rsidRPr="00000000" w14:paraId="00000032">
      <w:pPr>
        <w:spacing w:after="240" w:lineRule="auto"/>
        <w:ind w:right="-144"/>
        <w:rPr>
          <w:rFonts w:ascii="Arial" w:cs="Arial" w:eastAsia="Arial" w:hAnsi="Arial"/>
          <w:sz w:val="27"/>
          <w:szCs w:val="27"/>
        </w:rPr>
      </w:pPr>
      <w:r w:rsidDel="00000000" w:rsidR="00000000" w:rsidRPr="00000000">
        <w:rPr>
          <w:rtl w:val="0"/>
        </w:rPr>
      </w:r>
    </w:p>
    <w:p w:rsidR="00000000" w:rsidDel="00000000" w:rsidP="00000000" w:rsidRDefault="00000000" w:rsidRPr="00000000" w14:paraId="00000033">
      <w:pPr>
        <w:spacing w:after="240" w:before="240" w:lineRule="auto"/>
        <w:ind w:right="-144"/>
        <w:rPr>
          <w:rFonts w:ascii="Arial" w:cs="Arial" w:eastAsia="Arial" w:hAnsi="Arial"/>
          <w:sz w:val="27"/>
          <w:szCs w:val="27"/>
        </w:rPr>
      </w:pPr>
      <w:bookmarkStart w:colFirst="0" w:colLast="0" w:name="_heading=h.xhpubsbxqqsh" w:id="1"/>
      <w:bookmarkEnd w:id="1"/>
      <w:r w:rsidDel="00000000" w:rsidR="00000000" w:rsidRPr="00000000">
        <w:rPr>
          <w:rFonts w:ascii="Arial" w:cs="Arial" w:eastAsia="Arial" w:hAnsi="Arial"/>
          <w:sz w:val="27"/>
          <w:szCs w:val="27"/>
          <w:rtl w:val="0"/>
        </w:rPr>
        <w:t xml:space="preserve">If your tender fails to satisfy the condition of participation, your tender will be disregarded and will not progress in the competition. We will tell you your tender has been disregarded and why. </w:t>
      </w:r>
    </w:p>
    <w:p w:rsidR="00000000" w:rsidDel="00000000" w:rsidP="00000000" w:rsidRDefault="00000000" w:rsidRPr="00000000" w14:paraId="00000034">
      <w:pPr>
        <w:spacing w:after="240" w:before="240" w:lineRule="auto"/>
        <w:ind w:right="-144"/>
        <w:rPr>
          <w:rFonts w:ascii="Arial" w:cs="Arial" w:eastAsia="Arial" w:hAnsi="Arial"/>
          <w:sz w:val="27"/>
          <w:szCs w:val="27"/>
        </w:rPr>
      </w:pPr>
      <w:bookmarkStart w:colFirst="0" w:colLast="0" w:name="_heading=h.dhos0iauxjsu" w:id="2"/>
      <w:bookmarkEnd w:id="2"/>
      <w:r w:rsidDel="00000000" w:rsidR="00000000" w:rsidRPr="00000000">
        <w:rPr>
          <w:rFonts w:ascii="Arial" w:cs="Arial" w:eastAsia="Arial" w:hAnsi="Arial"/>
          <w:sz w:val="27"/>
          <w:szCs w:val="27"/>
          <w:rtl w:val="0"/>
        </w:rPr>
        <w:t xml:space="preserve">Below is how the TAC will look in the Digital Platform.</w:t>
      </w:r>
      <w:r w:rsidDel="00000000" w:rsidR="00000000" w:rsidRPr="00000000">
        <w:br w:type="page"/>
      </w:r>
      <w:r w:rsidDel="00000000" w:rsidR="00000000" w:rsidRPr="00000000">
        <w:rPr>
          <w:rtl w:val="0"/>
        </w:rPr>
      </w:r>
    </w:p>
    <w:p w:rsidR="00000000" w:rsidDel="00000000" w:rsidP="00000000" w:rsidRDefault="00000000" w:rsidRPr="00000000" w14:paraId="00000035">
      <w:pPr>
        <w:spacing w:after="240" w:before="240" w:lineRule="auto"/>
        <w:ind w:right="-144"/>
        <w:rPr>
          <w:rFonts w:ascii="Arial" w:cs="Arial" w:eastAsia="Arial" w:hAnsi="Arial"/>
          <w:sz w:val="27"/>
          <w:szCs w:val="27"/>
        </w:rPr>
      </w:pPr>
      <w:bookmarkStart w:colFirst="0" w:colLast="0" w:name="_heading=h.us5emw7woxi5" w:id="3"/>
      <w:bookmarkEnd w:id="3"/>
      <w:r w:rsidDel="00000000" w:rsidR="00000000" w:rsidRPr="00000000">
        <w:rPr>
          <w:rtl w:val="0"/>
        </w:rPr>
      </w:r>
    </w:p>
    <w:tbl>
      <w:tblPr>
        <w:tblStyle w:val="Table1"/>
        <w:tblpPr w:leftFromText="180" w:rightFromText="180" w:topFromText="180" w:bottomFromText="180" w:vertAnchor="text" w:horzAnchor="text" w:tblpX="-480" w:tblpY="0"/>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4950"/>
        <w:tblGridChange w:id="0">
          <w:tblGrid>
            <w:gridCol w:w="5310"/>
            <w:gridCol w:w="4950"/>
          </w:tblGrid>
        </w:tblGridChange>
      </w:tblGrid>
      <w:tr>
        <w:trPr>
          <w:cantSplit w:val="0"/>
          <w:trHeight w:val="690" w:hRule="atLeast"/>
          <w:tblHeader w:val="0"/>
        </w:trPr>
        <w:tc>
          <w:tcPr>
            <w:gridSpan w:val="2"/>
            <w:shd w:fill="a4c2f4" w:val="clear"/>
            <w:vAlign w:val="center"/>
          </w:tcPr>
          <w:p w:rsidR="00000000" w:rsidDel="00000000" w:rsidP="00000000" w:rsidRDefault="00000000" w:rsidRPr="00000000" w14:paraId="00000036">
            <w:pPr>
              <w:spacing w:after="80" w:before="80" w:lineRule="auto"/>
              <w:ind w:right="-144"/>
              <w:rPr>
                <w:rFonts w:ascii="Arial" w:cs="Arial" w:eastAsia="Arial" w:hAnsi="Arial"/>
                <w:b w:val="1"/>
                <w:bCs w:val="1"/>
                <w:color w:val="0b0c0c"/>
                <w:sz w:val="26"/>
                <w:szCs w:val="26"/>
              </w:rPr>
            </w:pPr>
            <w:r w:rsidDel="00000000" w:rsidR="00000000" w:rsidRPr="00000000">
              <w:rPr>
                <w:rFonts w:ascii="Arial" w:cs="Arial" w:eastAsia="Arial" w:hAnsi="Arial"/>
                <w:b w:val="1"/>
                <w:bCs w:val="1"/>
                <w:sz w:val="26"/>
                <w:szCs w:val="26"/>
                <w:rtl w:val="0"/>
              </w:rPr>
              <w:t xml:space="preserve">To be completed by the bidder: </w:t>
            </w:r>
            <w:r w:rsidDel="00000000" w:rsidR="00000000" w:rsidRPr="00000000">
              <w:rPr>
                <w:rFonts w:ascii="Arial" w:cs="Arial" w:eastAsia="Arial" w:hAnsi="Arial"/>
                <w:b w:val="1"/>
                <w:bCs w:val="1"/>
                <w:color w:val="0b0c0c"/>
                <w:sz w:val="26"/>
                <w:szCs w:val="26"/>
                <w:rtl w:val="0"/>
              </w:rPr>
              <w:t xml:space="preserve">Details of the contract</w:t>
            </w:r>
          </w:p>
        </w:tc>
      </w:tr>
      <w:tr>
        <w:trPr>
          <w:cantSplit w:val="0"/>
          <w:trHeight w:val="592" w:hRule="atLeast"/>
          <w:tblHeader w:val="0"/>
        </w:trPr>
        <w:tc>
          <w:tcPr>
            <w:vAlign w:val="center"/>
          </w:tcPr>
          <w:p w:rsidR="00000000" w:rsidDel="00000000" w:rsidP="00000000" w:rsidRDefault="00000000" w:rsidRPr="00000000" w14:paraId="00000038">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name</w:t>
            </w:r>
          </w:p>
        </w:tc>
        <w:tc>
          <w:tcPr>
            <w:vAlign w:val="center"/>
          </w:tcPr>
          <w:p w:rsidR="00000000" w:rsidDel="00000000" w:rsidP="00000000" w:rsidRDefault="00000000" w:rsidRPr="00000000" w14:paraId="00000039">
            <w:pPr>
              <w:spacing w:after="80" w:before="80" w:lineRule="auto"/>
              <w:ind w:right="-485"/>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DUNS number</w:t>
            </w:r>
          </w:p>
        </w:tc>
        <w:tc>
          <w:tcPr>
            <w:shd w:fill="ffffff" w:val="clear"/>
            <w:vAlign w:val="center"/>
          </w:tcPr>
          <w:p w:rsidR="00000000" w:rsidDel="00000000" w:rsidP="00000000" w:rsidRDefault="00000000" w:rsidRPr="00000000" w14:paraId="0000003B">
            <w:pPr>
              <w:widowControl w:val="0"/>
              <w:spacing w:line="276" w:lineRule="auto"/>
              <w:rPr>
                <w:rFonts w:ascii="Arial" w:cs="Arial" w:eastAsia="Arial" w:hAnsi="Arial"/>
                <w:b w:val="1"/>
                <w:bCs w:val="1"/>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color w:val="0b0c0c"/>
                <w:sz w:val="24"/>
                <w:szCs w:val="24"/>
                <w:highlight w:val="white"/>
                <w:rtl w:val="0"/>
              </w:rPr>
              <w:t xml:space="preserve">Contract title</w:t>
            </w:r>
            <w:r w:rsidDel="00000000" w:rsidR="00000000" w:rsidRPr="00000000">
              <w:rPr>
                <w:rtl w:val="0"/>
              </w:rPr>
            </w:r>
          </w:p>
        </w:tc>
        <w:tc>
          <w:tcPr>
            <w:shd w:fill="ffffff" w:val="clear"/>
            <w:vAlign w:val="center"/>
          </w:tcPr>
          <w:p w:rsidR="00000000" w:rsidDel="00000000" w:rsidP="00000000" w:rsidRDefault="00000000" w:rsidRPr="00000000" w14:paraId="0000003D">
            <w:pPr>
              <w:spacing w:after="80" w:before="80" w:lineRule="auto"/>
              <w:ind w:right="-144"/>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Name of supplier:</w:t>
            </w:r>
          </w:p>
          <w:p w:rsidR="00000000" w:rsidDel="00000000" w:rsidP="00000000" w:rsidRDefault="00000000" w:rsidRPr="00000000" w14:paraId="0000003F">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bidder was not the prime contractor, the bidder should state here whether they were a key subcontractor or part of a consortium.  The Name of Supplier would be the prime contractor or consortium name.  </w:t>
            </w:r>
          </w:p>
          <w:p w:rsidR="00000000" w:rsidDel="00000000" w:rsidP="00000000" w:rsidRDefault="00000000" w:rsidRPr="00000000" w14:paraId="00000040">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1">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supplier who carried out the work was a key subcontractor to the bidder, this should be stated here.  In this instance, the bidder is required to provide the details of that key subcontractor in their Declaration as the supplier is an associated person being relied upon to meet the conditions of participation for the framework. </w:t>
            </w:r>
          </w:p>
          <w:p w:rsidR="00000000" w:rsidDel="00000000" w:rsidP="00000000" w:rsidRDefault="00000000" w:rsidRPr="00000000" w14:paraId="00000042">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3">
            <w:pPr>
              <w:spacing w:after="80" w:before="80" w:lineRule="auto"/>
              <w:ind w:right="-144"/>
              <w:rPr>
                <w:rFonts w:ascii="Arial" w:cs="Arial" w:eastAsia="Arial" w:hAnsi="Arial"/>
                <w:sz w:val="26"/>
                <w:szCs w:val="26"/>
                <w:highlight w:val="yellow"/>
              </w:rPr>
            </w:pPr>
            <w:r w:rsidDel="00000000" w:rsidR="00000000" w:rsidRPr="00000000">
              <w:rPr>
                <w:rFonts w:ascii="Arial" w:cs="Arial" w:eastAsia="Arial" w:hAnsi="Arial"/>
                <w:color w:val="ff0000"/>
                <w:sz w:val="26"/>
                <w:szCs w:val="26"/>
                <w:rtl w:val="0"/>
              </w:rPr>
              <w:t xml:space="preserve">If the supplier who carried out the work is a member of a consortium you have formed to tender for G-Cloud 15, this should be stated here.  In this instance, the bidder is required to provide the consortium member’s details in Attachment 4b.</w:t>
            </w:r>
            <w:r w:rsidDel="00000000" w:rsidR="00000000" w:rsidRPr="00000000">
              <w:rPr>
                <w:rtl w:val="0"/>
              </w:rPr>
            </w:r>
          </w:p>
        </w:tc>
        <w:tc>
          <w:tcPr>
            <w:shd w:fill="ffffff" w:val="clear"/>
            <w:vAlign w:val="center"/>
          </w:tcPr>
          <w:p w:rsidR="00000000" w:rsidDel="00000000" w:rsidP="00000000" w:rsidRDefault="00000000" w:rsidRPr="00000000" w14:paraId="00000044">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Is the name of the supplier which carried</w:t>
            </w:r>
          </w:p>
          <w:p w:rsidR="00000000" w:rsidDel="00000000" w:rsidP="00000000" w:rsidRDefault="00000000" w:rsidRPr="00000000" w14:paraId="00000045">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out the contract work the same as the </w:t>
            </w:r>
          </w:p>
          <w:p w:rsidR="00000000" w:rsidDel="00000000" w:rsidP="00000000" w:rsidRDefault="00000000" w:rsidRPr="00000000" w14:paraId="00000046">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name of the bidding organisation?</w:t>
            </w:r>
          </w:p>
          <w:p w:rsidR="00000000" w:rsidDel="00000000" w:rsidP="00000000" w:rsidRDefault="00000000" w:rsidRPr="00000000" w14:paraId="00000047">
            <w:pPr>
              <w:spacing w:after="80" w:before="80" w:lineRule="auto"/>
              <w:ind w:right="-1052"/>
              <w:rPr>
                <w:rFonts w:ascii="Arial" w:cs="Arial" w:eastAsia="Arial" w:hAnsi="Arial"/>
                <w:color w:val="ff0000"/>
                <w:sz w:val="26"/>
                <w:szCs w:val="26"/>
                <w:highlight w:val="white"/>
              </w:rPr>
            </w:pPr>
            <w:r w:rsidDel="00000000" w:rsidR="00000000" w:rsidRPr="00000000">
              <w:rPr>
                <w:rFonts w:ascii="Arial" w:cs="Arial" w:eastAsia="Arial" w:hAnsi="Arial"/>
                <w:color w:val="ff0000"/>
                <w:sz w:val="26"/>
                <w:szCs w:val="26"/>
                <w:highlight w:val="white"/>
                <w:rtl w:val="0"/>
              </w:rPr>
              <w:t xml:space="preserve">Yes/No</w:t>
            </w:r>
          </w:p>
          <w:p w:rsidR="00000000" w:rsidDel="00000000" w:rsidP="00000000" w:rsidRDefault="00000000" w:rsidRPr="00000000" w14:paraId="00000048">
            <w:pPr>
              <w:spacing w:after="80" w:before="80" w:lineRule="auto"/>
              <w:ind w:right="-1052"/>
              <w:rPr>
                <w:rFonts w:ascii="Arial" w:cs="Arial" w:eastAsia="Arial" w:hAnsi="Arial"/>
                <w:color w:val="ff0000"/>
                <w:sz w:val="26"/>
                <w:szCs w:val="26"/>
                <w:highlight w:val="white"/>
              </w:rPr>
            </w:pPr>
            <w:r w:rsidDel="00000000" w:rsidR="00000000" w:rsidRPr="00000000">
              <w:rPr>
                <w:rtl w:val="0"/>
              </w:rPr>
            </w:r>
          </w:p>
          <w:p w:rsidR="00000000" w:rsidDel="00000000" w:rsidP="00000000" w:rsidRDefault="00000000" w:rsidRPr="00000000" w14:paraId="00000049">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color w:val="ff0000"/>
                <w:sz w:val="26"/>
                <w:szCs w:val="26"/>
                <w:highlight w:val="white"/>
                <w:rtl w:val="0"/>
              </w:rPr>
              <w:t xml:space="preserve">Explanation for name difference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A">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start date:</w:t>
            </w:r>
          </w:p>
        </w:tc>
        <w:tc>
          <w:tcPr>
            <w:shd w:fill="ffffff" w:val="clear"/>
            <w:vAlign w:val="center"/>
          </w:tcPr>
          <w:p w:rsidR="00000000" w:rsidDel="00000000" w:rsidP="00000000" w:rsidRDefault="00000000" w:rsidRPr="00000000" w14:paraId="0000004B">
            <w:pPr>
              <w:spacing w:after="80" w:before="80" w:lineRule="auto"/>
              <w:ind w:right="-144"/>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C">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value</w:t>
            </w:r>
          </w:p>
        </w:tc>
        <w:tc>
          <w:tcPr>
            <w:shd w:fill="ffffff" w:val="clear"/>
            <w:vAlign w:val="center"/>
          </w:tcPr>
          <w:p w:rsidR="00000000" w:rsidDel="00000000" w:rsidP="00000000" w:rsidRDefault="00000000" w:rsidRPr="00000000" w14:paraId="0000004D">
            <w:pPr>
              <w:spacing w:after="80" w:before="80" w:lineRule="auto"/>
              <w:ind w:right="-144"/>
              <w:rPr>
                <w:rFonts w:ascii="Arial" w:cs="Arial" w:eastAsia="Arial" w:hAnsi="Arial"/>
              </w:rPr>
            </w:pP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E">
            <w:pPr>
              <w:spacing w:after="80" w:before="80" w:lineRule="auto"/>
              <w:ind w:right="-144"/>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TAC Information</w:t>
            </w:r>
          </w:p>
          <w:p w:rsidR="00000000" w:rsidDel="00000000" w:rsidP="00000000" w:rsidRDefault="00000000" w:rsidRPr="00000000" w14:paraId="0000004F">
            <w:pPr>
              <w:spacing w:after="80" w:before="80" w:lineRule="auto"/>
              <w:ind w:right="-144"/>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Services that formed part of the above contract</w:t>
            </w:r>
            <w:r w:rsidDel="00000000" w:rsidR="00000000" w:rsidRPr="00000000">
              <w:rPr>
                <w:rtl w:val="0"/>
              </w:rPr>
            </w:r>
          </w:p>
          <w:p w:rsidR="00000000" w:rsidDel="00000000" w:rsidP="00000000" w:rsidRDefault="00000000" w:rsidRPr="00000000" w14:paraId="00000050">
            <w:pPr>
              <w:widowControl w:val="0"/>
              <w:spacing w:after="120" w:before="120" w:lineRule="auto"/>
              <w:ind w:right="128"/>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Please select at least one box in the Digital Platform indicating what the TAC is for:</w:t>
            </w:r>
            <w:r w:rsidDel="00000000" w:rsidR="00000000" w:rsidRPr="00000000">
              <w:rPr>
                <w:rtl w:val="0"/>
              </w:rPr>
            </w:r>
          </w:p>
          <w:p w:rsidR="00000000" w:rsidDel="00000000" w:rsidP="00000000" w:rsidRDefault="00000000" w:rsidRPr="00000000" w14:paraId="00000051">
            <w:pPr>
              <w:widowControl w:val="0"/>
              <w:ind w:right="128"/>
              <w:rPr>
                <w:rFonts w:ascii="Arial" w:cs="Arial" w:eastAsia="Arial" w:hAnsi="Arial"/>
                <w:highlight w:val="yellow"/>
              </w:rPr>
            </w:pPr>
            <w:r w:rsidDel="00000000" w:rsidR="00000000" w:rsidRPr="00000000">
              <w:rPr>
                <w:rtl w:val="0"/>
              </w:rPr>
            </w:r>
          </w:p>
          <w:p w:rsidR="00000000" w:rsidDel="00000000" w:rsidP="00000000" w:rsidRDefault="00000000" w:rsidRPr="00000000" w14:paraId="0000005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IT operations management</w:t>
            </w:r>
          </w:p>
          <w:p w:rsidR="00000000" w:rsidDel="00000000" w:rsidP="00000000" w:rsidRDefault="00000000" w:rsidRPr="00000000" w14:paraId="0000005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IT automation and configuration management</w:t>
            </w:r>
          </w:p>
          <w:p w:rsidR="00000000" w:rsidDel="00000000" w:rsidP="00000000" w:rsidRDefault="00000000" w:rsidRPr="00000000" w14:paraId="0000005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IT service management</w:t>
            </w:r>
          </w:p>
          <w:p w:rsidR="00000000" w:rsidDel="00000000" w:rsidP="00000000" w:rsidRDefault="00000000" w:rsidRPr="00000000" w14:paraId="0000005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Cloud Financial Management (FinOps)</w:t>
            </w:r>
          </w:p>
          <w:p w:rsidR="00000000" w:rsidDel="00000000" w:rsidP="00000000" w:rsidRDefault="00000000" w:rsidRPr="00000000" w14:paraId="0000005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Cloud Financial Management (GreenOps)</w:t>
            </w:r>
          </w:p>
          <w:p w:rsidR="00000000" w:rsidDel="00000000" w:rsidP="00000000" w:rsidRDefault="00000000" w:rsidRPr="00000000" w14:paraId="0000005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Network infrastructure software</w:t>
            </w:r>
          </w:p>
          <w:p w:rsidR="00000000" w:rsidDel="00000000" w:rsidP="00000000" w:rsidRDefault="00000000" w:rsidRPr="00000000" w14:paraId="0000005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Network management</w:t>
            </w:r>
          </w:p>
          <w:p w:rsidR="00000000" w:rsidDel="00000000" w:rsidP="00000000" w:rsidRDefault="00000000" w:rsidRPr="00000000" w14:paraId="0000005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Cloud native application protection platform</w:t>
            </w:r>
          </w:p>
          <w:p w:rsidR="00000000" w:rsidDel="00000000" w:rsidP="00000000" w:rsidRDefault="00000000" w:rsidRPr="00000000" w14:paraId="0000005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Identity and access management</w:t>
            </w:r>
          </w:p>
          <w:p w:rsidR="00000000" w:rsidDel="00000000" w:rsidP="00000000" w:rsidRDefault="00000000" w:rsidRPr="00000000" w14:paraId="0000005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Endpoint security</w:t>
            </w:r>
          </w:p>
          <w:p w:rsidR="00000000" w:rsidDel="00000000" w:rsidP="00000000" w:rsidRDefault="00000000" w:rsidRPr="00000000" w14:paraId="0000005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Network security</w:t>
            </w:r>
          </w:p>
          <w:p w:rsidR="00000000" w:rsidDel="00000000" w:rsidP="00000000" w:rsidRDefault="00000000" w:rsidRPr="00000000" w14:paraId="0000005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Security analytics</w:t>
            </w:r>
          </w:p>
          <w:p w:rsidR="00000000" w:rsidDel="00000000" w:rsidP="00000000" w:rsidRDefault="00000000" w:rsidRPr="00000000" w14:paraId="0000005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 security</w:t>
            </w:r>
          </w:p>
          <w:p w:rsidR="00000000" w:rsidDel="00000000" w:rsidP="00000000" w:rsidRDefault="00000000" w:rsidRPr="00000000" w14:paraId="0000005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Governance, risk and compliance</w:t>
            </w:r>
          </w:p>
          <w:p w:rsidR="00000000" w:rsidDel="00000000" w:rsidP="00000000" w:rsidRDefault="00000000" w:rsidRPr="00000000" w14:paraId="0000006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 replication and protection</w:t>
            </w:r>
          </w:p>
          <w:p w:rsidR="00000000" w:rsidDel="00000000" w:rsidP="00000000" w:rsidRDefault="00000000" w:rsidRPr="00000000" w14:paraId="0000006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Archiving</w:t>
            </w:r>
          </w:p>
          <w:p w:rsidR="00000000" w:rsidDel="00000000" w:rsidP="00000000" w:rsidRDefault="00000000" w:rsidRPr="00000000" w14:paraId="0000006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Storage infrastructure and device management</w:t>
            </w:r>
          </w:p>
          <w:p w:rsidR="00000000" w:rsidDel="00000000" w:rsidP="00000000" w:rsidRDefault="00000000" w:rsidRPr="00000000" w14:paraId="0000006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defined storage controller</w:t>
            </w:r>
          </w:p>
          <w:p w:rsidR="00000000" w:rsidDel="00000000" w:rsidP="00000000" w:rsidRDefault="00000000" w:rsidRPr="00000000" w14:paraId="0000006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Output management</w:t>
            </w:r>
          </w:p>
          <w:p w:rsidR="00000000" w:rsidDel="00000000" w:rsidP="00000000" w:rsidRDefault="00000000" w:rsidRPr="00000000" w14:paraId="0000006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Client endpoint management</w:t>
            </w:r>
          </w:p>
          <w:p w:rsidR="00000000" w:rsidDel="00000000" w:rsidP="00000000" w:rsidRDefault="00000000" w:rsidRPr="00000000" w14:paraId="0000006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Operating system environments</w:t>
            </w:r>
          </w:p>
          <w:p w:rsidR="00000000" w:rsidDel="00000000" w:rsidP="00000000" w:rsidRDefault="00000000" w:rsidRPr="00000000" w14:paraId="0000006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defined compute</w:t>
            </w:r>
          </w:p>
          <w:p w:rsidR="00000000" w:rsidDel="00000000" w:rsidP="00000000" w:rsidRDefault="00000000" w:rsidRPr="00000000" w14:paraId="0000006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Virtual client computing</w:t>
            </w:r>
          </w:p>
          <w:p w:rsidR="00000000" w:rsidDel="00000000" w:rsidP="00000000" w:rsidRDefault="00000000" w:rsidRPr="00000000" w14:paraId="0000006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to business middleware</w:t>
            </w:r>
          </w:p>
          <w:p w:rsidR="00000000" w:rsidDel="00000000" w:rsidP="00000000" w:rsidRDefault="00000000" w:rsidRPr="00000000" w14:paraId="0000006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Integration software</w:t>
            </w:r>
          </w:p>
          <w:p w:rsidR="00000000" w:rsidDel="00000000" w:rsidP="00000000" w:rsidRDefault="00000000" w:rsidRPr="00000000" w14:paraId="0000006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Event stream processing</w:t>
            </w:r>
          </w:p>
          <w:p w:rsidR="00000000" w:rsidDel="00000000" w:rsidP="00000000" w:rsidRDefault="00000000" w:rsidRPr="00000000" w14:paraId="0000006C">
            <w:pPr>
              <w:widowControl w:val="0"/>
              <w:ind w:right="128"/>
              <w:rPr>
                <w:rFonts w:ascii="Arial" w:cs="Arial" w:eastAsia="Arial" w:hAnsi="Arial"/>
                <w:highlight w:val="yellow"/>
              </w:rPr>
            </w:pPr>
            <w:r w:rsidDel="00000000" w:rsidR="00000000" w:rsidRPr="00000000">
              <w:rPr>
                <w:rFonts w:ascii="Arial" w:cs="Arial" w:eastAsia="Arial" w:hAnsi="Arial"/>
                <w:sz w:val="26"/>
                <w:szCs w:val="26"/>
                <w:rtl w:val="0"/>
              </w:rPr>
              <w:t xml:space="preserve">Deployment centric application platforms</w:t>
            </w:r>
            <w:r w:rsidDel="00000000" w:rsidR="00000000" w:rsidRPr="00000000">
              <w:rPr>
                <w:rtl w:val="0"/>
              </w:rPr>
            </w:r>
          </w:p>
        </w:tc>
      </w:tr>
    </w:tbl>
    <w:p w:rsidR="00000000" w:rsidDel="00000000" w:rsidP="00000000" w:rsidRDefault="00000000" w:rsidRPr="00000000" w14:paraId="0000006E">
      <w:pPr>
        <w:ind w:right="-144"/>
        <w:rPr>
          <w:rFonts w:ascii="Arial" w:cs="Arial" w:eastAsia="Arial" w:hAnsi="Arial"/>
          <w:b w:val="1"/>
          <w:bCs w:val="1"/>
          <w:sz w:val="24"/>
          <w:szCs w:val="24"/>
          <w:highlight w:val="white"/>
        </w:rPr>
      </w:pPr>
      <w:bookmarkStart w:colFirst="0" w:colLast="0" w:name="_heading=h.r2qspp8kb3fb" w:id="4"/>
      <w:bookmarkEnd w:id="4"/>
      <w:r w:rsidDel="00000000" w:rsidR="00000000" w:rsidRPr="00000000">
        <w:rPr>
          <w:rtl w:val="0"/>
        </w:rPr>
      </w:r>
    </w:p>
    <w:p w:rsidR="00000000" w:rsidDel="00000000" w:rsidP="00000000" w:rsidRDefault="00000000" w:rsidRPr="00000000" w14:paraId="0000006F">
      <w:pPr>
        <w:ind w:right="-144"/>
        <w:rPr>
          <w:rFonts w:ascii="Arial" w:cs="Arial" w:eastAsia="Arial" w:hAnsi="Arial"/>
        </w:rPr>
      </w:pPr>
      <w:r w:rsidDel="00000000" w:rsidR="00000000" w:rsidRPr="00000000">
        <w:rPr>
          <w:rtl w:val="0"/>
        </w:rPr>
      </w:r>
    </w:p>
    <w:sdt>
      <w:sdtPr>
        <w:lock w:val="contentLocked"/>
        <w:id w:val="-1907100788"/>
        <w:tag w:val="goog_rdk_0"/>
      </w:sdtPr>
      <w:sdtContent>
        <w:tbl>
          <w:tblPr>
            <w:tblStyle w:val="Table2"/>
            <w:tblW w:w="10205.000000000002" w:type="dxa"/>
            <w:jc w:val="left"/>
            <w:tblInd w:w="-50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5.000000000001"/>
            <w:gridCol w:w="5100"/>
            <w:tblGridChange w:id="0">
              <w:tblGrid>
                <w:gridCol w:w="5105.000000000001"/>
                <w:gridCol w:w="5100"/>
              </w:tblGrid>
            </w:tblGridChange>
          </w:tblGrid>
          <w:tr>
            <w:trPr>
              <w:cantSplit w:val="0"/>
              <w:trHeight w:val="46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70">
                <w:pPr>
                  <w:pStyle w:val="Heading2"/>
                  <w:keepNext w:val="0"/>
                  <w:keepLines w:val="0"/>
                  <w:widowControl w:val="0"/>
                  <w:spacing w:before="80" w:line="315.7896" w:lineRule="auto"/>
                  <w:ind w:right="300"/>
                  <w:rPr>
                    <w:rFonts w:ascii="Arial" w:cs="Arial" w:eastAsia="Arial" w:hAnsi="Arial"/>
                    <w:color w:val="0b0c0c"/>
                    <w:sz w:val="26"/>
                    <w:szCs w:val="26"/>
                    <w:shd w:fill="4a86e8" w:val="clear"/>
                  </w:rPr>
                </w:pPr>
                <w:bookmarkStart w:colFirst="0" w:colLast="0" w:name="_heading=h.ugxpk4rwr131" w:id="5"/>
                <w:bookmarkEnd w:id="5"/>
                <w:r w:rsidDel="00000000" w:rsidR="00000000" w:rsidRPr="00000000">
                  <w:rPr>
                    <w:rFonts w:ascii="Arial" w:cs="Arial" w:eastAsia="Arial" w:hAnsi="Arial"/>
                    <w:color w:val="0b0c0c"/>
                    <w:sz w:val="26"/>
                    <w:szCs w:val="26"/>
                    <w:rtl w:val="0"/>
                  </w:rPr>
                  <w:t xml:space="preserve">Customer information</w:t>
                </w:r>
                <w:r w:rsidDel="00000000" w:rsidR="00000000" w:rsidRPr="00000000">
                  <w:rPr>
                    <w:rtl w:val="0"/>
                  </w:rPr>
                </w:r>
              </w:p>
              <w:p w:rsidR="00000000" w:rsidDel="00000000" w:rsidP="00000000" w:rsidRDefault="00000000" w:rsidRPr="00000000" w14:paraId="00000071">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rFonts w:ascii="Arial" w:cs="Arial" w:eastAsia="Arial" w:hAnsi="Arial"/>
                  </w:rPr>
                </w:pPr>
                <w:r w:rsidDel="00000000" w:rsidR="00000000" w:rsidRPr="00000000">
                  <w:rPr>
                    <w:rFonts w:ascii="Arial" w:cs="Arial" w:eastAsia="Arial" w:hAnsi="Arial"/>
                    <w:b w:val="1"/>
                    <w:bCs w:val="1"/>
                    <w:color w:val="0b0c0c"/>
                    <w:sz w:val="24"/>
                    <w:szCs w:val="24"/>
                    <w:highlight w:val="white"/>
                    <w:rtl w:val="0"/>
                  </w:rPr>
                  <w:t xml:space="preserve">Customer 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7B">
      <w:pPr>
        <w:ind w:right="-144"/>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25" w:left="1440" w:right="1257"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RM155.15 G-Could 15</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Lot 2a Technical ability certificate</w:t>
    </w:r>
    <w:r w:rsidDel="00000000" w:rsidR="00000000" w:rsidRPr="00000000">
      <w:rPr>
        <w:rFonts w:ascii="Arial" w:cs="Arial" w:eastAsia="Arial" w:hAnsi="Arial"/>
        <w:sz w:val="16"/>
        <w:szCs w:val="16"/>
        <w:highlight w:val="white"/>
        <w:rtl w:val="0"/>
      </w:rPr>
      <w:t xml:space="preserve"> v2.0</w:t>
    </w: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Model:PA23[Tem]010v3.1  </w:t>
    </w:r>
  </w:p>
  <w:p w:rsidR="00000000" w:rsidDel="00000000" w:rsidP="00000000" w:rsidRDefault="00000000" w:rsidRPr="00000000" w14:paraId="0000008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2025</w:t>
      <w:tab/>
      <w:t xml:space="preserve">                                             </w:t>
      <w:tab/>
      <w:tab/>
      <w:t xml:space="preserv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tabs>
        <w:tab w:val="center" w:leader="none" w:pos="4513"/>
        <w:tab w:val="right" w:leader="none" w:pos="9026"/>
      </w:tabs>
      <w:spacing w:after="0" w:line="276" w:lineRule="auto"/>
      <w:ind w:right="-144"/>
      <w:rPr>
        <w:rFonts w:ascii="Arial" w:cs="Arial" w:eastAsia="Arial" w:hAnsi="Arial"/>
      </w:rPr>
    </w:pPr>
    <w:bookmarkStart w:colFirst="0" w:colLast="0" w:name="_heading=h.co78nmsdnu88" w:id="6"/>
    <w:bookmarkEnd w:id="6"/>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C43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C43E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06703"/>
    <w:rPr>
      <w:b w:val="1"/>
      <w:bCs w:val="1"/>
    </w:rPr>
  </w:style>
  <w:style w:type="character" w:styleId="CommentSubjectChar" w:customStyle="1">
    <w:name w:val="Comment Subject Char"/>
    <w:basedOn w:val="CommentTextChar"/>
    <w:link w:val="CommentSubject"/>
    <w:uiPriority w:val="99"/>
    <w:semiHidden w:val="1"/>
    <w:rsid w:val="00D06703"/>
    <w:rPr>
      <w:b w:val="1"/>
      <w:bCs w:val="1"/>
      <w:sz w:val="20"/>
      <w:szCs w:val="20"/>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gALpLe59NflbTkS3NO8HrWqNw==">CgMxLjAaHwoBMBIaChgICVIUChJ0YWJsZS51a2NrOXdwaHFsbWsyDmguZm82d3E1YjRmcWNzMg5oLnhocHVic2J4cXFzaDIOaC5kaG9zMGlhdXhqc3UyDmgudXM1ZW13N3dveGk1Mg5oLnIycXNwcDhrYjNmYjIOaC51Z3hwazRyd3IxMzEyDmguY283OG5tc2RudTg4OAByITE5WW92QTRHcDI4eGRwZV9ZWjFNYU44aTM4c3N5Q1JNMg==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2025-09-24T10:10:00Z</dcterms:created>
  <dc:creator>Sarah Morris</dc:creator>
</cp:coreProperties>
</file>