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Title"/>
        <w:rPr/>
      </w:pPr>
      <w:bookmarkStart w:colFirst="0" w:colLast="0" w:name="_heading=h.us1mrw3oy70m" w:id="0"/>
      <w:bookmarkEnd w:id="0"/>
      <w:r w:rsidDel="00000000" w:rsidR="00000000" w:rsidRPr="00000000">
        <w:rPr>
          <w:rtl w:val="0"/>
        </w:rPr>
        <w:t xml:space="preserve">Attachment 5</w:t>
      </w:r>
    </w:p>
    <w:p w:rsidR="00000000" w:rsidDel="00000000" w:rsidP="00000000" w:rsidRDefault="00000000" w:rsidRPr="00000000" w14:paraId="00000007">
      <w:pPr>
        <w:pStyle w:val="Title"/>
        <w:rPr/>
      </w:pPr>
      <w:r w:rsidDel="00000000" w:rsidR="00000000" w:rsidRPr="00000000">
        <w:rPr>
          <w:rtl w:val="0"/>
        </w:rPr>
        <w:t xml:space="preserve">Financial viability risk assessment (FVRA) instructions</w:t>
      </w:r>
    </w:p>
    <w:p w:rsidR="00000000" w:rsidDel="00000000" w:rsidP="00000000" w:rsidRDefault="00000000" w:rsidRPr="00000000" w14:paraId="00000008">
      <w:pPr>
        <w:rPr>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09">
      <w:pPr>
        <w:rPr>
          <w:sz w:val="24"/>
          <w:szCs w:val="24"/>
          <w:highlight w:val="yellow"/>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sz w:val="32"/>
          <w:szCs w:val="32"/>
        </w:rPr>
      </w:pPr>
      <w:r w:rsidDel="00000000" w:rsidR="00000000" w:rsidRPr="00000000">
        <w:rPr>
          <w:b w:val="1"/>
          <w:bCs w:val="1"/>
          <w:sz w:val="32"/>
          <w:szCs w:val="32"/>
          <w:rtl w:val="0"/>
        </w:rPr>
        <w:t xml:space="preserve">Contents</w:t>
      </w:r>
    </w:p>
    <w:sdt>
      <w:sdtPr>
        <w:id w:val="1968933775"/>
        <w:docPartObj>
          <w:docPartGallery w:val="Table of Contents"/>
          <w:docPartUnique w:val="1"/>
        </w:docPartObj>
      </w:sdtPr>
      <w:sdtContent>
        <w:p w:rsidR="00000000" w:rsidDel="00000000" w:rsidP="00000000" w:rsidRDefault="00000000" w:rsidRPr="00000000" w14:paraId="0000000C">
          <w:pPr>
            <w:tabs>
              <w:tab w:val="right" w:leader="none" w:pos="12000"/>
            </w:tabs>
            <w:spacing w:before="60" w:lineRule="auto"/>
            <w:ind w:right="0"/>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heading=h.e3cxmpd1t6r8">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Introduction</w:t>
              <w:tab/>
              <w:t xml:space="preserve">2</w:t>
            </w:r>
          </w:hyperlink>
          <w:r w:rsidDel="00000000" w:rsidR="00000000" w:rsidRPr="00000000">
            <w:rPr>
              <w:rtl w:val="0"/>
            </w:rPr>
          </w:r>
        </w:p>
        <w:p w:rsidR="00000000" w:rsidDel="00000000" w:rsidP="00000000" w:rsidRDefault="00000000" w:rsidRPr="00000000" w14:paraId="0000000D">
          <w:pPr>
            <w:tabs>
              <w:tab w:val="right" w:leader="none" w:pos="12000"/>
            </w:tabs>
            <w:spacing w:before="60" w:lineRule="auto"/>
            <w:ind w:right="0"/>
            <w:rPr>
              <w:rFonts w:ascii="Arial" w:cs="Arial" w:eastAsia="Arial" w:hAnsi="Arial"/>
              <w:b w:val="1"/>
              <w:bCs w:val="1"/>
              <w:i w:val="0"/>
              <w:iCs w:val="0"/>
              <w:smallCaps w:val="0"/>
              <w:strike w:val="0"/>
              <w:color w:val="000000"/>
              <w:sz w:val="22"/>
              <w:szCs w:val="22"/>
              <w:u w:val="none"/>
              <w:shd w:fill="auto" w:val="clear"/>
              <w:vertAlign w:val="baseline"/>
            </w:rPr>
          </w:pPr>
          <w:hyperlink w:anchor="_heading=h.x8s5rvy1rga7">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Instructions and guidance</w:t>
              <w:tab/>
              <w:t xml:space="preserve">3</w:t>
            </w:r>
          </w:hyperlink>
          <w:r w:rsidDel="00000000" w:rsidR="00000000" w:rsidRPr="00000000">
            <w:rPr>
              <w:rtl w:val="0"/>
            </w:rPr>
          </w:r>
        </w:p>
        <w:p w:rsidR="00000000" w:rsidDel="00000000" w:rsidP="00000000" w:rsidRDefault="00000000" w:rsidRPr="00000000" w14:paraId="0000000E">
          <w:pPr>
            <w:tabs>
              <w:tab w:val="right" w:leader="none" w:pos="12000"/>
            </w:tabs>
            <w:spacing w:before="60" w:lineRule="auto"/>
            <w:ind w:right="0"/>
            <w:rPr>
              <w:rFonts w:ascii="Arial" w:cs="Arial" w:eastAsia="Arial" w:hAnsi="Arial"/>
              <w:b w:val="1"/>
              <w:bCs w:val="1"/>
              <w:i w:val="0"/>
              <w:iCs w:val="0"/>
              <w:smallCaps w:val="0"/>
              <w:strike w:val="0"/>
              <w:color w:val="000000"/>
              <w:sz w:val="22"/>
              <w:szCs w:val="22"/>
              <w:u w:val="none"/>
              <w:shd w:fill="auto" w:val="clear"/>
              <w:vertAlign w:val="baseline"/>
            </w:rPr>
          </w:pPr>
          <w:hyperlink w:anchor="_heading=h.9y0iduuj1mbi">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Prior to award of framework contracts</w:t>
              <w:tab/>
              <w:t xml:space="preserve">6</w:t>
            </w:r>
          </w:hyperlink>
          <w:r w:rsidDel="00000000" w:rsidR="00000000" w:rsidRPr="00000000">
            <w:rPr>
              <w:rtl w:val="0"/>
            </w:rPr>
          </w:r>
        </w:p>
        <w:p w:rsidR="00000000" w:rsidDel="00000000" w:rsidP="00000000" w:rsidRDefault="00000000" w:rsidRPr="00000000" w14:paraId="0000000F">
          <w:pPr>
            <w:tabs>
              <w:tab w:val="right" w:leader="none" w:pos="12000"/>
            </w:tabs>
            <w:spacing w:before="60" w:lineRule="auto"/>
            <w:ind w:right="0"/>
            <w:rPr>
              <w:rFonts w:ascii="Arial" w:cs="Arial" w:eastAsia="Arial" w:hAnsi="Arial"/>
              <w:b w:val="1"/>
              <w:bCs w:val="1"/>
              <w:i w:val="0"/>
              <w:iCs w:val="0"/>
              <w:smallCaps w:val="0"/>
              <w:strike w:val="0"/>
              <w:color w:val="000000"/>
              <w:sz w:val="22"/>
              <w:szCs w:val="22"/>
              <w:u w:val="none"/>
              <w:shd w:fill="auto" w:val="clear"/>
              <w:vertAlign w:val="baseline"/>
            </w:rPr>
          </w:pPr>
          <w:hyperlink w:anchor="_heading=h.59vnuajgzgiu">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Appendix 1 – How and where to submit the required information</w:t>
              <w:tab/>
              <w:t xml:space="preserve">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2"/>
        <w:rPr/>
      </w:pPr>
      <w:r w:rsidDel="00000000" w:rsidR="00000000" w:rsidRPr="00000000">
        <w:rPr>
          <w:rtl w:val="0"/>
        </w:rPr>
      </w:r>
    </w:p>
    <w:p w:rsidR="00000000" w:rsidDel="00000000" w:rsidP="00000000" w:rsidRDefault="00000000" w:rsidRPr="00000000" w14:paraId="00000014">
      <w:pPr>
        <w:rPr>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rPr/>
      </w:pPr>
      <w:bookmarkStart w:colFirst="0" w:colLast="0" w:name="_heading=h.e3cxmpd1t6r8" w:id="1"/>
      <w:bookmarkEnd w:id="1"/>
      <w:r w:rsidDel="00000000" w:rsidR="00000000" w:rsidRPr="00000000">
        <w:rPr>
          <w:rtl w:val="0"/>
        </w:rPr>
        <w:t xml:space="preserve">Introduction</w:t>
      </w:r>
    </w:p>
    <w:p w:rsidR="00000000" w:rsidDel="00000000" w:rsidP="00000000" w:rsidRDefault="00000000" w:rsidRPr="00000000" w14:paraId="00000016">
      <w:pPr>
        <w:rPr/>
      </w:pPr>
      <w:bookmarkStart w:colFirst="0" w:colLast="0" w:name="_heading=h.7vde0es6k6ns" w:id="2"/>
      <w:bookmarkEnd w:id="2"/>
      <w:r w:rsidDel="00000000" w:rsidR="00000000" w:rsidRPr="00000000">
        <w:rPr>
          <w:rtl w:val="0"/>
        </w:rPr>
        <w:t xml:space="preserve">In this Attachment 5 Financial viability risk assessment instructions and Attachment 5a/5b Financial viability risk assessment (FVRA) tools, the following words shall have the following meanings: </w:t>
      </w:r>
    </w:p>
    <w:p w:rsidR="00000000" w:rsidDel="00000000" w:rsidP="00000000" w:rsidRDefault="00000000" w:rsidRPr="00000000" w14:paraId="00000017">
      <w:pPr>
        <w:rPr/>
      </w:pPr>
      <w:r w:rsidDel="00000000" w:rsidR="00000000" w:rsidRPr="00000000">
        <w:rPr>
          <w:rtl w:val="0"/>
        </w:rPr>
      </w:r>
    </w:p>
    <w:tbl>
      <w:tblPr>
        <w:tblStyle w:val="Table1"/>
        <w:tblW w:w="9923.0" w:type="dxa"/>
        <w:jc w:val="left"/>
        <w:tblInd w:w="-10.0" w:type="dxa"/>
        <w:tblLayout w:type="fixed"/>
        <w:tblLook w:val="0000"/>
      </w:tblPr>
      <w:tblGrid>
        <w:gridCol w:w="3261"/>
        <w:gridCol w:w="6662"/>
        <w:tblGridChange w:id="0">
          <w:tblGrid>
            <w:gridCol w:w="3261"/>
            <w:gridCol w:w="666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8">
            <w:pPr>
              <w:pBdr>
                <w:top w:space="0" w:sz="0" w:val="nil"/>
                <w:left w:space="0" w:sz="0" w:val="nil"/>
                <w:bottom w:space="0" w:sz="0" w:val="nil"/>
                <w:right w:space="0" w:sz="0" w:val="nil"/>
                <w:between w:space="0" w:sz="0" w:val="nil"/>
              </w:pBdr>
              <w:ind w:right="493"/>
              <w:rPr>
                <w:color w:val="000000"/>
              </w:rPr>
            </w:pPr>
            <w:r w:rsidDel="00000000" w:rsidR="00000000" w:rsidRPr="00000000">
              <w:rPr>
                <w:color w:val="000000"/>
                <w:rtl w:val="0"/>
              </w:rPr>
              <w:t xml:space="preserve">“bidder”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9">
            <w:pPr>
              <w:pBdr>
                <w:top w:space="0" w:sz="0" w:val="nil"/>
                <w:left w:space="0" w:sz="0" w:val="nil"/>
                <w:bottom w:space="0" w:sz="0" w:val="nil"/>
                <w:right w:space="0" w:sz="0" w:val="nil"/>
                <w:between w:space="0" w:sz="0" w:val="nil"/>
              </w:pBdr>
              <w:ind w:right="493"/>
              <w:rPr>
                <w:color w:val="000000"/>
              </w:rPr>
            </w:pPr>
            <w:r w:rsidDel="00000000" w:rsidR="00000000" w:rsidRPr="00000000">
              <w:rPr>
                <w:color w:val="000000"/>
                <w:rtl w:val="0"/>
              </w:rPr>
              <w:t xml:space="preserve">the bidder is the entity submitting the tender, also referred to as the single lead entity, the SPV or the lead bidder, on behalf of a consortium</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A">
            <w:pPr>
              <w:pBdr>
                <w:top w:space="0" w:sz="0" w:val="nil"/>
                <w:left w:space="0" w:sz="0" w:val="nil"/>
                <w:bottom w:space="0" w:sz="0" w:val="nil"/>
                <w:right w:space="0" w:sz="0" w:val="nil"/>
                <w:between w:space="0" w:sz="0" w:val="nil"/>
              </w:pBdr>
              <w:ind w:right="493"/>
              <w:rPr>
                <w:color w:val="000000"/>
              </w:rPr>
            </w:pPr>
            <w:r w:rsidDel="00000000" w:rsidR="00000000" w:rsidRPr="00000000">
              <w:rPr>
                <w:color w:val="000000"/>
                <w:rtl w:val="0"/>
              </w:rPr>
              <w:t xml:space="preserve">“</w:t>
            </w:r>
            <w:r w:rsidDel="00000000" w:rsidR="00000000" w:rsidRPr="00000000">
              <w:rPr>
                <w:rtl w:val="0"/>
              </w:rPr>
              <w:t xml:space="preserve">consortium</w:t>
            </w:r>
            <w:r w:rsidDel="00000000" w:rsidR="00000000" w:rsidRPr="00000000">
              <w:rPr>
                <w:color w:val="000000"/>
                <w:rtl w:val="0"/>
              </w:rPr>
              <w:t xml:space="preserve"> member”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B">
            <w:pPr>
              <w:pBdr>
                <w:top w:space="0" w:sz="0" w:val="nil"/>
                <w:left w:space="0" w:sz="0" w:val="nil"/>
                <w:bottom w:space="0" w:sz="0" w:val="nil"/>
                <w:right w:space="0" w:sz="0" w:val="nil"/>
                <w:between w:space="0" w:sz="0" w:val="nil"/>
              </w:pBdr>
              <w:ind w:right="493"/>
              <w:rPr>
                <w:color w:val="000000"/>
              </w:rPr>
            </w:pPr>
            <w:r w:rsidDel="00000000" w:rsidR="00000000" w:rsidRPr="00000000">
              <w:rPr>
                <w:color w:val="000000"/>
                <w:rtl w:val="0"/>
              </w:rPr>
              <w:t xml:space="preserve">refers to a member of a consortium, where a SPV has not been legally formed</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C">
            <w:pPr>
              <w:pBdr>
                <w:top w:space="0" w:sz="0" w:val="nil"/>
                <w:left w:space="0" w:sz="0" w:val="nil"/>
                <w:bottom w:space="0" w:sz="0" w:val="nil"/>
                <w:right w:space="0" w:sz="0" w:val="nil"/>
                <w:between w:space="0" w:sz="0" w:val="nil"/>
              </w:pBdr>
              <w:ind w:right="493"/>
              <w:rPr>
                <w:color w:val="000000"/>
              </w:rPr>
            </w:pPr>
            <w:r w:rsidDel="00000000" w:rsidR="00000000" w:rsidRPr="00000000">
              <w:rPr>
                <w:color w:val="000000"/>
                <w:rtl w:val="0"/>
              </w:rPr>
              <w:t xml:space="preserve">“EFS”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D">
            <w:pPr>
              <w:pBdr>
                <w:top w:space="0" w:sz="0" w:val="nil"/>
                <w:left w:space="0" w:sz="0" w:val="nil"/>
                <w:bottom w:space="0" w:sz="0" w:val="nil"/>
                <w:right w:space="0" w:sz="0" w:val="nil"/>
                <w:between w:space="0" w:sz="0" w:val="nil"/>
              </w:pBdr>
              <w:ind w:right="493"/>
              <w:rPr>
                <w:color w:val="000000"/>
              </w:rPr>
            </w:pPr>
            <w:r w:rsidDel="00000000" w:rsidR="00000000" w:rsidRPr="00000000">
              <w:rPr>
                <w:color w:val="000000"/>
                <w:rtl w:val="0"/>
              </w:rPr>
              <w:t xml:space="preserve">means economic and financial standing</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E">
            <w:pPr>
              <w:pBdr>
                <w:top w:space="0" w:sz="0" w:val="nil"/>
                <w:left w:space="0" w:sz="0" w:val="nil"/>
                <w:bottom w:space="0" w:sz="0" w:val="nil"/>
                <w:right w:space="0" w:sz="0" w:val="nil"/>
                <w:between w:space="0" w:sz="0" w:val="nil"/>
              </w:pBdr>
              <w:ind w:right="493"/>
              <w:rPr>
                <w:color w:val="000000"/>
              </w:rPr>
            </w:pPr>
            <w:r w:rsidDel="00000000" w:rsidR="00000000" w:rsidRPr="00000000">
              <w:rPr>
                <w:color w:val="000000"/>
                <w:rtl w:val="0"/>
              </w:rPr>
              <w:t xml:space="preserve">“FVRA”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F">
            <w:pPr>
              <w:pBdr>
                <w:top w:space="0" w:sz="0" w:val="nil"/>
                <w:left w:space="0" w:sz="0" w:val="nil"/>
                <w:bottom w:space="0" w:sz="0" w:val="nil"/>
                <w:right w:space="0" w:sz="0" w:val="nil"/>
                <w:between w:space="0" w:sz="0" w:val="nil"/>
              </w:pBdr>
              <w:ind w:right="493"/>
              <w:rPr>
                <w:color w:val="000000"/>
              </w:rPr>
            </w:pPr>
            <w:r w:rsidDel="00000000" w:rsidR="00000000" w:rsidRPr="00000000">
              <w:rPr>
                <w:color w:val="000000"/>
                <w:rtl w:val="0"/>
              </w:rPr>
              <w:t xml:space="preserve">means financial viability risk assessment tool</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0">
            <w:pPr>
              <w:pBdr>
                <w:top w:space="0" w:sz="0" w:val="nil"/>
                <w:left w:space="0" w:sz="0" w:val="nil"/>
                <w:bottom w:space="0" w:sz="0" w:val="nil"/>
                <w:right w:space="0" w:sz="0" w:val="nil"/>
                <w:between w:space="0" w:sz="0" w:val="nil"/>
              </w:pBdr>
              <w:ind w:right="493"/>
              <w:rPr>
                <w:color w:val="000000"/>
              </w:rPr>
            </w:pPr>
            <w:r w:rsidDel="00000000" w:rsidR="00000000" w:rsidRPr="00000000">
              <w:rPr>
                <w:color w:val="000000"/>
                <w:rtl w:val="0"/>
              </w:rPr>
              <w:t xml:space="preserve">“The Guidance Note”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1">
            <w:pPr>
              <w:pBdr>
                <w:top w:space="0" w:sz="0" w:val="nil"/>
                <w:left w:space="0" w:sz="0" w:val="nil"/>
                <w:bottom w:space="0" w:sz="0" w:val="nil"/>
                <w:right w:space="0" w:sz="0" w:val="nil"/>
                <w:between w:space="0" w:sz="0" w:val="nil"/>
              </w:pBdr>
              <w:ind w:right="493"/>
              <w:rPr>
                <w:color w:val="000000"/>
              </w:rPr>
            </w:pPr>
            <w:r w:rsidDel="00000000" w:rsidR="00000000" w:rsidRPr="00000000">
              <w:rPr>
                <w:color w:val="000000"/>
                <w:rtl w:val="0"/>
              </w:rPr>
              <w:t xml:space="preserve">means: </w:t>
            </w:r>
          </w:p>
          <w:p w:rsidR="00000000" w:rsidDel="00000000" w:rsidP="00000000" w:rsidRDefault="00000000" w:rsidRPr="00000000" w14:paraId="00000022">
            <w:pPr>
              <w:rPr>
                <w:color w:val="000000"/>
              </w:rPr>
            </w:pPr>
            <w:hyperlink r:id="rId7">
              <w:r w:rsidDel="00000000" w:rsidR="00000000" w:rsidRPr="00000000">
                <w:rPr>
                  <w:color w:val="1155cc"/>
                  <w:u w:val="single"/>
                  <w:rtl w:val="0"/>
                </w:rPr>
                <w:t xml:space="preserve">Assessing and Monitoring the Economic and Financial Standing of Bidders and Suppliers</w:t>
              </w:r>
            </w:hyperlink>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ind w:right="493"/>
              <w:rPr>
                <w:color w:val="000000"/>
              </w:rPr>
            </w:pPr>
            <w:r w:rsidDel="00000000" w:rsidR="00000000" w:rsidRPr="00000000">
              <w:rPr>
                <w:color w:val="000000"/>
                <w:rtl w:val="0"/>
              </w:rPr>
              <w:t xml:space="preserve">“The Sourcing Playbook”</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ind w:right="493"/>
              <w:rPr>
                <w:color w:val="000000"/>
              </w:rPr>
            </w:pPr>
            <w:r w:rsidDel="00000000" w:rsidR="00000000" w:rsidRPr="00000000">
              <w:rPr>
                <w:color w:val="000000"/>
                <w:rtl w:val="0"/>
              </w:rPr>
              <w:t xml:space="preserve">the document that outlines a series of key policies for making outsourcing decisions and contracting outside suppliers for the delivery of public services.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0" w:lineRule="auto"/>
              <w:ind w:right="493"/>
              <w:rPr>
                <w:color w:val="000000"/>
              </w:rPr>
            </w:pPr>
            <w:hyperlink r:id="rId8">
              <w:r w:rsidDel="00000000" w:rsidR="00000000" w:rsidRPr="00000000">
                <w:rPr>
                  <w:color w:val="0563c1"/>
                  <w:u w:val="single"/>
                  <w:rtl w:val="0"/>
                </w:rPr>
                <w:t xml:space="preserve">The Sourcing Playbook</w:t>
              </w:r>
            </w:hyperlink>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t xml:space="preserve">CCS has adapted the Cabinet Office’s ‘Financial Viability Risk Assessment (FVRA) Tool’ (version 4.3.1) as the basis to conduct a financial assessment on all tenders.  </w:t>
      </w:r>
    </w:p>
    <w:p w:rsidR="00000000" w:rsidDel="00000000" w:rsidP="00000000" w:rsidRDefault="00000000" w:rsidRPr="00000000" w14:paraId="00000027">
      <w:pPr>
        <w:rPr/>
      </w:pPr>
      <w:r w:rsidDel="00000000" w:rsidR="00000000" w:rsidRPr="00000000">
        <w:rPr>
          <w:rtl w:val="0"/>
        </w:rPr>
        <w:t xml:space="preserve">The</w:t>
      </w:r>
      <w:r w:rsidDel="00000000" w:rsidR="00000000" w:rsidRPr="00000000">
        <w:rPr>
          <w:highlight w:val="white"/>
          <w:rtl w:val="0"/>
        </w:rPr>
        <w:t xml:space="preserve"> RM1557.15 G-Cloud 15 </w:t>
      </w:r>
      <w:r w:rsidDel="00000000" w:rsidR="00000000" w:rsidRPr="00000000">
        <w:rPr>
          <w:rtl w:val="0"/>
        </w:rPr>
        <w:t xml:space="preserve">FVRA tool is provided at Attachment 5a/5b – FVRA tool and is to be completed and submitted by bidders and each consortium member. Each consortium member will be assessed separately.   </w:t>
      </w:r>
    </w:p>
    <w:p w:rsidR="00000000" w:rsidDel="00000000" w:rsidP="00000000" w:rsidRDefault="00000000" w:rsidRPr="00000000" w14:paraId="00000028">
      <w:pPr>
        <w:rPr/>
      </w:pPr>
      <w:r w:rsidDel="00000000" w:rsidR="00000000" w:rsidRPr="00000000">
        <w:rPr>
          <w:rtl w:val="0"/>
        </w:rPr>
        <w:t xml:space="preserve">Bidders and consortium members who pass the assessment to the satisfaction of CCS will achieve a “Pass.”  If a bidder or any consortium member does not pass the assessment to the satisfaction of CCS, they will “Fail.”  If a bidder or consortium member fails, the tender will be disregarded as this condition of participation has not been satisfied. We will tell you that the tender has been disregarded and why.   </w:t>
      </w:r>
    </w:p>
    <w:p w:rsidR="00000000" w:rsidDel="00000000" w:rsidP="00000000" w:rsidRDefault="00000000" w:rsidRPr="00000000" w14:paraId="00000029">
      <w:pPr>
        <w:rPr/>
      </w:pPr>
      <w:r w:rsidDel="00000000" w:rsidR="00000000" w:rsidRPr="00000000">
        <w:br w:type="page"/>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It is advised that before completing the FVRA, all bidder and consortium members review the February 2025 Guidance Note </w:t>
      </w:r>
      <w:hyperlink r:id="rId9">
        <w:r w:rsidDel="00000000" w:rsidR="00000000" w:rsidRPr="00000000">
          <w:rPr>
            <w:color w:val="1155cc"/>
            <w:u w:val="single"/>
            <w:rtl w:val="0"/>
          </w:rPr>
          <w:t xml:space="preserve">‘Assessing and Monitoring the Economic and Financial Standing of Bidders and Suppliers’</w:t>
        </w:r>
      </w:hyperlink>
      <w:r w:rsidDel="00000000" w:rsidR="00000000" w:rsidRPr="00000000">
        <w:rPr>
          <w:rtl w:val="0"/>
        </w:rPr>
        <w:t xml:space="preserve"> (hereafter referred to as ‘The Guidance Note’). </w:t>
      </w:r>
    </w:p>
    <w:p w:rsidR="00000000" w:rsidDel="00000000" w:rsidP="00000000" w:rsidRDefault="00000000" w:rsidRPr="00000000" w14:paraId="0000002B">
      <w:pPr>
        <w:rPr/>
      </w:pPr>
      <w:bookmarkStart w:colFirst="0" w:colLast="0" w:name="_heading=h.7seposjfha39" w:id="3"/>
      <w:bookmarkEnd w:id="3"/>
      <w:r w:rsidDel="00000000" w:rsidR="00000000" w:rsidRPr="00000000">
        <w:rPr>
          <w:rtl w:val="0"/>
        </w:rPr>
        <w:t xml:space="preserve">Lot 1a and lot 1b have been classified as a Gold contract, via the contract tiering tool.  All bidders and consortium members tendering for this framework are required to complete Attachment 5a Lots 1a 1b FVRA Gold tool and upload it to the Digital Platform. </w:t>
      </w:r>
    </w:p>
    <w:p w:rsidR="00000000" w:rsidDel="00000000" w:rsidP="00000000" w:rsidRDefault="00000000" w:rsidRPr="00000000" w14:paraId="0000002C">
      <w:pPr>
        <w:rPr/>
      </w:pPr>
      <w:bookmarkStart w:colFirst="0" w:colLast="0" w:name="_heading=h.ilcp4ls7x11r" w:id="4"/>
      <w:bookmarkEnd w:id="4"/>
      <w:r w:rsidDel="00000000" w:rsidR="00000000" w:rsidRPr="00000000">
        <w:rPr>
          <w:rtl w:val="0"/>
        </w:rPr>
        <w:t xml:space="preserve">Lot 2a, lot 2b and lot 3  have been classified as a Bronze contract, via the contract tiering tool. Bidders and/or consortium members will only be required to complete Attachment 5a Lots 2a 2b 3 FVRA Bronze Plus tool if they do not pass the enhanced sift, as set out in Financial Viability Risk Assessment (FVRA) section of the Digital Platform. </w:t>
      </w:r>
    </w:p>
    <w:p w:rsidR="00000000" w:rsidDel="00000000" w:rsidP="00000000" w:rsidRDefault="00000000" w:rsidRPr="00000000" w14:paraId="0000002D">
      <w:pPr>
        <w:rPr/>
      </w:pPr>
      <w:r w:rsidDel="00000000" w:rsidR="00000000" w:rsidRPr="00000000">
        <w:rPr>
          <w:rtl w:val="0"/>
        </w:rPr>
        <w:t xml:space="preserve">Attachments 5a/b provides transparency as to how and what CCS will assess and allows bidders and consortium members to see their risk classifications as they complete the financial assessment. Bidders and consortium members ranked red (high risk) or amber (medium risk) against relevant thresholds must set out explanations and relevant mitigations on the relevant tabs (3.1 to 3.3) within Attachment 5a/b. Further guidance around potential mitigations is also provided in the ‘Guidance Note.’  </w:t>
      </w:r>
    </w:p>
    <w:p w:rsidR="00000000" w:rsidDel="00000000" w:rsidP="00000000" w:rsidRDefault="00000000" w:rsidRPr="00000000" w14:paraId="0000002E">
      <w:pPr>
        <w:rPr/>
      </w:pPr>
      <w:r w:rsidDel="00000000" w:rsidR="00000000" w:rsidRPr="00000000">
        <w:rPr>
          <w:rtl w:val="0"/>
        </w:rPr>
        <w:t xml:space="preserve">Please see Appendix 1 for instructions on how and where to submit the required information in the Digital Platform</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F">
      <w:pPr>
        <w:pStyle w:val="Heading1"/>
        <w:rPr/>
      </w:pPr>
      <w:bookmarkStart w:colFirst="0" w:colLast="0" w:name="_heading=h.x8s5rvy1rga7" w:id="5"/>
      <w:bookmarkEnd w:id="5"/>
      <w:r w:rsidDel="00000000" w:rsidR="00000000" w:rsidRPr="00000000">
        <w:rPr>
          <w:rtl w:val="0"/>
        </w:rPr>
        <w:t xml:space="preserve">Instructions and guidance </w:t>
      </w:r>
    </w:p>
    <w:p w:rsidR="00000000" w:rsidDel="00000000" w:rsidP="00000000" w:rsidRDefault="00000000" w:rsidRPr="00000000" w14:paraId="00000030">
      <w:pPr>
        <w:rPr/>
      </w:pPr>
      <w:r w:rsidDel="00000000" w:rsidR="00000000" w:rsidRPr="00000000">
        <w:rPr>
          <w:rtl w:val="0"/>
        </w:rPr>
        <w:t xml:space="preserve">Before completing Attachment 5a/5b, bidders/consortium members are advised to review the first tab ‘Bidder Instructions.’ </w:t>
      </w:r>
    </w:p>
    <w:p w:rsidR="00000000" w:rsidDel="00000000" w:rsidP="00000000" w:rsidRDefault="00000000" w:rsidRPr="00000000" w14:paraId="00000031">
      <w:pPr>
        <w:rPr>
          <w:b w:val="1"/>
          <w:bCs w:val="1"/>
        </w:rPr>
      </w:pPr>
      <w:r w:rsidDel="00000000" w:rsidR="00000000" w:rsidRPr="00000000">
        <w:rPr>
          <w:b w:val="1"/>
          <w:bCs w:val="1"/>
          <w:rtl w:val="0"/>
        </w:rPr>
        <w:t xml:space="preserve">Important</w:t>
      </w:r>
    </w:p>
    <w:p w:rsidR="00000000" w:rsidDel="00000000" w:rsidP="00000000" w:rsidRDefault="00000000" w:rsidRPr="00000000" w14:paraId="00000032">
      <w:pPr>
        <w:rPr/>
      </w:pPr>
      <w:r w:rsidDel="00000000" w:rsidR="00000000" w:rsidRPr="00000000">
        <w:rPr>
          <w:rtl w:val="0"/>
        </w:rPr>
        <w:t xml:space="preserve">On the tab </w:t>
      </w:r>
      <w:r w:rsidDel="00000000" w:rsidR="00000000" w:rsidRPr="00000000">
        <w:rPr>
          <w:sz w:val="24"/>
          <w:szCs w:val="24"/>
          <w:rtl w:val="0"/>
        </w:rPr>
        <w:t xml:space="preserve">‘</w:t>
      </w:r>
      <w:r w:rsidDel="00000000" w:rsidR="00000000" w:rsidRPr="00000000">
        <w:rPr>
          <w:sz w:val="26"/>
          <w:szCs w:val="26"/>
          <w:rtl w:val="0"/>
        </w:rPr>
        <w:t xml:space="preserve">B</w:t>
      </w:r>
      <w:r w:rsidDel="00000000" w:rsidR="00000000" w:rsidRPr="00000000">
        <w:rPr>
          <w:sz w:val="29"/>
          <w:szCs w:val="29"/>
          <w:rtl w:val="0"/>
        </w:rPr>
        <w:t xml:space="preserve">idder in</w:t>
      </w:r>
      <w:r w:rsidDel="00000000" w:rsidR="00000000" w:rsidRPr="00000000">
        <w:rPr>
          <w:rtl w:val="0"/>
        </w:rPr>
        <w:t xml:space="preserve">structions’ make sure you select the correct company/organisation type for the bidder/consortium member from the dropdown provided, (row 39) before completing the Attachment 5a/5b. Please ensure you only complete the tabs relevant to your organisation type.</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1.1a Lead financial Input - only complete if you are a private limited company/publicly listed company</w:t>
      </w:r>
      <w:r w:rsidDel="00000000" w:rsidR="00000000" w:rsidRPr="00000000">
        <w:rPr>
          <w:rtl w:val="0"/>
        </w:rPr>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before="0" w:lineRule="auto"/>
        <w:ind w:left="720" w:hanging="360"/>
        <w:rPr/>
      </w:pPr>
      <w:r w:rsidDel="00000000" w:rsidR="00000000" w:rsidRPr="00000000">
        <w:rPr>
          <w:color w:val="000000"/>
          <w:rtl w:val="0"/>
        </w:rPr>
        <w:t xml:space="preserve">1.1b Lead financial Input - only complete if you are not for profit/voluntary organisation</w:t>
      </w:r>
      <w:r w:rsidDel="00000000" w:rsidR="00000000" w:rsidRPr="00000000">
        <w:br w:type="page"/>
      </w:r>
      <w:r w:rsidDel="00000000" w:rsidR="00000000" w:rsidRPr="00000000">
        <w:rPr>
          <w:rtl w:val="0"/>
        </w:rPr>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highlight w:val="white"/>
          <w:rtl w:val="0"/>
        </w:rPr>
        <w:t xml:space="preserve">Gold</w:t>
      </w:r>
      <w:r w:rsidDel="00000000" w:rsidR="00000000" w:rsidRPr="00000000">
        <w:rPr>
          <w:color w:val="000000"/>
          <w:rtl w:val="0"/>
        </w:rPr>
        <w:t xml:space="preserve"> bidders and consorti</w:t>
      </w:r>
      <w:r w:rsidDel="00000000" w:rsidR="00000000" w:rsidRPr="00000000">
        <w:rPr>
          <w:rtl w:val="0"/>
        </w:rPr>
        <w:t xml:space="preserve">um</w:t>
      </w:r>
      <w:r w:rsidDel="00000000" w:rsidR="00000000" w:rsidRPr="00000000">
        <w:rPr>
          <w:color w:val="000000"/>
          <w:rtl w:val="0"/>
        </w:rPr>
        <w:t xml:space="preserve"> members must correctly and accurately complete </w:t>
      </w:r>
      <w:r w:rsidDel="00000000" w:rsidR="00000000" w:rsidRPr="00000000">
        <w:rPr>
          <w:rtl w:val="0"/>
        </w:rPr>
        <w:t xml:space="preserve">Attachment 5a Lots 1a 1b FVRA Gold</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36">
      <w:pPr>
        <w:ind w:left="720" w:firstLine="0"/>
        <w:rPr/>
      </w:pPr>
      <w:r w:rsidDel="00000000" w:rsidR="00000000" w:rsidRPr="00000000">
        <w:rPr>
          <w:highlight w:val="white"/>
          <w:rtl w:val="0"/>
        </w:rPr>
        <w:t xml:space="preserve">Bronze</w:t>
      </w:r>
      <w:r w:rsidDel="00000000" w:rsidR="00000000" w:rsidRPr="00000000">
        <w:rPr>
          <w:b w:val="1"/>
          <w:bCs w:val="1"/>
          <w:rtl w:val="0"/>
        </w:rPr>
        <w:t xml:space="preserve"> </w:t>
      </w:r>
      <w:r w:rsidDel="00000000" w:rsidR="00000000" w:rsidRPr="00000000">
        <w:rPr>
          <w:rtl w:val="0"/>
        </w:rPr>
        <w:t xml:space="preserve">bidders/consortium members will</w:t>
      </w:r>
      <w:r w:rsidDel="00000000" w:rsidR="00000000" w:rsidRPr="00000000">
        <w:rPr>
          <w:b w:val="1"/>
          <w:bCs w:val="1"/>
          <w:rtl w:val="0"/>
        </w:rPr>
        <w:t xml:space="preserve"> </w:t>
      </w:r>
      <w:r w:rsidDel="00000000" w:rsidR="00000000" w:rsidRPr="00000000">
        <w:rPr>
          <w:rtl w:val="0"/>
        </w:rPr>
        <w:t xml:space="preserve">be required to complete Attachment 5a Lots 2a 2b 3 FVRA Bronze Plus tool only if they do not pass the enhanced sift, as set out in the Financial Viability Risk Assessment (FVRA) section of the Digital Platform.</w:t>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ind w:left="714" w:right="493" w:hanging="357"/>
        <w:rPr/>
      </w:pPr>
      <w:r w:rsidDel="00000000" w:rsidR="00000000" w:rsidRPr="00000000">
        <w:rPr>
          <w:color w:val="000000"/>
          <w:rtl w:val="0"/>
        </w:rPr>
        <w:t xml:space="preserve">Means of proof will be in line with regulation 10 of the Procurement Regulations 2024.</w:t>
      </w:r>
      <w:r w:rsidDel="00000000" w:rsidR="00000000" w:rsidRPr="00000000">
        <w:rPr>
          <w:rtl w:val="0"/>
        </w:rPr>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ind w:left="714" w:right="493" w:hanging="357"/>
        <w:rPr/>
      </w:pPr>
      <w:r w:rsidDel="00000000" w:rsidR="00000000" w:rsidRPr="00000000">
        <w:rPr>
          <w:color w:val="000000"/>
          <w:rtl w:val="0"/>
        </w:rPr>
        <w:t xml:space="preserve">Bidders/consorti</w:t>
      </w:r>
      <w:r w:rsidDel="00000000" w:rsidR="00000000" w:rsidRPr="00000000">
        <w:rPr>
          <w:rtl w:val="0"/>
        </w:rPr>
        <w:t xml:space="preserve">um </w:t>
      </w:r>
      <w:r w:rsidDel="00000000" w:rsidR="00000000" w:rsidRPr="00000000">
        <w:rPr>
          <w:color w:val="000000"/>
          <w:rtl w:val="0"/>
        </w:rPr>
        <w:t xml:space="preserve">members should complete all tabs in line with the instructions found within the bidder instructions tab of the Attachment 5a/5b</w:t>
      </w:r>
      <w:r w:rsidDel="00000000" w:rsidR="00000000" w:rsidRPr="00000000">
        <w:rPr>
          <w:rtl w:val="0"/>
        </w:rPr>
        <w:t xml:space="preserve"> FVRA</w:t>
      </w:r>
      <w:r w:rsidDel="00000000" w:rsidR="00000000" w:rsidRPr="00000000">
        <w:rPr>
          <w:color w:val="000000"/>
          <w:rtl w:val="0"/>
        </w:rPr>
        <w:t xml:space="preserve"> tool. </w:t>
      </w:r>
      <w:r w:rsidDel="00000000" w:rsidR="00000000" w:rsidRPr="00000000">
        <w:rPr>
          <w:rtl w:val="0"/>
        </w:rPr>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ind w:left="714" w:right="493" w:hanging="357"/>
        <w:rPr/>
      </w:pPr>
      <w:r w:rsidDel="00000000" w:rsidR="00000000" w:rsidRPr="00000000">
        <w:rPr>
          <w:color w:val="000000"/>
          <w:rtl w:val="0"/>
        </w:rPr>
        <w:t xml:space="preserve">If there are multiple lots and the threshold risk for the RAG status is dependent on lot value, bidders should select which lot(s) they are bidding for. Please note, a bidder who has submitted a tender for multiple lots, they and </w:t>
      </w:r>
      <w:r w:rsidDel="00000000" w:rsidR="00000000" w:rsidRPr="00000000">
        <w:rPr>
          <w:rtl w:val="0"/>
        </w:rPr>
        <w:t xml:space="preserve">consortium</w:t>
      </w:r>
      <w:r w:rsidDel="00000000" w:rsidR="00000000" w:rsidRPr="00000000">
        <w:rPr>
          <w:color w:val="000000"/>
          <w:rtl w:val="0"/>
        </w:rPr>
        <w:t xml:space="preserve"> members may be deemed ‘acceptable’ on lower risk lots but ‘not acceptable’ on higher risk lots.</w:t>
      </w:r>
      <w:r w:rsidDel="00000000" w:rsidR="00000000" w:rsidRPr="00000000">
        <w:rPr>
          <w:rtl w:val="0"/>
        </w:rPr>
      </w:r>
    </w:p>
    <w:p w:rsidR="00000000" w:rsidDel="00000000" w:rsidP="00000000" w:rsidRDefault="00000000" w:rsidRPr="00000000" w14:paraId="0000003A">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Where the financial information inputted by the bidder, or consorti</w:t>
      </w:r>
      <w:r w:rsidDel="00000000" w:rsidR="00000000" w:rsidRPr="00000000">
        <w:rPr>
          <w:rtl w:val="0"/>
        </w:rPr>
        <w:t xml:space="preserve">um</w:t>
      </w:r>
      <w:r w:rsidDel="00000000" w:rsidR="00000000" w:rsidRPr="00000000">
        <w:rPr>
          <w:color w:val="000000"/>
          <w:rtl w:val="0"/>
        </w:rPr>
        <w:t xml:space="preserve"> member into Attachment 5a</w:t>
      </w:r>
      <w:r w:rsidDel="00000000" w:rsidR="00000000" w:rsidRPr="00000000">
        <w:rPr>
          <w:rtl w:val="0"/>
        </w:rPr>
        <w:t xml:space="preserve">/5b FVRA </w:t>
      </w:r>
      <w:r w:rsidDel="00000000" w:rsidR="00000000" w:rsidRPr="00000000">
        <w:rPr>
          <w:color w:val="000000"/>
          <w:rtl w:val="0"/>
        </w:rPr>
        <w:t xml:space="preserve">tool and compared to the thresholds set by the CCS (see Authority RAG Thresholds tab and Annex 1), the following is calculated in the assessment (black) tabs:</w:t>
      </w:r>
      <w:r w:rsidDel="00000000" w:rsidR="00000000" w:rsidRPr="00000000">
        <w:rPr>
          <w:rtl w:val="0"/>
        </w:rPr>
      </w:r>
    </w:p>
    <w:p w:rsidR="00000000" w:rsidDel="00000000" w:rsidP="00000000" w:rsidRDefault="00000000" w:rsidRPr="00000000" w14:paraId="0000003B">
      <w:pPr>
        <w:numPr>
          <w:ilvl w:val="2"/>
          <w:numId w:val="6"/>
        </w:numPr>
        <w:pBdr>
          <w:top w:space="0" w:sz="0" w:val="nil"/>
          <w:left w:space="0" w:sz="0" w:val="nil"/>
          <w:bottom w:space="0" w:sz="0" w:val="nil"/>
          <w:right w:space="0" w:sz="0" w:val="nil"/>
          <w:between w:space="0" w:sz="0" w:val="nil"/>
        </w:pBdr>
        <w:ind w:left="2160" w:right="493" w:hanging="180"/>
        <w:rPr/>
      </w:pPr>
      <w:r w:rsidDel="00000000" w:rsidR="00000000" w:rsidRPr="00000000">
        <w:rPr>
          <w:color w:val="000000"/>
          <w:rtl w:val="0"/>
        </w:rPr>
        <w:t xml:space="preserve">a green result the bidder/</w:t>
      </w:r>
      <w:r w:rsidDel="00000000" w:rsidR="00000000" w:rsidRPr="00000000">
        <w:rPr>
          <w:rtl w:val="0"/>
        </w:rPr>
        <w:t xml:space="preserve">consortium</w:t>
      </w:r>
      <w:r w:rsidDel="00000000" w:rsidR="00000000" w:rsidRPr="00000000">
        <w:rPr>
          <w:color w:val="000000"/>
          <w:rtl w:val="0"/>
        </w:rPr>
        <w:t xml:space="preserve"> member passes the criteria and no further action is required</w:t>
      </w:r>
      <w:r w:rsidDel="00000000" w:rsidR="00000000" w:rsidRPr="00000000">
        <w:rPr>
          <w:rtl w:val="0"/>
        </w:rPr>
      </w:r>
    </w:p>
    <w:p w:rsidR="00000000" w:rsidDel="00000000" w:rsidP="00000000" w:rsidRDefault="00000000" w:rsidRPr="00000000" w14:paraId="0000003C">
      <w:pPr>
        <w:numPr>
          <w:ilvl w:val="2"/>
          <w:numId w:val="6"/>
        </w:numPr>
        <w:pBdr>
          <w:top w:space="0" w:sz="0" w:val="nil"/>
          <w:left w:space="0" w:sz="0" w:val="nil"/>
          <w:bottom w:space="0" w:sz="0" w:val="nil"/>
          <w:right w:space="0" w:sz="0" w:val="nil"/>
          <w:between w:space="0" w:sz="0" w:val="nil"/>
        </w:pBdr>
        <w:ind w:left="2160" w:right="493" w:hanging="180"/>
        <w:rPr/>
      </w:pPr>
      <w:r w:rsidDel="00000000" w:rsidR="00000000" w:rsidRPr="00000000">
        <w:rPr>
          <w:color w:val="000000"/>
          <w:rtl w:val="0"/>
        </w:rPr>
        <w:t xml:space="preserve">a red or amber result(s) this will not be an automatic fail. Bidders/</w:t>
      </w:r>
      <w:r w:rsidDel="00000000" w:rsidR="00000000" w:rsidRPr="00000000">
        <w:rPr>
          <w:rtl w:val="0"/>
        </w:rPr>
        <w:t xml:space="preserve">consortium</w:t>
      </w:r>
      <w:r w:rsidDel="00000000" w:rsidR="00000000" w:rsidRPr="00000000">
        <w:rPr>
          <w:color w:val="000000"/>
          <w:rtl w:val="0"/>
        </w:rPr>
        <w:t xml:space="preserve"> members must, however, use the black tabs</w:t>
      </w:r>
      <w:r w:rsidDel="00000000" w:rsidR="00000000" w:rsidRPr="00000000">
        <w:rPr>
          <w:color w:val="000000"/>
          <w:highlight w:val="white"/>
          <w:rtl w:val="0"/>
        </w:rPr>
        <w:t xml:space="preserve"> 3.1 to 3.3 to provide mitigating </w:t>
      </w:r>
      <w:r w:rsidDel="00000000" w:rsidR="00000000" w:rsidRPr="00000000">
        <w:rPr>
          <w:color w:val="000000"/>
          <w:rtl w:val="0"/>
        </w:rPr>
        <w:t xml:space="preserve">commentary against any red or amber results and CCS will take such explanations into consideration in its assessment of the economical financial assessment. As well, CCS may seek further clarifications from the bidder/</w:t>
      </w:r>
      <w:r w:rsidDel="00000000" w:rsidR="00000000" w:rsidRPr="00000000">
        <w:rPr>
          <w:rtl w:val="0"/>
        </w:rPr>
        <w:t xml:space="preserve">consortium</w:t>
      </w:r>
      <w:r w:rsidDel="00000000" w:rsidR="00000000" w:rsidRPr="00000000">
        <w:rPr>
          <w:color w:val="000000"/>
          <w:rtl w:val="0"/>
        </w:rPr>
        <w:t xml:space="preserve"> member.</w:t>
        <w:br w:type="textWrapping"/>
      </w:r>
      <w:r w:rsidDel="00000000" w:rsidR="00000000" w:rsidRPr="00000000">
        <w:rPr>
          <w:rtl w:val="0"/>
        </w:rPr>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ind w:left="714" w:right="493" w:hanging="357"/>
        <w:rPr/>
      </w:pPr>
      <w:r w:rsidDel="00000000" w:rsidR="00000000" w:rsidRPr="00000000">
        <w:rPr>
          <w:rtl w:val="0"/>
        </w:rPr>
        <w:t xml:space="preserve">If CCS requires clarification or further information, explanations, it will send a message to the bidder through the Digital Platform messaging system. Bidders must respond to these requests within timeframes set in the individual messages.</w:t>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ind w:left="714" w:right="493" w:hanging="357"/>
        <w:rPr/>
      </w:pPr>
      <w:r w:rsidDel="00000000" w:rsidR="00000000" w:rsidRPr="00000000">
        <w:rPr>
          <w:color w:val="000000"/>
          <w:rtl w:val="0"/>
        </w:rPr>
        <w:t xml:space="preserve">FVRA criteria 7 Net Asset Value is the only ratio which doesn’t involve a fraction.  To achieve green – low risk – the bidder/</w:t>
      </w:r>
      <w:r w:rsidDel="00000000" w:rsidR="00000000" w:rsidRPr="00000000">
        <w:rPr>
          <w:rtl w:val="0"/>
        </w:rPr>
        <w:t xml:space="preserve">consortium</w:t>
      </w:r>
      <w:r w:rsidDel="00000000" w:rsidR="00000000" w:rsidRPr="00000000">
        <w:rPr>
          <w:color w:val="000000"/>
          <w:rtl w:val="0"/>
        </w:rPr>
        <w:t xml:space="preserve"> member must be in a positive Net Asset position. If it is in a Net Liabilities position, then they are classed as high risk.</w:t>
      </w:r>
      <w:r w:rsidDel="00000000" w:rsidR="00000000" w:rsidRPr="00000000">
        <w:br w:type="page"/>
      </w:r>
      <w:r w:rsidDel="00000000" w:rsidR="00000000" w:rsidRPr="00000000">
        <w:rPr>
          <w:rtl w:val="0"/>
        </w:rPr>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ind w:left="714" w:right="493" w:hanging="357"/>
        <w:rPr/>
      </w:pPr>
      <w:r w:rsidDel="00000000" w:rsidR="00000000" w:rsidRPr="00000000">
        <w:rPr>
          <w:color w:val="000000"/>
          <w:rtl w:val="0"/>
        </w:rPr>
        <w:t xml:space="preserve">All bidders and </w:t>
      </w:r>
      <w:r w:rsidDel="00000000" w:rsidR="00000000" w:rsidRPr="00000000">
        <w:rPr>
          <w:rtl w:val="0"/>
        </w:rPr>
        <w:t xml:space="preserve">consortium</w:t>
      </w:r>
      <w:r w:rsidDel="00000000" w:rsidR="00000000" w:rsidRPr="00000000">
        <w:rPr>
          <w:color w:val="000000"/>
          <w:rtl w:val="0"/>
        </w:rPr>
        <w:t xml:space="preserve"> members must </w:t>
      </w:r>
      <w:r w:rsidDel="00000000" w:rsidR="00000000" w:rsidRPr="00000000">
        <w:rPr>
          <w:strike w:val="1"/>
          <w:color w:val="000000"/>
          <w:rtl w:val="0"/>
        </w:rPr>
        <w:t xml:space="preserve">provide copies of: </w:t>
      </w:r>
      <w:r w:rsidDel="00000000" w:rsidR="00000000" w:rsidRPr="00000000">
        <w:rPr>
          <w:color w:val="ff0000"/>
          <w:rtl w:val="0"/>
        </w:rPr>
        <w:t xml:space="preserve">upload to the Central Digital Platform copies of:</w:t>
      </w:r>
    </w:p>
    <w:p w:rsidR="00000000" w:rsidDel="00000000" w:rsidP="00000000" w:rsidRDefault="00000000" w:rsidRPr="00000000" w14:paraId="00000040">
      <w:pPr>
        <w:numPr>
          <w:ilvl w:val="1"/>
          <w:numId w:val="5"/>
        </w:numPr>
        <w:pBdr>
          <w:top w:space="0" w:sz="0" w:val="nil"/>
          <w:left w:space="0" w:sz="0" w:val="nil"/>
          <w:bottom w:space="0" w:sz="0" w:val="nil"/>
          <w:right w:space="0" w:sz="0" w:val="nil"/>
          <w:between w:space="0" w:sz="0" w:val="nil"/>
        </w:pBdr>
        <w:ind w:left="1434" w:right="493" w:hanging="357"/>
        <w:rPr/>
      </w:pPr>
      <w:r w:rsidDel="00000000" w:rsidR="00000000" w:rsidRPr="00000000">
        <w:rPr>
          <w:color w:val="000000"/>
          <w:rtl w:val="0"/>
        </w:rPr>
        <w:t xml:space="preserve">their published accounts for the last 2 years covering a 3-year period (for clarity, each set of accounts contains 2 years, therefore by providing 2 sets, this provides their financials for a period of 3 years as per FVRA template). These accounts should be made up of a Profit and Loss or Income Statement and a Balance Sheet or statement of financial position.</w:t>
      </w:r>
      <w:r w:rsidDel="00000000" w:rsidR="00000000" w:rsidRPr="00000000">
        <w:rPr>
          <w:rtl w:val="0"/>
        </w:rPr>
      </w:r>
    </w:p>
    <w:p w:rsidR="00000000" w:rsidDel="00000000" w:rsidP="00000000" w:rsidRDefault="00000000" w:rsidRPr="00000000" w14:paraId="00000041">
      <w:pPr>
        <w:numPr>
          <w:ilvl w:val="1"/>
          <w:numId w:val="5"/>
        </w:numPr>
        <w:pBdr>
          <w:top w:space="0" w:sz="0" w:val="nil"/>
          <w:left w:space="0" w:sz="0" w:val="nil"/>
          <w:bottom w:space="0" w:sz="0" w:val="nil"/>
          <w:right w:space="0" w:sz="0" w:val="nil"/>
          <w:between w:space="0" w:sz="0" w:val="nil"/>
        </w:pBdr>
        <w:ind w:left="1434" w:right="493" w:hanging="357"/>
        <w:rPr/>
      </w:pPr>
      <w:r w:rsidDel="00000000" w:rsidR="00000000" w:rsidRPr="00000000">
        <w:rPr>
          <w:color w:val="000000"/>
          <w:rtl w:val="0"/>
        </w:rPr>
        <w:t xml:space="preserve">the published accounts of the parent company for the last 2 years to include statements as detailed in point ‘a’ above.</w:t>
      </w:r>
      <w:r w:rsidDel="00000000" w:rsidR="00000000" w:rsidRPr="00000000">
        <w:rPr>
          <w:rtl w:val="0"/>
        </w:rPr>
      </w:r>
    </w:p>
    <w:p w:rsidR="00000000" w:rsidDel="00000000" w:rsidP="00000000" w:rsidRDefault="00000000" w:rsidRPr="00000000" w14:paraId="00000042">
      <w:pPr>
        <w:numPr>
          <w:ilvl w:val="1"/>
          <w:numId w:val="5"/>
        </w:numPr>
        <w:pBdr>
          <w:top w:space="0" w:sz="0" w:val="nil"/>
          <w:left w:space="0" w:sz="0" w:val="nil"/>
          <w:bottom w:space="0" w:sz="0" w:val="nil"/>
          <w:right w:space="0" w:sz="0" w:val="nil"/>
          <w:between w:space="0" w:sz="0" w:val="nil"/>
        </w:pBdr>
        <w:ind w:left="1434" w:right="493" w:hanging="357"/>
        <w:rPr/>
      </w:pPr>
      <w:r w:rsidDel="00000000" w:rsidR="00000000" w:rsidRPr="00000000">
        <w:rPr>
          <w:color w:val="000000"/>
          <w:rtl w:val="0"/>
        </w:rPr>
        <w:t xml:space="preserve">ultimate parent published accounts for the last 2 years (as per point ‘a’ above) along with their completed Attachment 5a</w:t>
      </w:r>
      <w:r w:rsidDel="00000000" w:rsidR="00000000" w:rsidRPr="00000000">
        <w:rPr>
          <w:color w:val="ff0000"/>
          <w:rtl w:val="0"/>
        </w:rPr>
        <w:t xml:space="preserve">/b</w:t>
      </w:r>
      <w:r w:rsidDel="00000000" w:rsidR="00000000" w:rsidRPr="00000000">
        <w:rPr>
          <w:rtl w:val="0"/>
        </w:rPr>
        <w:t xml:space="preserve"> </w:t>
      </w:r>
      <w:r w:rsidDel="00000000" w:rsidR="00000000" w:rsidRPr="00000000">
        <w:rPr>
          <w:strike w:val="1"/>
          <w:color w:val="000000"/>
          <w:rtl w:val="0"/>
        </w:rPr>
        <w:t xml:space="preserve">Financial viability risk assessment</w:t>
      </w:r>
      <w:r w:rsidDel="00000000" w:rsidR="00000000" w:rsidRPr="00000000">
        <w:rPr>
          <w:color w:val="000000"/>
          <w:rtl w:val="0"/>
        </w:rPr>
        <w:t xml:space="preserve"> </w:t>
      </w:r>
      <w:r w:rsidDel="00000000" w:rsidR="00000000" w:rsidRPr="00000000">
        <w:rPr>
          <w:color w:val="ff0000"/>
          <w:rtl w:val="0"/>
        </w:rPr>
        <w:t xml:space="preserve">FVRA</w:t>
      </w:r>
      <w:r w:rsidDel="00000000" w:rsidR="00000000" w:rsidRPr="00000000">
        <w:rPr>
          <w:color w:val="000000"/>
          <w:rtl w:val="0"/>
        </w:rPr>
        <w:t xml:space="preserve"> tool. In line with the ‘Guidance Note’ any qualified accounts will receive additional scrutiny.</w:t>
      </w:r>
      <w:r w:rsidDel="00000000" w:rsidR="00000000" w:rsidRPr="00000000">
        <w:rPr>
          <w:rtl w:val="0"/>
        </w:rPr>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ind w:left="924" w:right="493" w:hanging="567"/>
        <w:rPr>
          <w:color w:val="000000"/>
        </w:rPr>
      </w:pPr>
      <w:bookmarkStart w:colFirst="0" w:colLast="0" w:name="_heading=h.a54z9y8f94y1" w:id="6"/>
      <w:bookmarkEnd w:id="6"/>
      <w:r w:rsidDel="00000000" w:rsidR="00000000" w:rsidRPr="00000000">
        <w:rPr>
          <w:color w:val="000000"/>
          <w:rtl w:val="0"/>
        </w:rPr>
        <w:t xml:space="preserve">Bidders'/consorti</w:t>
      </w:r>
      <w:r w:rsidDel="00000000" w:rsidR="00000000" w:rsidRPr="00000000">
        <w:rPr>
          <w:rtl w:val="0"/>
        </w:rPr>
        <w:t xml:space="preserve">um</w:t>
      </w:r>
      <w:r w:rsidDel="00000000" w:rsidR="00000000" w:rsidRPr="00000000">
        <w:rPr>
          <w:color w:val="000000"/>
          <w:rtl w:val="0"/>
        </w:rPr>
        <w:t xml:space="preserve"> members’ financial accounts and supporting information should be in English and in UK Sterling. If the original documents are not in English, please provide copies of the originals and a certified translation into English. If the sums in the accounts are not expressed in UK </w:t>
      </w:r>
      <w:r w:rsidDel="00000000" w:rsidR="00000000" w:rsidRPr="00000000">
        <w:rPr>
          <w:color w:val="000000"/>
          <w:sz w:val="24"/>
          <w:szCs w:val="24"/>
          <w:rtl w:val="0"/>
        </w:rPr>
        <w:t xml:space="preserve">S</w:t>
      </w:r>
      <w:r w:rsidDel="00000000" w:rsidR="00000000" w:rsidRPr="00000000">
        <w:rPr>
          <w:color w:val="000000"/>
          <w:rtl w:val="0"/>
        </w:rPr>
        <w:t xml:space="preserve">terling then copies of the original accounts, shall be provided together with a UK </w:t>
      </w:r>
      <w:r w:rsidDel="00000000" w:rsidR="00000000" w:rsidRPr="00000000">
        <w:rPr>
          <w:color w:val="000000"/>
          <w:sz w:val="24"/>
          <w:szCs w:val="24"/>
          <w:rtl w:val="0"/>
        </w:rPr>
        <w:t xml:space="preserve">S</w:t>
      </w:r>
      <w:r w:rsidDel="00000000" w:rsidR="00000000" w:rsidRPr="00000000">
        <w:rPr>
          <w:color w:val="000000"/>
          <w:rtl w:val="0"/>
        </w:rPr>
        <w:t xml:space="preserve">terling rate equivalent copy utilising the pound buys exchange rate applicable on the date of auditor issue of the financial statement. International accounts for the parent companies can be recorded in the local currency, using rows 15 to 17 to apply the applicable currency exchange rate to present the figures in GBP. </w:t>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ind w:left="924" w:right="493" w:hanging="567"/>
        <w:rPr/>
      </w:pPr>
      <w:r w:rsidDel="00000000" w:rsidR="00000000" w:rsidRPr="00000000">
        <w:rPr>
          <w:color w:val="000000"/>
          <w:rtl w:val="0"/>
        </w:rPr>
        <w:t xml:space="preserve">Each bidder/</w:t>
      </w:r>
      <w:r w:rsidDel="00000000" w:rsidR="00000000" w:rsidRPr="00000000">
        <w:rPr>
          <w:rtl w:val="0"/>
        </w:rPr>
        <w:t xml:space="preserve">consortium</w:t>
      </w:r>
      <w:r w:rsidDel="00000000" w:rsidR="00000000" w:rsidRPr="00000000">
        <w:rPr>
          <w:color w:val="000000"/>
          <w:rtl w:val="0"/>
        </w:rPr>
        <w:t xml:space="preserve"> member must set out the following information:</w:t>
      </w:r>
      <w:r w:rsidDel="00000000" w:rsidR="00000000" w:rsidRPr="00000000">
        <w:rPr>
          <w:rtl w:val="0"/>
        </w:rPr>
      </w:r>
    </w:p>
    <w:p w:rsidR="00000000" w:rsidDel="00000000" w:rsidP="00000000" w:rsidRDefault="00000000" w:rsidRPr="00000000" w14:paraId="00000045">
      <w:pPr>
        <w:numPr>
          <w:ilvl w:val="1"/>
          <w:numId w:val="8"/>
        </w:numPr>
        <w:pBdr>
          <w:top w:space="0" w:sz="0" w:val="nil"/>
          <w:left w:space="0" w:sz="0" w:val="nil"/>
          <w:bottom w:space="0" w:sz="0" w:val="nil"/>
          <w:right w:space="0" w:sz="0" w:val="nil"/>
          <w:between w:space="0" w:sz="0" w:val="nil"/>
        </w:pBdr>
        <w:ind w:left="1434" w:right="493" w:hanging="357"/>
        <w:rPr/>
      </w:pPr>
      <w:r w:rsidDel="00000000" w:rsidR="00000000" w:rsidRPr="00000000">
        <w:rPr>
          <w:color w:val="000000"/>
          <w:rtl w:val="0"/>
        </w:rPr>
        <w:t xml:space="preserve">any key events or movements in its/their financial position that have a bearing on the financial standing of the bidder that have occurred since the most recent published accounts;</w:t>
      </w:r>
      <w:r w:rsidDel="00000000" w:rsidR="00000000" w:rsidRPr="00000000">
        <w:rPr>
          <w:rtl w:val="0"/>
        </w:rPr>
      </w:r>
    </w:p>
    <w:p w:rsidR="00000000" w:rsidDel="00000000" w:rsidP="00000000" w:rsidRDefault="00000000" w:rsidRPr="00000000" w14:paraId="00000046">
      <w:pPr>
        <w:numPr>
          <w:ilvl w:val="1"/>
          <w:numId w:val="8"/>
        </w:numPr>
        <w:pBdr>
          <w:top w:space="0" w:sz="0" w:val="nil"/>
          <w:left w:space="0" w:sz="0" w:val="nil"/>
          <w:bottom w:space="0" w:sz="0" w:val="nil"/>
          <w:right w:space="0" w:sz="0" w:val="nil"/>
          <w:between w:space="0" w:sz="0" w:val="nil"/>
        </w:pBdr>
        <w:ind w:left="1434" w:right="493" w:hanging="357"/>
        <w:rPr/>
      </w:pPr>
      <w:r w:rsidDel="00000000" w:rsidR="00000000" w:rsidRPr="00000000">
        <w:rPr>
          <w:color w:val="000000"/>
          <w:rtl w:val="0"/>
        </w:rPr>
        <w:t xml:space="preserve">any information relating to factors that have a bearing on the financial standing of the bidder that require a more detailed explanation than is given in the information provided in </w:t>
      </w:r>
      <w:r w:rsidDel="00000000" w:rsidR="00000000" w:rsidRPr="00000000">
        <w:rPr>
          <w:rtl w:val="0"/>
        </w:rPr>
        <w:t xml:space="preserve">Attachment 5a</w:t>
      </w:r>
      <w:r w:rsidDel="00000000" w:rsidR="00000000" w:rsidRPr="00000000">
        <w:rPr>
          <w:color w:val="ff0000"/>
          <w:rtl w:val="0"/>
        </w:rPr>
        <w:t xml:space="preserve">/b</w:t>
      </w:r>
      <w:r w:rsidDel="00000000" w:rsidR="00000000" w:rsidRPr="00000000">
        <w:rPr>
          <w:rtl w:val="0"/>
        </w:rPr>
        <w:t xml:space="preserve"> </w:t>
      </w:r>
      <w:r w:rsidDel="00000000" w:rsidR="00000000" w:rsidRPr="00000000">
        <w:rPr>
          <w:strike w:val="1"/>
          <w:rtl w:val="0"/>
        </w:rPr>
        <w:t xml:space="preserve">Financial viability risk assessment</w:t>
      </w:r>
      <w:r w:rsidDel="00000000" w:rsidR="00000000" w:rsidRPr="00000000">
        <w:rPr>
          <w:rtl w:val="0"/>
        </w:rPr>
        <w:t xml:space="preserve"> </w:t>
      </w:r>
      <w:r w:rsidDel="00000000" w:rsidR="00000000" w:rsidRPr="00000000">
        <w:rPr>
          <w:color w:val="ff0000"/>
          <w:rtl w:val="0"/>
        </w:rPr>
        <w:t xml:space="preserve">FVRA</w:t>
      </w:r>
      <w:r w:rsidDel="00000000" w:rsidR="00000000" w:rsidRPr="00000000">
        <w:rPr>
          <w:rtl w:val="0"/>
        </w:rPr>
        <w:t xml:space="preserve"> tool</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47">
      <w:pPr>
        <w:numPr>
          <w:ilvl w:val="1"/>
          <w:numId w:val="8"/>
        </w:numPr>
        <w:pBdr>
          <w:top w:space="0" w:sz="0" w:val="nil"/>
          <w:left w:space="0" w:sz="0" w:val="nil"/>
          <w:bottom w:space="0" w:sz="0" w:val="nil"/>
          <w:right w:space="0" w:sz="0" w:val="nil"/>
          <w:between w:space="0" w:sz="0" w:val="nil"/>
        </w:pBdr>
        <w:ind w:left="1434" w:right="493" w:hanging="357"/>
        <w:rPr/>
      </w:pPr>
      <w:r w:rsidDel="00000000" w:rsidR="00000000" w:rsidRPr="00000000">
        <w:rPr>
          <w:color w:val="000000"/>
          <w:rtl w:val="0"/>
        </w:rPr>
        <w:t xml:space="preserve">a statement, where relevant, that addresses any misreporting of factual information or information that has been publicly available in the last year which, in the bidder’s opinion, requires additional explanation.</w:t>
      </w:r>
      <w:r w:rsidDel="00000000" w:rsidR="00000000" w:rsidRPr="00000000">
        <w:rPr>
          <w:rtl w:val="0"/>
        </w:rPr>
      </w:r>
    </w:p>
    <w:p w:rsidR="00000000" w:rsidDel="00000000" w:rsidP="00000000" w:rsidRDefault="00000000" w:rsidRPr="00000000" w14:paraId="00000048">
      <w:pPr>
        <w:ind w:left="1434" w:firstLine="0"/>
        <w:rPr/>
      </w:pPr>
      <w:r w:rsidDel="00000000" w:rsidR="00000000" w:rsidRPr="00000000">
        <w:rPr>
          <w:rtl w:val="0"/>
        </w:rPr>
        <w:t xml:space="preserve">If applicable this information must be uploaded as an attachment to the tender, see Appendix 1.</w:t>
      </w:r>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1"/>
        <w:rPr/>
      </w:pPr>
      <w:bookmarkStart w:colFirst="0" w:colLast="0" w:name="_heading=h.9y0iduuj1mbi" w:id="7"/>
      <w:bookmarkEnd w:id="7"/>
      <w:r w:rsidDel="00000000" w:rsidR="00000000" w:rsidRPr="00000000">
        <w:rPr>
          <w:rtl w:val="0"/>
        </w:rPr>
        <w:t xml:space="preserve">Prior to award of framework contracts</w:t>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ind w:left="924" w:right="493" w:hanging="567"/>
        <w:rPr/>
      </w:pPr>
      <w:r w:rsidDel="00000000" w:rsidR="00000000" w:rsidRPr="00000000">
        <w:rPr>
          <w:color w:val="000000"/>
          <w:rtl w:val="0"/>
        </w:rPr>
        <w:t xml:space="preserve">In line with clause 2.7.</w:t>
      </w:r>
      <w:r w:rsidDel="00000000" w:rsidR="00000000" w:rsidRPr="00000000">
        <w:rPr>
          <w:rtl w:val="0"/>
        </w:rPr>
        <w:t xml:space="preserve">6</w:t>
      </w:r>
      <w:r w:rsidDel="00000000" w:rsidR="00000000" w:rsidRPr="00000000">
        <w:rPr>
          <w:color w:val="000000"/>
          <w:rtl w:val="0"/>
        </w:rPr>
        <w:t xml:space="preserve"> of the ‘Guidance Note’, prior to award of the framework, bidders/</w:t>
      </w:r>
      <w:r w:rsidDel="00000000" w:rsidR="00000000" w:rsidRPr="00000000">
        <w:rPr>
          <w:rtl w:val="0"/>
        </w:rPr>
        <w:t xml:space="preserve">consortium</w:t>
      </w:r>
      <w:r w:rsidDel="00000000" w:rsidR="00000000" w:rsidRPr="00000000">
        <w:rPr>
          <w:color w:val="000000"/>
          <w:rtl w:val="0"/>
        </w:rPr>
        <w:t xml:space="preserve"> members will be individually asked to</w:t>
      </w:r>
      <w:r w:rsidDel="00000000" w:rsidR="00000000" w:rsidRPr="00000000">
        <w:rPr>
          <w:rtl w:val="0"/>
        </w:rPr>
      </w:r>
    </w:p>
    <w:p w:rsidR="00000000" w:rsidDel="00000000" w:rsidP="00000000" w:rsidRDefault="00000000" w:rsidRPr="00000000" w14:paraId="0000004B">
      <w:pPr>
        <w:numPr>
          <w:ilvl w:val="0"/>
          <w:numId w:val="7"/>
        </w:numPr>
        <w:pBdr>
          <w:top w:space="0" w:sz="0" w:val="nil"/>
          <w:left w:space="0" w:sz="0" w:val="nil"/>
          <w:bottom w:space="0" w:sz="0" w:val="nil"/>
          <w:right w:space="0" w:sz="0" w:val="nil"/>
          <w:between w:space="0" w:sz="0" w:val="nil"/>
        </w:pBdr>
        <w:ind w:left="1508" w:right="493" w:hanging="357"/>
        <w:rPr/>
      </w:pPr>
      <w:r w:rsidDel="00000000" w:rsidR="00000000" w:rsidRPr="00000000">
        <w:rPr>
          <w:color w:val="000000"/>
          <w:rtl w:val="0"/>
        </w:rPr>
        <w:t xml:space="preserve">make CCS aware of any adverse changes to their economic and financial standing that might adversely impact their ability to deliver required framework outputs.</w:t>
      </w:r>
      <w:r w:rsidDel="00000000" w:rsidR="00000000" w:rsidRPr="00000000">
        <w:rPr>
          <w:rtl w:val="0"/>
        </w:rPr>
      </w:r>
    </w:p>
    <w:p w:rsidR="00000000" w:rsidDel="00000000" w:rsidP="00000000" w:rsidRDefault="00000000" w:rsidRPr="00000000" w14:paraId="0000004C">
      <w:pPr>
        <w:numPr>
          <w:ilvl w:val="0"/>
          <w:numId w:val="7"/>
        </w:numPr>
        <w:pBdr>
          <w:top w:space="0" w:sz="0" w:val="nil"/>
          <w:left w:space="0" w:sz="0" w:val="nil"/>
          <w:bottom w:space="0" w:sz="0" w:val="nil"/>
          <w:right w:space="0" w:sz="0" w:val="nil"/>
          <w:between w:space="0" w:sz="0" w:val="nil"/>
        </w:pBdr>
        <w:ind w:left="1508" w:right="493" w:hanging="357"/>
        <w:rPr/>
      </w:pPr>
      <w:r w:rsidDel="00000000" w:rsidR="00000000" w:rsidRPr="00000000">
        <w:rPr>
          <w:color w:val="000000"/>
          <w:rtl w:val="0"/>
        </w:rPr>
        <w:t xml:space="preserve">CCS may require the resubmission of Attachment 5a/b </w:t>
      </w:r>
      <w:r w:rsidDel="00000000" w:rsidR="00000000" w:rsidRPr="00000000">
        <w:rPr>
          <w:rtl w:val="0"/>
        </w:rPr>
        <w:t xml:space="preserve">FVRA </w:t>
      </w:r>
      <w:r w:rsidDel="00000000" w:rsidR="00000000" w:rsidRPr="00000000">
        <w:rPr>
          <w:color w:val="000000"/>
          <w:rtl w:val="0"/>
        </w:rPr>
        <w:t xml:space="preserve">tool using latest available management accounts (or equivalent) data, such that the impact on FVRA threshold ratios can be understood.</w:t>
      </w:r>
      <w:r w:rsidDel="00000000" w:rsidR="00000000" w:rsidRPr="00000000">
        <w:rPr>
          <w:rtl w:val="0"/>
        </w:rPr>
      </w:r>
    </w:p>
    <w:p w:rsidR="00000000" w:rsidDel="00000000" w:rsidP="00000000" w:rsidRDefault="00000000" w:rsidRPr="00000000" w14:paraId="0000004D">
      <w:pPr>
        <w:ind w:left="924" w:right="493" w:firstLine="0"/>
        <w:rPr/>
      </w:pPr>
      <w:r w:rsidDel="00000000" w:rsidR="00000000" w:rsidRPr="00000000">
        <w:rPr>
          <w:rtl w:val="0"/>
        </w:rPr>
        <w:t xml:space="preserve">The resubmitted Attachment 5a/5b FVRA tool will then be appraised by CCS in line with the guidance above. If satisfactory mitigations cannot be provided for red or amber threshold results, the tender may be disregarded, as this condition of participation has not been satisfied. We will tell you that the tender has been disregarded and why.</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ind w:left="924" w:right="493" w:hanging="567"/>
        <w:rPr/>
      </w:pPr>
      <w:r w:rsidDel="00000000" w:rsidR="00000000" w:rsidRPr="00000000">
        <w:rPr>
          <w:color w:val="000000"/>
          <w:rtl w:val="0"/>
        </w:rPr>
        <w:t xml:space="preserve">Where, immediately prior to award of the framework, the last accounting information provided by bidders/</w:t>
      </w:r>
      <w:r w:rsidDel="00000000" w:rsidR="00000000" w:rsidRPr="00000000">
        <w:rPr>
          <w:rtl w:val="0"/>
        </w:rPr>
        <w:t xml:space="preserve">consortium</w:t>
      </w:r>
      <w:r w:rsidDel="00000000" w:rsidR="00000000" w:rsidRPr="00000000">
        <w:rPr>
          <w:color w:val="000000"/>
          <w:rtl w:val="0"/>
        </w:rPr>
        <w:t xml:space="preserve"> members  is over 12 calendar months old, they may be asked to resubmit </w:t>
      </w:r>
      <w:r w:rsidDel="00000000" w:rsidR="00000000" w:rsidRPr="00000000">
        <w:rPr>
          <w:rtl w:val="0"/>
        </w:rPr>
        <w:t xml:space="preserve">Attachment 5a/b FVRA </w:t>
      </w:r>
      <w:r w:rsidDel="00000000" w:rsidR="00000000" w:rsidRPr="00000000">
        <w:rPr>
          <w:color w:val="000000"/>
          <w:rtl w:val="0"/>
        </w:rPr>
        <w:t xml:space="preserve">tool using either:</w:t>
      </w:r>
      <w:r w:rsidDel="00000000" w:rsidR="00000000" w:rsidRPr="00000000">
        <w:rPr>
          <w:rtl w:val="0"/>
        </w:rPr>
      </w:r>
    </w:p>
    <w:p w:rsidR="00000000" w:rsidDel="00000000" w:rsidP="00000000" w:rsidRDefault="00000000" w:rsidRPr="00000000" w14:paraId="0000004F">
      <w:pPr>
        <w:numPr>
          <w:ilvl w:val="0"/>
          <w:numId w:val="7"/>
        </w:numPr>
        <w:pBdr>
          <w:top w:space="0" w:sz="0" w:val="nil"/>
          <w:left w:space="0" w:sz="0" w:val="nil"/>
          <w:bottom w:space="0" w:sz="0" w:val="nil"/>
          <w:right w:space="0" w:sz="0" w:val="nil"/>
          <w:between w:space="0" w:sz="0" w:val="nil"/>
        </w:pBdr>
        <w:ind w:left="1508" w:right="493" w:hanging="357"/>
        <w:rPr/>
      </w:pPr>
      <w:r w:rsidDel="00000000" w:rsidR="00000000" w:rsidRPr="00000000">
        <w:rPr>
          <w:color w:val="000000"/>
          <w:rtl w:val="0"/>
        </w:rPr>
        <w:t xml:space="preserve">Latest published accounts, where the accounts date falls within the last 12 months; or</w:t>
      </w:r>
      <w:r w:rsidDel="00000000" w:rsidR="00000000" w:rsidRPr="00000000">
        <w:rPr>
          <w:rtl w:val="0"/>
        </w:rPr>
      </w:r>
    </w:p>
    <w:p w:rsidR="00000000" w:rsidDel="00000000" w:rsidP="00000000" w:rsidRDefault="00000000" w:rsidRPr="00000000" w14:paraId="00000050">
      <w:pPr>
        <w:numPr>
          <w:ilvl w:val="0"/>
          <w:numId w:val="7"/>
        </w:numPr>
        <w:pBdr>
          <w:top w:space="0" w:sz="0" w:val="nil"/>
          <w:left w:space="0" w:sz="0" w:val="nil"/>
          <w:bottom w:space="0" w:sz="0" w:val="nil"/>
          <w:right w:space="0" w:sz="0" w:val="nil"/>
          <w:between w:space="0" w:sz="0" w:val="nil"/>
        </w:pBdr>
        <w:ind w:left="1508" w:right="493" w:hanging="357"/>
        <w:rPr/>
      </w:pPr>
      <w:r w:rsidDel="00000000" w:rsidR="00000000" w:rsidRPr="00000000">
        <w:rPr>
          <w:color w:val="000000"/>
          <w:rtl w:val="0"/>
        </w:rPr>
        <w:t xml:space="preserve">Management account (or equivalent) data, where the relevant year end period falls within the last 12 months.</w:t>
      </w:r>
      <w:r w:rsidDel="00000000" w:rsidR="00000000" w:rsidRPr="00000000">
        <w:rPr>
          <w:rtl w:val="0"/>
        </w:rPr>
      </w:r>
    </w:p>
    <w:p w:rsidR="00000000" w:rsidDel="00000000" w:rsidP="00000000" w:rsidRDefault="00000000" w:rsidRPr="00000000" w14:paraId="00000051">
      <w:pPr>
        <w:ind w:left="964" w:right="493" w:firstLine="0"/>
        <w:rPr/>
      </w:pPr>
      <w:r w:rsidDel="00000000" w:rsidR="00000000" w:rsidRPr="00000000">
        <w:rPr>
          <w:rtl w:val="0"/>
        </w:rPr>
        <w:t xml:space="preserve">The provisions above will then apply, and if bidders/consortium members are unable to provide satisfactory explanations and mitigations for red or amber threshold results, the tender may be disregarded as this condition of participation has not been satisfied. We will tell you that the tender has been disregarded and why.</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1"/>
        <w:rPr/>
      </w:pPr>
      <w:bookmarkStart w:colFirst="0" w:colLast="0" w:name="_heading=h.59vnuajgzgiu" w:id="8"/>
      <w:bookmarkEnd w:id="8"/>
      <w:r w:rsidDel="00000000" w:rsidR="00000000" w:rsidRPr="00000000">
        <w:rPr>
          <w:rtl w:val="0"/>
        </w:rPr>
        <w:t xml:space="preserve">Appendix 1 – How and where to submit the required information</w:t>
      </w:r>
    </w:p>
    <w:tbl>
      <w:tblPr>
        <w:tblStyle w:val="Table2"/>
        <w:tblW w:w="9960.0" w:type="dxa"/>
        <w:jc w:val="left"/>
        <w:tblInd w:w="102.0" w:type="dxa"/>
        <w:tblLayout w:type="fixed"/>
        <w:tblLook w:val="0000"/>
      </w:tblPr>
      <w:tblGrid>
        <w:gridCol w:w="4935"/>
        <w:gridCol w:w="5025"/>
        <w:tblGridChange w:id="0">
          <w:tblGrid>
            <w:gridCol w:w="4935"/>
            <w:gridCol w:w="5025"/>
          </w:tblGrid>
        </w:tblGridChange>
      </w:tblGrid>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5">
            <w:pPr>
              <w:spacing w:before="0" w:lineRule="auto"/>
              <w:ind w:right="493"/>
              <w:rPr/>
            </w:pPr>
            <w:r w:rsidDel="00000000" w:rsidR="00000000" w:rsidRPr="00000000">
              <w:rPr>
                <w:rtl w:val="0"/>
              </w:rPr>
              <w:t xml:space="preserve">What</w:t>
            </w:r>
          </w:p>
        </w:tc>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6">
            <w:pPr>
              <w:spacing w:before="0" w:lineRule="auto"/>
              <w:ind w:right="493"/>
              <w:rPr/>
            </w:pPr>
            <w:r w:rsidDel="00000000" w:rsidR="00000000" w:rsidRPr="00000000">
              <w:rPr>
                <w:rtl w:val="0"/>
              </w:rPr>
              <w:t xml:space="preserve">Section where to upload</w:t>
            </w:r>
          </w:p>
        </w:tc>
      </w:tr>
      <w:tr>
        <w:trPr>
          <w:cantSplit w:val="0"/>
          <w:trHeight w:val="5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7">
            <w:pPr>
              <w:spacing w:before="0" w:lineRule="auto"/>
              <w:ind w:right="493"/>
              <w:rPr>
                <w:b w:val="1"/>
                <w:bCs w:val="1"/>
              </w:rPr>
            </w:pPr>
            <w:r w:rsidDel="00000000" w:rsidR="00000000" w:rsidRPr="00000000">
              <w:rPr>
                <w:b w:val="1"/>
                <w:bCs w:val="1"/>
                <w:rtl w:val="0"/>
              </w:rPr>
              <w:t xml:space="preserve">Bidder  </w:t>
            </w:r>
          </w:p>
          <w:p w:rsidR="00000000" w:rsidDel="00000000" w:rsidP="00000000" w:rsidRDefault="00000000" w:rsidRPr="00000000" w14:paraId="00000058">
            <w:pPr>
              <w:spacing w:before="0" w:lineRule="auto"/>
              <w:ind w:right="493"/>
              <w:rPr>
                <w:b w:val="1"/>
                <w:bCs w:val="1"/>
              </w:rPr>
            </w:pPr>
            <w:r w:rsidDel="00000000" w:rsidR="00000000" w:rsidRPr="00000000">
              <w:rPr>
                <w:b w:val="1"/>
                <w:bCs w:val="1"/>
                <w:rtl w:val="0"/>
              </w:rPr>
              <w:t xml:space="preserve">Attachment 5a/b</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9">
            <w:pPr>
              <w:spacing w:before="0" w:lineRule="auto"/>
              <w:ind w:right="493"/>
              <w:rPr>
                <w:b w:val="1"/>
                <w:bCs w:val="1"/>
              </w:rPr>
            </w:pPr>
            <w:r w:rsidDel="00000000" w:rsidR="00000000" w:rsidRPr="00000000">
              <w:rPr>
                <w:b w:val="1"/>
                <w:bCs w:val="1"/>
                <w:rtl w:val="0"/>
              </w:rPr>
              <w:t xml:space="preserve">Financial Viability Risk Assessment (FVRA)</w:t>
            </w:r>
          </w:p>
        </w:tc>
      </w:tr>
      <w:tr>
        <w:trPr>
          <w:cantSplit w:val="0"/>
          <w:trHeight w:val="171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A">
            <w:pPr>
              <w:rPr/>
            </w:pPr>
            <w:r w:rsidDel="00000000" w:rsidR="00000000" w:rsidRPr="00000000">
              <w:rPr>
                <w:rtl w:val="0"/>
              </w:rPr>
              <w:t xml:space="preserve">Published accounts for the last (3 years) for</w:t>
            </w:r>
          </w:p>
          <w:p w:rsidR="00000000" w:rsidDel="00000000" w:rsidP="00000000" w:rsidRDefault="00000000" w:rsidRPr="00000000" w14:paraId="0000005B">
            <w:pPr>
              <w:numPr>
                <w:ilvl w:val="0"/>
                <w:numId w:val="1"/>
              </w:numPr>
              <w:spacing w:before="0" w:lineRule="auto"/>
              <w:ind w:left="357" w:right="493" w:hanging="360"/>
              <w:rPr>
                <w:rFonts w:ascii="Noto Sans Symbols" w:cs="Noto Sans Symbols" w:eastAsia="Noto Sans Symbols" w:hAnsi="Noto Sans Symbols"/>
              </w:rPr>
            </w:pPr>
            <w:r w:rsidDel="00000000" w:rsidR="00000000" w:rsidRPr="00000000">
              <w:rPr>
                <w:rtl w:val="0"/>
              </w:rPr>
              <w:t xml:space="preserve">Bidder (should be provided in the CDP. You are required to provide your share code from the CDP as part of your application to allow us to view this information)</w:t>
            </w:r>
          </w:p>
          <w:p w:rsidR="00000000" w:rsidDel="00000000" w:rsidP="00000000" w:rsidRDefault="00000000" w:rsidRPr="00000000" w14:paraId="0000005C">
            <w:pPr>
              <w:numPr>
                <w:ilvl w:val="0"/>
                <w:numId w:val="1"/>
              </w:numPr>
              <w:spacing w:before="0" w:lineRule="auto"/>
              <w:ind w:left="357" w:right="493" w:hanging="360"/>
              <w:rPr>
                <w:rFonts w:ascii="Noto Sans Symbols" w:cs="Noto Sans Symbols" w:eastAsia="Noto Sans Symbols" w:hAnsi="Noto Sans Symbols"/>
              </w:rPr>
            </w:pPr>
            <w:r w:rsidDel="00000000" w:rsidR="00000000" w:rsidRPr="00000000">
              <w:rPr>
                <w:rtl w:val="0"/>
              </w:rPr>
              <w:t xml:space="preserve">Bidders parent (if you have a parent company you are required to provide this information as an attachment when requested in the Financial Viability Risk Assessment section of the Digital Marketplace)</w:t>
            </w:r>
          </w:p>
          <w:p w:rsidR="00000000" w:rsidDel="00000000" w:rsidP="00000000" w:rsidRDefault="00000000" w:rsidRPr="00000000" w14:paraId="0000005D">
            <w:pPr>
              <w:numPr>
                <w:ilvl w:val="0"/>
                <w:numId w:val="1"/>
              </w:numPr>
              <w:spacing w:before="0" w:lineRule="auto"/>
              <w:ind w:left="357" w:right="493" w:hanging="360"/>
              <w:rPr>
                <w:rFonts w:ascii="Noto Sans Symbols" w:cs="Noto Sans Symbols" w:eastAsia="Noto Sans Symbols" w:hAnsi="Noto Sans Symbols"/>
              </w:rPr>
            </w:pPr>
            <w:r w:rsidDel="00000000" w:rsidR="00000000" w:rsidRPr="00000000">
              <w:rPr>
                <w:rtl w:val="0"/>
              </w:rPr>
              <w:t xml:space="preserve">Bidders ultimate parent (if you have an ultimate parent company, you are required to provide this information as an attachment when requested in the Financial Viability Risk Assessment section of the Digital Marketplace)</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F">
            <w:pPr>
              <w:rPr/>
            </w:pPr>
            <w:r w:rsidDel="00000000" w:rsidR="00000000" w:rsidRPr="00000000">
              <w:rPr>
                <w:rtl w:val="0"/>
              </w:rPr>
              <w:t xml:space="preserve">Any bidders draft accounts that you have chosen to provide </w:t>
            </w:r>
          </w:p>
          <w:p w:rsidR="00000000" w:rsidDel="00000000" w:rsidP="00000000" w:rsidRDefault="00000000" w:rsidRPr="00000000" w14:paraId="00000060">
            <w:pPr>
              <w:rPr/>
            </w:pPr>
            <w:r w:rsidDel="00000000" w:rsidR="00000000" w:rsidRPr="00000000">
              <w:rPr>
                <w:rtl w:val="0"/>
              </w:rPr>
              <w:t xml:space="preserve">In line with this document any qualified accounts will receive additional scrutiny.</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1">
            <w:pPr>
              <w:spacing w:after="0" w:before="0" w:line="240" w:lineRule="auto"/>
              <w:ind w:left="0" w:firstLine="0"/>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rPr>
                <w:color w:val="0b0c0c"/>
              </w:rPr>
            </w:pPr>
            <w:r w:rsidDel="00000000" w:rsidR="00000000" w:rsidRPr="00000000">
              <w:rPr>
                <w:rtl w:val="0"/>
              </w:rPr>
              <w:t xml:space="preserve">Any other supporting information relevant to your Attachment 5a/b submission that is not accessible via the Central Digital Platform. </w:t>
            </w:r>
            <w:r w:rsidDel="00000000" w:rsidR="00000000" w:rsidRPr="00000000">
              <w:rPr>
                <w:color w:val="0b0c0c"/>
                <w:rtl w:val="0"/>
              </w:rPr>
              <w:t xml:space="preserve">This may include:</w:t>
            </w:r>
          </w:p>
          <w:p w:rsidR="00000000" w:rsidDel="00000000" w:rsidP="00000000" w:rsidRDefault="00000000" w:rsidRPr="00000000" w14:paraId="00000063">
            <w:pPr>
              <w:numPr>
                <w:ilvl w:val="0"/>
                <w:numId w:val="9"/>
              </w:numPr>
              <w:shd w:fill="ffffff" w:val="clear"/>
              <w:spacing w:before="0" w:line="315" w:lineRule="auto"/>
              <w:ind w:left="720" w:right="0" w:hanging="360"/>
            </w:pPr>
            <w:r w:rsidDel="00000000" w:rsidR="00000000" w:rsidRPr="00000000">
              <w:rPr>
                <w:color w:val="0b0c0c"/>
                <w:rtl w:val="0"/>
              </w:rPr>
              <w:t xml:space="preserve">Profit and Loss or Income Statement</w:t>
            </w:r>
            <w:r w:rsidDel="00000000" w:rsidR="00000000" w:rsidRPr="00000000">
              <w:rPr>
                <w:rtl w:val="0"/>
              </w:rPr>
            </w:r>
          </w:p>
          <w:p w:rsidR="00000000" w:rsidDel="00000000" w:rsidP="00000000" w:rsidRDefault="00000000" w:rsidRPr="00000000" w14:paraId="00000064">
            <w:pPr>
              <w:numPr>
                <w:ilvl w:val="0"/>
                <w:numId w:val="9"/>
              </w:numPr>
              <w:shd w:fill="ffffff" w:val="clear"/>
              <w:spacing w:before="0" w:line="315" w:lineRule="auto"/>
              <w:ind w:left="720" w:right="0" w:hanging="360"/>
            </w:pPr>
            <w:r w:rsidDel="00000000" w:rsidR="00000000" w:rsidRPr="00000000">
              <w:rPr>
                <w:color w:val="0b0c0c"/>
                <w:rtl w:val="0"/>
              </w:rPr>
              <w:t xml:space="preserve">Statement of your financial position</w:t>
            </w:r>
            <w:r w:rsidDel="00000000" w:rsidR="00000000" w:rsidRPr="00000000">
              <w:rPr>
                <w:rtl w:val="0"/>
              </w:rPr>
            </w:r>
          </w:p>
          <w:p w:rsidR="00000000" w:rsidDel="00000000" w:rsidP="00000000" w:rsidRDefault="00000000" w:rsidRPr="00000000" w14:paraId="00000065">
            <w:pPr>
              <w:numPr>
                <w:ilvl w:val="0"/>
                <w:numId w:val="9"/>
              </w:numPr>
              <w:shd w:fill="ffffff" w:val="clear"/>
              <w:spacing w:after="380" w:before="0" w:line="315" w:lineRule="auto"/>
              <w:ind w:left="720" w:right="0" w:hanging="360"/>
            </w:pPr>
            <w:r w:rsidDel="00000000" w:rsidR="00000000" w:rsidRPr="00000000">
              <w:rPr>
                <w:color w:val="0b0c0c"/>
                <w:rtl w:val="0"/>
              </w:rPr>
              <w:t xml:space="preserve">Any additional supporting information, that you have chosen to provide in support of your Attachment 5a/b FVRA tool</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6">
            <w:pPr>
              <w:spacing w:after="0" w:before="0" w:line="240" w:lineRule="auto"/>
              <w:ind w:left="0" w:right="493" w:firstLine="0"/>
              <w:rPr/>
            </w:pPr>
            <w:r w:rsidDel="00000000" w:rsidR="00000000" w:rsidRPr="00000000">
              <w:rPr>
                <w:rtl w:val="0"/>
              </w:rPr>
            </w:r>
          </w:p>
        </w:tc>
      </w:tr>
      <w:tr>
        <w:trPr>
          <w:cantSplit w:val="0"/>
          <w:trHeight w:val="73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7">
            <w:pPr>
              <w:spacing w:before="0" w:lineRule="auto"/>
              <w:ind w:right="493"/>
              <w:rPr>
                <w:b w:val="1"/>
                <w:bCs w:val="1"/>
              </w:rPr>
            </w:pPr>
            <w:r w:rsidDel="00000000" w:rsidR="00000000" w:rsidRPr="00000000">
              <w:rPr>
                <w:b w:val="1"/>
                <w:bCs w:val="1"/>
                <w:rtl w:val="0"/>
              </w:rPr>
              <w:t xml:space="preserve">Consortium member Attachment 5a/b</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spacing w:before="0" w:lineRule="auto"/>
              <w:ind w:right="493"/>
              <w:rPr>
                <w:b w:val="1"/>
                <w:bCs w:val="1"/>
              </w:rPr>
            </w:pPr>
            <w:r w:rsidDel="00000000" w:rsidR="00000000" w:rsidRPr="00000000">
              <w:rPr>
                <w:b w:val="1"/>
                <w:bCs w:val="1"/>
                <w:rtl w:val="0"/>
              </w:rPr>
              <w:t xml:space="preserve">Financial Viability Risk Assessment (FVRA)</w:t>
            </w:r>
          </w:p>
        </w:tc>
      </w:tr>
      <w:tr>
        <w:trPr>
          <w:cantSplit w:val="0"/>
          <w:trHeight w:val="73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9">
            <w:pPr>
              <w:spacing w:before="0" w:lineRule="auto"/>
              <w:ind w:right="493"/>
              <w:rPr/>
            </w:pPr>
            <w:r w:rsidDel="00000000" w:rsidR="00000000" w:rsidRPr="00000000">
              <w:rPr>
                <w:rtl w:val="0"/>
              </w:rPr>
              <w:t xml:space="preserve">Published accounts for the last (3 years) for</w:t>
            </w:r>
          </w:p>
          <w:p w:rsidR="00000000" w:rsidDel="00000000" w:rsidP="00000000" w:rsidRDefault="00000000" w:rsidRPr="00000000" w14:paraId="0000006A">
            <w:pPr>
              <w:numPr>
                <w:ilvl w:val="0"/>
                <w:numId w:val="2"/>
              </w:numPr>
              <w:spacing w:before="0" w:lineRule="auto"/>
              <w:ind w:left="357" w:right="493" w:hanging="360"/>
            </w:pPr>
            <w:r w:rsidDel="00000000" w:rsidR="00000000" w:rsidRPr="00000000">
              <w:rPr>
                <w:rtl w:val="0"/>
              </w:rPr>
              <w:t xml:space="preserve">Each consortium member (this should be provided in the CDP. You are required to provide each consortium members share code from the CDP as part of your application to allow us to view this information)</w:t>
            </w:r>
          </w:p>
          <w:p w:rsidR="00000000" w:rsidDel="00000000" w:rsidP="00000000" w:rsidRDefault="00000000" w:rsidRPr="00000000" w14:paraId="0000006B">
            <w:pPr>
              <w:numPr>
                <w:ilvl w:val="0"/>
                <w:numId w:val="2"/>
              </w:numPr>
              <w:spacing w:before="0" w:lineRule="auto"/>
              <w:ind w:left="357" w:right="493" w:hanging="360"/>
            </w:pPr>
            <w:r w:rsidDel="00000000" w:rsidR="00000000" w:rsidRPr="00000000">
              <w:rPr>
                <w:rtl w:val="0"/>
              </w:rPr>
              <w:t xml:space="preserve">Each consortium members parent (if they have a parent company you are required to provide this information as an attachment when requested in the Financial Viability Risk Assessment section of the Digital Marketplace)</w:t>
            </w:r>
          </w:p>
          <w:p w:rsidR="00000000" w:rsidDel="00000000" w:rsidP="00000000" w:rsidRDefault="00000000" w:rsidRPr="00000000" w14:paraId="0000006C">
            <w:pPr>
              <w:numPr>
                <w:ilvl w:val="0"/>
                <w:numId w:val="2"/>
              </w:numPr>
              <w:spacing w:before="0" w:lineRule="auto"/>
              <w:ind w:left="357" w:right="493" w:hanging="360"/>
            </w:pPr>
            <w:r w:rsidDel="00000000" w:rsidR="00000000" w:rsidRPr="00000000">
              <w:rPr>
                <w:rtl w:val="0"/>
              </w:rPr>
              <w:t xml:space="preserve">Each consortium members ultimate parent (if they have an ultimate parent company, you are required to provide this information as an attachment when requested in the Financial Viability Risk Assessment section of the Digital Marketplace)</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spacing w:after="0" w:before="0" w:line="240" w:lineRule="auto"/>
              <w:ind w:left="0" w:right="493" w:firstLine="0"/>
              <w:rPr/>
            </w:pPr>
            <w:r w:rsidDel="00000000" w:rsidR="00000000" w:rsidRPr="00000000">
              <w:rPr>
                <w:rtl w:val="0"/>
              </w:rPr>
            </w:r>
          </w:p>
        </w:tc>
      </w:tr>
      <w:tr>
        <w:trPr>
          <w:cantSplit w:val="0"/>
          <w:trHeight w:val="73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spacing w:before="0" w:lineRule="auto"/>
              <w:ind w:right="493"/>
              <w:rPr/>
            </w:pPr>
            <w:r w:rsidDel="00000000" w:rsidR="00000000" w:rsidRPr="00000000">
              <w:rPr>
                <w:rtl w:val="0"/>
              </w:rPr>
              <w:t xml:space="preserve">Any consortia member draft accounts that they have chosen to provide. </w:t>
            </w:r>
          </w:p>
          <w:p w:rsidR="00000000" w:rsidDel="00000000" w:rsidP="00000000" w:rsidRDefault="00000000" w:rsidRPr="00000000" w14:paraId="0000006F">
            <w:pPr>
              <w:spacing w:before="0" w:lineRule="auto"/>
              <w:ind w:right="493"/>
              <w:rPr/>
            </w:pPr>
            <w:r w:rsidDel="00000000" w:rsidR="00000000" w:rsidRPr="00000000">
              <w:rPr>
                <w:rtl w:val="0"/>
              </w:rPr>
            </w:r>
          </w:p>
          <w:p w:rsidR="00000000" w:rsidDel="00000000" w:rsidP="00000000" w:rsidRDefault="00000000" w:rsidRPr="00000000" w14:paraId="00000070">
            <w:pPr>
              <w:spacing w:before="0" w:lineRule="auto"/>
              <w:ind w:right="493"/>
              <w:rPr/>
            </w:pPr>
            <w:r w:rsidDel="00000000" w:rsidR="00000000" w:rsidRPr="00000000">
              <w:rPr>
                <w:rtl w:val="0"/>
              </w:rPr>
              <w:t xml:space="preserve">In line with this document any qualified accounts will receive additional scrutiny.</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spacing w:after="0" w:before="0" w:line="240" w:lineRule="auto"/>
              <w:ind w:left="0" w:right="493" w:firstLine="0"/>
              <w:rPr/>
            </w:pPr>
            <w:r w:rsidDel="00000000" w:rsidR="00000000" w:rsidRPr="00000000">
              <w:rPr>
                <w:rtl w:val="0"/>
              </w:rPr>
            </w:r>
          </w:p>
        </w:tc>
      </w:tr>
    </w:tbl>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Style w:val="Heading1"/>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720" w:top="720" w:left="720" w:right="720" w:header="708" w:footer="56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1"/>
      <w:keepLines w:val="1"/>
      <w:pBdr>
        <w:top w:space="0" w:sz="0" w:val="nil"/>
        <w:left w:space="0" w:sz="0" w:val="nil"/>
        <w:bottom w:space="0" w:sz="0" w:val="nil"/>
        <w:right w:space="0" w:sz="0" w:val="nil"/>
        <w:between w:space="0" w:sz="0" w:val="nil"/>
      </w:pBdr>
      <w:spacing w:before="0" w:lineRule="auto"/>
      <w:ind w:left="40" w:right="62" w:firstLine="0"/>
      <w:rPr>
        <w:sz w:val="18"/>
        <w:szCs w:val="18"/>
      </w:rPr>
    </w:pPr>
    <w:r w:rsidDel="00000000" w:rsidR="00000000" w:rsidRPr="00000000">
      <w:rPr>
        <w:sz w:val="18"/>
        <w:szCs w:val="18"/>
        <w:rtl w:val="0"/>
      </w:rPr>
      <w:t xml:space="preserve">Financial viability risk assessment instructions v2.0 </w:t>
    </w:r>
  </w:p>
  <w:p w:rsidR="00000000" w:rsidDel="00000000" w:rsidP="00000000" w:rsidRDefault="00000000" w:rsidRPr="00000000" w14:paraId="00000088">
    <w:pPr>
      <w:keepNext w:val="1"/>
      <w:keepLines w:val="1"/>
      <w:pBdr>
        <w:top w:space="0" w:sz="0" w:val="nil"/>
        <w:left w:space="0" w:sz="0" w:val="nil"/>
        <w:bottom w:space="0" w:sz="0" w:val="nil"/>
        <w:right w:space="0" w:sz="0" w:val="nil"/>
        <w:between w:space="0" w:sz="0" w:val="nil"/>
      </w:pBdr>
      <w:spacing w:before="0" w:lineRule="auto"/>
      <w:ind w:left="40" w:right="62" w:firstLine="0"/>
      <w:rPr>
        <w:sz w:val="18"/>
        <w:szCs w:val="18"/>
        <w:highlight w:val="white"/>
      </w:rPr>
    </w:pPr>
    <w:r w:rsidDel="00000000" w:rsidR="00000000" w:rsidRPr="00000000">
      <w:rPr>
        <w:sz w:val="18"/>
        <w:szCs w:val="18"/>
        <w:rtl w:val="0"/>
      </w:rPr>
      <w:t xml:space="preserve">RM</w:t>
    </w:r>
    <w:r w:rsidDel="00000000" w:rsidR="00000000" w:rsidRPr="00000000">
      <w:rPr>
        <w:sz w:val="18"/>
        <w:szCs w:val="18"/>
        <w:highlight w:val="white"/>
        <w:rtl w:val="0"/>
      </w:rPr>
      <w:t xml:space="preserve">1557.15 G-Cloud.15</w:t>
    </w:r>
  </w:p>
  <w:p w:rsidR="00000000" w:rsidDel="00000000" w:rsidP="00000000" w:rsidRDefault="00000000" w:rsidRPr="00000000" w14:paraId="00000089">
    <w:pPr>
      <w:keepNext w:val="1"/>
      <w:keepLines w:val="1"/>
      <w:pBdr>
        <w:top w:space="0" w:sz="0" w:val="nil"/>
        <w:left w:space="0" w:sz="0" w:val="nil"/>
        <w:bottom w:space="0" w:sz="0" w:val="nil"/>
        <w:right w:space="0" w:sz="0" w:val="nil"/>
        <w:between w:space="0" w:sz="0" w:val="nil"/>
      </w:pBdr>
      <w:spacing w:before="0" w:lineRule="auto"/>
      <w:ind w:left="40" w:right="62" w:firstLine="0"/>
      <w:rPr>
        <w:sz w:val="18"/>
        <w:szCs w:val="18"/>
        <w:highlight w:val="yellow"/>
      </w:rPr>
    </w:pPr>
    <w:r w:rsidDel="00000000" w:rsidR="00000000" w:rsidRPr="00000000">
      <w:rPr>
        <w:sz w:val="18"/>
        <w:szCs w:val="18"/>
        <w:rtl w:val="0"/>
      </w:rPr>
      <w:t xml:space="preserve">Procurement identifier: 6</w:t>
    </w:r>
    <w:r w:rsidDel="00000000" w:rsidR="00000000" w:rsidRPr="00000000">
      <w:rPr>
        <w:sz w:val="18"/>
        <w:szCs w:val="18"/>
        <w:highlight w:val="white"/>
        <w:rtl w:val="0"/>
      </w:rPr>
      <w:t xml:space="preserve">ocds-h6vhtk-0504a3</w:t>
    </w:r>
    <w:r w:rsidDel="00000000" w:rsidR="00000000" w:rsidRPr="00000000">
      <w:rPr>
        <w:rtl w:val="0"/>
      </w:rPr>
    </w:r>
  </w:p>
  <w:p w:rsidR="00000000" w:rsidDel="00000000" w:rsidP="00000000" w:rsidRDefault="00000000" w:rsidRPr="00000000" w14:paraId="0000008A">
    <w:pPr>
      <w:keepNext w:val="1"/>
      <w:keepLines w:val="1"/>
      <w:pBdr>
        <w:top w:space="0" w:sz="0" w:val="nil"/>
        <w:left w:space="0" w:sz="0" w:val="nil"/>
        <w:bottom w:space="0" w:sz="0" w:val="nil"/>
        <w:right w:space="0" w:sz="0" w:val="nil"/>
        <w:between w:space="0" w:sz="0" w:val="nil"/>
      </w:pBdr>
      <w:spacing w:before="0" w:lineRule="auto"/>
      <w:ind w:left="40" w:right="62" w:firstLine="0"/>
      <w:rPr>
        <w:sz w:val="2"/>
        <w:szCs w:val="2"/>
      </w:rPr>
    </w:pPr>
    <w:bookmarkStart w:colFirst="0" w:colLast="0" w:name="_heading=h.pi1je5g5w5o8" w:id="9"/>
    <w:bookmarkEnd w:id="9"/>
    <w:r w:rsidDel="00000000" w:rsidR="00000000" w:rsidRPr="00000000">
      <w:rPr>
        <w:sz w:val="18"/>
        <w:szCs w:val="18"/>
        <w:rtl w:val="0"/>
      </w:rPr>
      <w:t xml:space="preserve">Model:PA23[Tem]063v0.</w:t>
    </w:r>
    <w:r w:rsidDel="00000000" w:rsidR="00000000" w:rsidRPr="00000000">
      <w:rPr>
        <w:rtl w:val="0"/>
      </w:rPr>
    </w:r>
  </w:p>
  <w:p w:rsidR="00000000" w:rsidDel="00000000" w:rsidP="00000000" w:rsidRDefault="00000000" w:rsidRPr="00000000" w14:paraId="0000008B">
    <w:pPr>
      <w:keepNext w:val="1"/>
      <w:keepLines w:val="1"/>
      <w:pBdr>
        <w:top w:space="0" w:sz="0" w:val="nil"/>
        <w:left w:space="0" w:sz="0" w:val="nil"/>
        <w:bottom w:space="0" w:sz="0" w:val="nil"/>
        <w:right w:space="0" w:sz="0" w:val="nil"/>
        <w:between w:space="0" w:sz="0" w:val="nil"/>
      </w:pBdr>
      <w:spacing w:before="0" w:lineRule="auto"/>
      <w:ind w:left="40" w:right="62" w:firstLine="0"/>
      <w:rPr>
        <w:sz w:val="18"/>
        <w:szCs w:val="18"/>
      </w:rPr>
    </w:pPr>
    <w:r w:rsidDel="00000000" w:rsidR="00000000" w:rsidRPr="00000000">
      <w:rPr>
        <w:sz w:val="18"/>
        <w:szCs w:val="18"/>
        <w:rtl w:val="0"/>
      </w:rPr>
      <w:t xml:space="preserve">Crown Copyright © 2024                                                                               </w:t>
      <w:tab/>
      <w:tab/>
      <w:tab/>
      <w:tab/>
      <w:tab/>
      <w:tab/>
      <w:t xml:space="preserve">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492"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492"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492"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drawing>
        <wp:inline distB="114300" distT="114300" distL="114300" distR="114300">
          <wp:extent cx="1238250" cy="10287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38250" cy="10287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492"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62" w:hanging="360"/>
      </w:pPr>
      <w:rPr>
        <w:u w:val="none"/>
      </w:rPr>
    </w:lvl>
    <w:lvl w:ilvl="1">
      <w:start w:val="1"/>
      <w:numFmt w:val="bullet"/>
      <w:lvlText w:val="o"/>
      <w:lvlJc w:val="left"/>
      <w:pPr>
        <w:ind w:left="1482" w:hanging="360"/>
      </w:pPr>
      <w:rPr>
        <w:u w:val="none"/>
      </w:rPr>
    </w:lvl>
    <w:lvl w:ilvl="2">
      <w:start w:val="1"/>
      <w:numFmt w:val="bullet"/>
      <w:lvlText w:val="▪"/>
      <w:lvlJc w:val="left"/>
      <w:pPr>
        <w:ind w:left="2202" w:hanging="360"/>
      </w:pPr>
      <w:rPr>
        <w:u w:val="none"/>
      </w:rPr>
    </w:lvl>
    <w:lvl w:ilvl="3">
      <w:start w:val="1"/>
      <w:numFmt w:val="bullet"/>
      <w:lvlText w:val="●"/>
      <w:lvlJc w:val="left"/>
      <w:pPr>
        <w:ind w:left="2922" w:hanging="360"/>
      </w:pPr>
      <w:rPr>
        <w:u w:val="none"/>
      </w:rPr>
    </w:lvl>
    <w:lvl w:ilvl="4">
      <w:start w:val="1"/>
      <w:numFmt w:val="bullet"/>
      <w:lvlText w:val="o"/>
      <w:lvlJc w:val="left"/>
      <w:pPr>
        <w:ind w:left="3642" w:hanging="360"/>
      </w:pPr>
      <w:rPr>
        <w:u w:val="none"/>
      </w:rPr>
    </w:lvl>
    <w:lvl w:ilvl="5">
      <w:start w:val="1"/>
      <w:numFmt w:val="bullet"/>
      <w:lvlText w:val="▪"/>
      <w:lvlJc w:val="left"/>
      <w:pPr>
        <w:ind w:left="4362" w:hanging="360"/>
      </w:pPr>
      <w:rPr>
        <w:u w:val="none"/>
      </w:rPr>
    </w:lvl>
    <w:lvl w:ilvl="6">
      <w:start w:val="1"/>
      <w:numFmt w:val="bullet"/>
      <w:lvlText w:val="●"/>
      <w:lvlJc w:val="left"/>
      <w:pPr>
        <w:ind w:left="5082" w:hanging="360"/>
      </w:pPr>
      <w:rPr>
        <w:u w:val="none"/>
      </w:rPr>
    </w:lvl>
    <w:lvl w:ilvl="7">
      <w:start w:val="1"/>
      <w:numFmt w:val="bullet"/>
      <w:lvlText w:val="o"/>
      <w:lvlJc w:val="left"/>
      <w:pPr>
        <w:ind w:left="5802" w:hanging="360"/>
      </w:pPr>
      <w:rPr>
        <w:u w:val="none"/>
      </w:rPr>
    </w:lvl>
    <w:lvl w:ilvl="8">
      <w:start w:val="1"/>
      <w:numFmt w:val="bullet"/>
      <w:lvlText w:val="▪"/>
      <w:lvlJc w:val="left"/>
      <w:pPr>
        <w:ind w:left="6522" w:hanging="360"/>
      </w:pPr>
      <w:rPr>
        <w:u w:val="none"/>
      </w:rPr>
    </w:lvl>
  </w:abstractNum>
  <w:abstractNum w:abstractNumId="2">
    <w:lvl w:ilvl="0">
      <w:start w:val="1"/>
      <w:numFmt w:val="bullet"/>
      <w:lvlText w:val="●"/>
      <w:lvlJc w:val="left"/>
      <w:pPr>
        <w:ind w:left="762" w:hanging="360"/>
      </w:pPr>
      <w:rPr>
        <w:rFonts w:ascii="Noto Sans Symbols" w:cs="Noto Sans Symbols" w:eastAsia="Noto Sans Symbols" w:hAnsi="Noto Sans Symbols"/>
      </w:rPr>
    </w:lvl>
    <w:lvl w:ilvl="1">
      <w:start w:val="1"/>
      <w:numFmt w:val="bullet"/>
      <w:lvlText w:val="o"/>
      <w:lvlJc w:val="left"/>
      <w:pPr>
        <w:ind w:left="1482" w:hanging="360"/>
      </w:pPr>
      <w:rPr>
        <w:rFonts w:ascii="Courier New" w:cs="Courier New" w:eastAsia="Courier New" w:hAnsi="Courier New"/>
      </w:rPr>
    </w:lvl>
    <w:lvl w:ilvl="2">
      <w:start w:val="1"/>
      <w:numFmt w:val="bullet"/>
      <w:lvlText w:val="▪"/>
      <w:lvlJc w:val="left"/>
      <w:pPr>
        <w:ind w:left="2202" w:hanging="360"/>
      </w:pPr>
      <w:rPr>
        <w:rFonts w:ascii="Noto Sans Symbols" w:cs="Noto Sans Symbols" w:eastAsia="Noto Sans Symbols" w:hAnsi="Noto Sans Symbols"/>
      </w:rPr>
    </w:lvl>
    <w:lvl w:ilvl="3">
      <w:start w:val="1"/>
      <w:numFmt w:val="bullet"/>
      <w:lvlText w:val="●"/>
      <w:lvlJc w:val="left"/>
      <w:pPr>
        <w:ind w:left="2922" w:hanging="360"/>
      </w:pPr>
      <w:rPr>
        <w:rFonts w:ascii="Noto Sans Symbols" w:cs="Noto Sans Symbols" w:eastAsia="Noto Sans Symbols" w:hAnsi="Noto Sans Symbols"/>
      </w:rPr>
    </w:lvl>
    <w:lvl w:ilvl="4">
      <w:start w:val="1"/>
      <w:numFmt w:val="bullet"/>
      <w:lvlText w:val="o"/>
      <w:lvlJc w:val="left"/>
      <w:pPr>
        <w:ind w:left="3642" w:hanging="360"/>
      </w:pPr>
      <w:rPr>
        <w:rFonts w:ascii="Courier New" w:cs="Courier New" w:eastAsia="Courier New" w:hAnsi="Courier New"/>
      </w:rPr>
    </w:lvl>
    <w:lvl w:ilvl="5">
      <w:start w:val="1"/>
      <w:numFmt w:val="bullet"/>
      <w:lvlText w:val="▪"/>
      <w:lvlJc w:val="left"/>
      <w:pPr>
        <w:ind w:left="4362" w:hanging="360"/>
      </w:pPr>
      <w:rPr>
        <w:rFonts w:ascii="Noto Sans Symbols" w:cs="Noto Sans Symbols" w:eastAsia="Noto Sans Symbols" w:hAnsi="Noto Sans Symbols"/>
      </w:rPr>
    </w:lvl>
    <w:lvl w:ilvl="6">
      <w:start w:val="1"/>
      <w:numFmt w:val="bullet"/>
      <w:lvlText w:val="●"/>
      <w:lvlJc w:val="left"/>
      <w:pPr>
        <w:ind w:left="5082" w:hanging="360"/>
      </w:pPr>
      <w:rPr>
        <w:rFonts w:ascii="Noto Sans Symbols" w:cs="Noto Sans Symbols" w:eastAsia="Noto Sans Symbols" w:hAnsi="Noto Sans Symbols"/>
      </w:rPr>
    </w:lvl>
    <w:lvl w:ilvl="7">
      <w:start w:val="1"/>
      <w:numFmt w:val="bullet"/>
      <w:lvlText w:val="o"/>
      <w:lvlJc w:val="left"/>
      <w:pPr>
        <w:ind w:left="5802" w:hanging="360"/>
      </w:pPr>
      <w:rPr>
        <w:rFonts w:ascii="Courier New" w:cs="Courier New" w:eastAsia="Courier New" w:hAnsi="Courier New"/>
      </w:rPr>
    </w:lvl>
    <w:lvl w:ilvl="8">
      <w:start w:val="1"/>
      <w:numFmt w:val="bullet"/>
      <w:lvlText w:val="▪"/>
      <w:lvlJc w:val="left"/>
      <w:pPr>
        <w:ind w:left="6522"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sz w:val="24"/>
        <w:szCs w:val="24"/>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o"/>
      <w:lvlJc w:val="left"/>
      <w:pPr>
        <w:ind w:left="1511" w:hanging="360"/>
      </w:pPr>
      <w:rPr>
        <w:rFonts w:ascii="Courier New" w:cs="Courier New" w:eastAsia="Courier New" w:hAnsi="Courier New"/>
      </w:rPr>
    </w:lvl>
    <w:lvl w:ilvl="1">
      <w:start w:val="1"/>
      <w:numFmt w:val="bullet"/>
      <w:lvlText w:val="o"/>
      <w:lvlJc w:val="left"/>
      <w:pPr>
        <w:ind w:left="2231" w:hanging="360"/>
      </w:pPr>
      <w:rPr>
        <w:rFonts w:ascii="Courier New" w:cs="Courier New" w:eastAsia="Courier New" w:hAnsi="Courier New"/>
      </w:rPr>
    </w:lvl>
    <w:lvl w:ilvl="2">
      <w:start w:val="1"/>
      <w:numFmt w:val="bullet"/>
      <w:lvlText w:val="▪"/>
      <w:lvlJc w:val="left"/>
      <w:pPr>
        <w:ind w:left="2951" w:hanging="360"/>
      </w:pPr>
      <w:rPr>
        <w:rFonts w:ascii="Noto Sans Symbols" w:cs="Noto Sans Symbols" w:eastAsia="Noto Sans Symbols" w:hAnsi="Noto Sans Symbols"/>
      </w:rPr>
    </w:lvl>
    <w:lvl w:ilvl="3">
      <w:start w:val="1"/>
      <w:numFmt w:val="bullet"/>
      <w:lvlText w:val="●"/>
      <w:lvlJc w:val="left"/>
      <w:pPr>
        <w:ind w:left="3671" w:hanging="360"/>
      </w:pPr>
      <w:rPr>
        <w:rFonts w:ascii="Noto Sans Symbols" w:cs="Noto Sans Symbols" w:eastAsia="Noto Sans Symbols" w:hAnsi="Noto Sans Symbols"/>
      </w:rPr>
    </w:lvl>
    <w:lvl w:ilvl="4">
      <w:start w:val="1"/>
      <w:numFmt w:val="bullet"/>
      <w:lvlText w:val="o"/>
      <w:lvlJc w:val="left"/>
      <w:pPr>
        <w:ind w:left="4391" w:hanging="360"/>
      </w:pPr>
      <w:rPr>
        <w:rFonts w:ascii="Courier New" w:cs="Courier New" w:eastAsia="Courier New" w:hAnsi="Courier New"/>
      </w:rPr>
    </w:lvl>
    <w:lvl w:ilvl="5">
      <w:start w:val="1"/>
      <w:numFmt w:val="bullet"/>
      <w:lvlText w:val="▪"/>
      <w:lvlJc w:val="left"/>
      <w:pPr>
        <w:ind w:left="5111" w:hanging="360"/>
      </w:pPr>
      <w:rPr>
        <w:rFonts w:ascii="Noto Sans Symbols" w:cs="Noto Sans Symbols" w:eastAsia="Noto Sans Symbols" w:hAnsi="Noto Sans Symbols"/>
      </w:rPr>
    </w:lvl>
    <w:lvl w:ilvl="6">
      <w:start w:val="1"/>
      <w:numFmt w:val="bullet"/>
      <w:lvlText w:val="●"/>
      <w:lvlJc w:val="left"/>
      <w:pPr>
        <w:ind w:left="5831" w:hanging="360"/>
      </w:pPr>
      <w:rPr>
        <w:rFonts w:ascii="Noto Sans Symbols" w:cs="Noto Sans Symbols" w:eastAsia="Noto Sans Symbols" w:hAnsi="Noto Sans Symbols"/>
      </w:rPr>
    </w:lvl>
    <w:lvl w:ilvl="7">
      <w:start w:val="1"/>
      <w:numFmt w:val="bullet"/>
      <w:lvlText w:val="o"/>
      <w:lvlJc w:val="left"/>
      <w:pPr>
        <w:ind w:left="6551" w:hanging="360"/>
      </w:pPr>
      <w:rPr>
        <w:rFonts w:ascii="Courier New" w:cs="Courier New" w:eastAsia="Courier New" w:hAnsi="Courier New"/>
      </w:rPr>
    </w:lvl>
    <w:lvl w:ilvl="8">
      <w:start w:val="1"/>
      <w:numFmt w:val="bullet"/>
      <w:lvlText w:val="▪"/>
      <w:lvlJc w:val="left"/>
      <w:pPr>
        <w:ind w:left="7271"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Arial" w:cs="Arial" w:eastAsia="Arial" w:hAnsi="Arial"/>
        <w:color w:val="0b0c0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7"/>
        <w:szCs w:val="27"/>
        <w:lang w:val="en_GB"/>
      </w:rPr>
    </w:rPrDefault>
    <w:pPrDefault>
      <w:pPr>
        <w:widowControl w:val="0"/>
        <w:spacing w:before="175" w:lineRule="auto"/>
        <w:ind w:right="492"/>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b w:val="1"/>
      <w:bCs w:val="1"/>
      <w:sz w:val="32"/>
      <w:szCs w:val="32"/>
    </w:rPr>
  </w:style>
  <w:style w:type="paragraph" w:styleId="Heading2">
    <w:name w:val="heading 2"/>
    <w:basedOn w:val="Normal"/>
    <w:next w:val="Normal"/>
    <w:pPr>
      <w:keepNext w:val="1"/>
      <w:keepLines w:val="1"/>
      <w:spacing w:after="80" w:before="360" w:lineRule="auto"/>
    </w:pPr>
    <w:rPr>
      <w:b w:val="1"/>
      <w:bCs w:val="1"/>
      <w:sz w:val="32"/>
      <w:szCs w:val="32"/>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240" w:before="360" w:lineRule="auto"/>
    </w:pPr>
    <w:rPr>
      <w:b w:val="1"/>
      <w:bCs w:val="1"/>
      <w:sz w:val="44"/>
      <w:szCs w:val="44"/>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D75BA5"/>
    <w:pPr>
      <w:spacing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75BA5"/>
    <w:rPr>
      <w:rFonts w:ascii="Segoe UI" w:cs="Segoe UI" w:hAnsi="Segoe UI"/>
      <w:sz w:val="18"/>
      <w:szCs w:val="18"/>
    </w:rPr>
  </w:style>
  <w:style w:type="paragraph" w:styleId="Header">
    <w:name w:val="header"/>
    <w:basedOn w:val="Normal"/>
    <w:link w:val="HeaderChar"/>
    <w:uiPriority w:val="99"/>
    <w:unhideWhenUsed w:val="1"/>
    <w:rsid w:val="00D75BA5"/>
    <w:pPr>
      <w:tabs>
        <w:tab w:val="center" w:pos="4513"/>
        <w:tab w:val="right" w:pos="9026"/>
      </w:tabs>
      <w:spacing w:before="0"/>
    </w:pPr>
  </w:style>
  <w:style w:type="character" w:styleId="HeaderChar" w:customStyle="1">
    <w:name w:val="Header Char"/>
    <w:basedOn w:val="DefaultParagraphFont"/>
    <w:link w:val="Header"/>
    <w:uiPriority w:val="99"/>
    <w:rsid w:val="00D75BA5"/>
  </w:style>
  <w:style w:type="paragraph" w:styleId="Footer">
    <w:name w:val="footer"/>
    <w:basedOn w:val="Normal"/>
    <w:link w:val="FooterChar"/>
    <w:uiPriority w:val="99"/>
    <w:unhideWhenUsed w:val="1"/>
    <w:rsid w:val="00D75BA5"/>
    <w:pPr>
      <w:tabs>
        <w:tab w:val="center" w:pos="4513"/>
        <w:tab w:val="right" w:pos="9026"/>
      </w:tabs>
      <w:spacing w:before="0"/>
    </w:pPr>
  </w:style>
  <w:style w:type="character" w:styleId="FooterChar" w:customStyle="1">
    <w:name w:val="Footer Char"/>
    <w:basedOn w:val="DefaultParagraphFont"/>
    <w:link w:val="Footer"/>
    <w:uiPriority w:val="99"/>
    <w:rsid w:val="00D75BA5"/>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the-sourcing-and-consultancy-playbooks/assessing-and-monitoring-the-economic-and-financial-standing-of-suppliers-guidance-note-html#:~:text=1%20The%20purpose%20of%20assessing,issues%20with%20bidders%27%20financial%20capacity."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the-sourcing-and-consultancy-playbooks/assessing-and-monitoring-the-economic-and-financial-standing-of-suppliers-guidance-note-html#:~:text=1%20The%20purpose%20of%20assessing,issues%20with%20bidders%27%20financial%20capacity." TargetMode="External"/><Relationship Id="rId8" Type="http://schemas.openxmlformats.org/officeDocument/2006/relationships/hyperlink" Target="https://assets.publishing.service.gov.uk/government/uploads/system/uploads/attachment_data/file/1163766/Sourcing_Playbook_Final.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KvzKyfQQGz44Qxo7pNfFcEOgHw==">CgMxLjAyDmgudXMxbXJ3M295NzBtMg5oLmUzY3htcGQxdDZyODIOaC43dmRlMGVzNms2bnMyDmguN3NlcG9zamZoYTM5Mg5oLmlsY3A0bHM3eDExcjIOaC54OHM1cnZ5MXJnYTcyDmguYTU0ejl5OGY5NHkxMg5oLjl5MGlkdXVqMW1iaTIOaC41OXZudWFqZ3pnaXUyDmgucGkxamU1ZzV3NW84OAByITFqVEYtZWNjZXVJM0dIMVpDazNtNHI3QjhldGJkeml5Rg==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2025-05-27T10:11:00Z</dcterms:created>
  <dc:creator>Fiona Ryan</dc:creator>
</cp:coreProperties>
</file>