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034" w:rsidRDefault="004B4480" w:rsidP="004B4480">
      <w:pPr>
        <w:rPr>
          <w:b/>
          <w:sz w:val="32"/>
          <w:szCs w:val="32"/>
        </w:rPr>
      </w:pPr>
      <w:bookmarkStart w:id="0" w:name="_GoBack"/>
      <w:bookmarkEnd w:id="0"/>
      <w:r w:rsidRPr="00C330C1">
        <w:rPr>
          <w:b/>
          <w:sz w:val="32"/>
          <w:szCs w:val="32"/>
        </w:rPr>
        <w:t xml:space="preserve">ANNEX D </w:t>
      </w:r>
    </w:p>
    <w:p w:rsidR="004B4480" w:rsidRPr="00C330C1" w:rsidRDefault="004B4480" w:rsidP="004B4480">
      <w:pPr>
        <w:rPr>
          <w:b/>
          <w:sz w:val="32"/>
          <w:szCs w:val="32"/>
        </w:rPr>
      </w:pPr>
      <w:r w:rsidRPr="00C330C1">
        <w:rPr>
          <w:b/>
          <w:sz w:val="32"/>
          <w:szCs w:val="32"/>
        </w:rPr>
        <w:t>FREQUENTLY ASKED QUESTIONS (FAQs)</w:t>
      </w:r>
    </w:p>
    <w:p w:rsidR="00FB10C4" w:rsidRDefault="00FB10C4" w:rsidP="003A091A">
      <w:pPr>
        <w:pStyle w:val="ListParagraph"/>
        <w:numPr>
          <w:ilvl w:val="0"/>
          <w:numId w:val="3"/>
        </w:numPr>
        <w:rPr>
          <w:b/>
          <w:sz w:val="28"/>
          <w:szCs w:val="28"/>
        </w:rPr>
      </w:pPr>
      <w:r w:rsidRPr="000D0441">
        <w:rPr>
          <w:b/>
          <w:sz w:val="28"/>
          <w:szCs w:val="28"/>
        </w:rPr>
        <w:t>When is the framework agreement available and when can I use it?</w:t>
      </w:r>
    </w:p>
    <w:p w:rsidR="000210C7" w:rsidRDefault="000210C7" w:rsidP="000210C7">
      <w:pPr>
        <w:pStyle w:val="ListParagraph"/>
        <w:ind w:left="0"/>
        <w:rPr>
          <w:sz w:val="24"/>
          <w:szCs w:val="24"/>
        </w:rPr>
      </w:pPr>
      <w:r w:rsidRPr="003A091A">
        <w:rPr>
          <w:sz w:val="24"/>
          <w:szCs w:val="24"/>
        </w:rPr>
        <w:t>You can use the framework a</w:t>
      </w:r>
      <w:r w:rsidR="00584FF0">
        <w:rPr>
          <w:sz w:val="24"/>
          <w:szCs w:val="24"/>
        </w:rPr>
        <w:t>greement now. It was signed on 1</w:t>
      </w:r>
      <w:r w:rsidR="00584FF0" w:rsidRPr="00584FF0">
        <w:rPr>
          <w:sz w:val="24"/>
          <w:szCs w:val="24"/>
          <w:vertAlign w:val="superscript"/>
        </w:rPr>
        <w:t>st</w:t>
      </w:r>
      <w:r w:rsidR="00584FF0">
        <w:rPr>
          <w:sz w:val="24"/>
          <w:szCs w:val="24"/>
        </w:rPr>
        <w:t xml:space="preserve"> March 2016 </w:t>
      </w:r>
      <w:r w:rsidRPr="003A091A">
        <w:rPr>
          <w:sz w:val="24"/>
          <w:szCs w:val="24"/>
        </w:rPr>
        <w:t xml:space="preserve">and valid until </w:t>
      </w:r>
      <w:r w:rsidR="00584FF0">
        <w:rPr>
          <w:sz w:val="24"/>
          <w:szCs w:val="24"/>
        </w:rPr>
        <w:t>28</w:t>
      </w:r>
      <w:r w:rsidR="00584FF0" w:rsidRPr="00584FF0">
        <w:rPr>
          <w:sz w:val="24"/>
          <w:szCs w:val="24"/>
          <w:vertAlign w:val="superscript"/>
        </w:rPr>
        <w:t>th</w:t>
      </w:r>
      <w:r w:rsidR="00584FF0">
        <w:rPr>
          <w:sz w:val="24"/>
          <w:szCs w:val="24"/>
        </w:rPr>
        <w:t xml:space="preserve"> February 2018</w:t>
      </w:r>
      <w:r w:rsidRPr="003A091A">
        <w:rPr>
          <w:sz w:val="24"/>
          <w:szCs w:val="24"/>
        </w:rPr>
        <w:t xml:space="preserve"> (with options to extend based on the terms of the framework agreement).</w:t>
      </w:r>
      <w:r>
        <w:rPr>
          <w:sz w:val="24"/>
          <w:szCs w:val="24"/>
        </w:rPr>
        <w:t xml:space="preserve"> </w:t>
      </w:r>
      <w:r w:rsidRPr="003A091A">
        <w:rPr>
          <w:sz w:val="24"/>
          <w:szCs w:val="24"/>
        </w:rPr>
        <w:t>You can use the framework as a basis for ordering services at any time within this 4 year term</w:t>
      </w:r>
    </w:p>
    <w:p w:rsidR="000210C7" w:rsidRPr="000210C7" w:rsidRDefault="000210C7" w:rsidP="000210C7">
      <w:pPr>
        <w:rPr>
          <w:b/>
          <w:sz w:val="28"/>
          <w:szCs w:val="28"/>
        </w:rPr>
      </w:pPr>
    </w:p>
    <w:p w:rsidR="000210C7" w:rsidRDefault="000210C7" w:rsidP="003A091A">
      <w:pPr>
        <w:pStyle w:val="ListParagraph"/>
        <w:numPr>
          <w:ilvl w:val="0"/>
          <w:numId w:val="3"/>
        </w:numPr>
        <w:rPr>
          <w:b/>
          <w:sz w:val="28"/>
          <w:szCs w:val="28"/>
        </w:rPr>
      </w:pPr>
      <w:r>
        <w:rPr>
          <w:b/>
          <w:sz w:val="28"/>
          <w:szCs w:val="28"/>
        </w:rPr>
        <w:t>There are 3 Lots – how do I choose between them?</w:t>
      </w:r>
    </w:p>
    <w:p w:rsidR="000210C7" w:rsidRPr="000210C7" w:rsidRDefault="001C1034" w:rsidP="000210C7">
      <w:pPr>
        <w:rPr>
          <w:sz w:val="24"/>
          <w:szCs w:val="24"/>
        </w:rPr>
      </w:pPr>
      <w:r>
        <w:rPr>
          <w:sz w:val="24"/>
          <w:szCs w:val="24"/>
        </w:rPr>
        <w:t>The C</w:t>
      </w:r>
      <w:r w:rsidR="000210C7">
        <w:rPr>
          <w:sz w:val="24"/>
          <w:szCs w:val="24"/>
        </w:rPr>
        <w:t xml:space="preserve">ustomer Guidelines contains descriptions of the services on offer for each Lot and see also Annex A the Framework Specification. </w:t>
      </w:r>
      <w:r>
        <w:rPr>
          <w:sz w:val="24"/>
          <w:szCs w:val="24"/>
        </w:rPr>
        <w:t>Detailed be</w:t>
      </w:r>
      <w:r w:rsidR="000210C7">
        <w:rPr>
          <w:sz w:val="24"/>
          <w:szCs w:val="24"/>
        </w:rPr>
        <w:t>low is a high level indication of service and how they may work for you</w:t>
      </w:r>
    </w:p>
    <w:p w:rsidR="000210C7" w:rsidRDefault="000210C7" w:rsidP="000210C7">
      <w:pPr>
        <w:rPr>
          <w:b/>
          <w:sz w:val="28"/>
          <w:szCs w:val="28"/>
        </w:rPr>
      </w:pPr>
    </w:p>
    <w:p w:rsidR="000210C7" w:rsidRPr="000210C7" w:rsidRDefault="000210C7" w:rsidP="000210C7">
      <w:pPr>
        <w:rPr>
          <w:b/>
          <w:sz w:val="28"/>
          <w:szCs w:val="28"/>
        </w:rPr>
      </w:pPr>
      <w:r w:rsidRPr="000210C7">
        <w:rPr>
          <w:b/>
          <w:sz w:val="28"/>
          <w:szCs w:val="28"/>
        </w:rPr>
        <w:t>Lot 1 – Merchant Acquiring Services and Merchant Acquiring Equipment</w:t>
      </w:r>
    </w:p>
    <w:p w:rsidR="000210C7" w:rsidRDefault="000210C7" w:rsidP="000210C7">
      <w:pPr>
        <w:ind w:left="1440"/>
        <w:rPr>
          <w:rFonts w:ascii="Calibri" w:hAnsi="Calibri"/>
        </w:rPr>
      </w:pPr>
      <w:r w:rsidRPr="00757C63">
        <w:rPr>
          <w:rFonts w:ascii="Calibri" w:hAnsi="Calibri"/>
          <w:noProof/>
          <w:lang w:eastAsia="en-GB"/>
        </w:rPr>
        <mc:AlternateContent>
          <mc:Choice Requires="wps">
            <w:drawing>
              <wp:anchor distT="0" distB="0" distL="114300" distR="114300" simplePos="0" relativeHeight="251659264" behindDoc="0" locked="0" layoutInCell="1" allowOverlap="1" wp14:anchorId="60BAF977" wp14:editId="00012F50">
                <wp:simplePos x="0" y="0"/>
                <wp:positionH relativeFrom="margin">
                  <wp:align>left</wp:align>
                </wp:positionH>
                <wp:positionV relativeFrom="paragraph">
                  <wp:posOffset>208915</wp:posOffset>
                </wp:positionV>
                <wp:extent cx="876300" cy="774700"/>
                <wp:effectExtent l="0" t="0" r="0" b="6350"/>
                <wp:wrapNone/>
                <wp:docPr id="2" name="Oval 2"/>
                <wp:cNvGraphicFramePr/>
                <a:graphic xmlns:a="http://schemas.openxmlformats.org/drawingml/2006/main">
                  <a:graphicData uri="http://schemas.microsoft.com/office/word/2010/wordprocessingShape">
                    <wps:wsp>
                      <wps:cNvSpPr/>
                      <wps:spPr>
                        <a:xfrm>
                          <a:off x="0" y="0"/>
                          <a:ext cx="876300" cy="774700"/>
                        </a:xfrm>
                        <a:prstGeom prst="ellipse">
                          <a:avLst/>
                        </a:prstGeom>
                        <a:solidFill>
                          <a:schemeClr val="accent1">
                            <a:lumMod val="40000"/>
                            <a:lumOff val="60000"/>
                          </a:schemeClr>
                        </a:solidFill>
                        <a:ln>
                          <a:noFill/>
                        </a:ln>
                      </wps:spPr>
                      <wps:style>
                        <a:lnRef idx="2">
                          <a:schemeClr val="accent1"/>
                        </a:lnRef>
                        <a:fillRef idx="1">
                          <a:schemeClr val="lt1"/>
                        </a:fillRef>
                        <a:effectRef idx="0">
                          <a:schemeClr val="accent1"/>
                        </a:effectRef>
                        <a:fontRef idx="minor">
                          <a:schemeClr val="dk1"/>
                        </a:fontRef>
                      </wps:style>
                      <wps:txbx>
                        <w:txbxContent>
                          <w:p w:rsidR="000210C7" w:rsidRPr="000210C7" w:rsidRDefault="000210C7" w:rsidP="000210C7">
                            <w:pPr>
                              <w:jc w:val="center"/>
                              <w:rPr>
                                <w:rFonts w:ascii="Tahoma" w:hAnsi="Tahoma" w:cs="Tahoma"/>
                                <w:b/>
                                <w:color w:val="2F5496" w:themeColor="accent5" w:themeShade="BF"/>
                                <w:sz w:val="18"/>
                              </w:rPr>
                            </w:pPr>
                            <w:r w:rsidRPr="000210C7">
                              <w:rPr>
                                <w:rFonts w:ascii="Tahoma" w:hAnsi="Tahoma" w:cs="Tahoma"/>
                                <w:b/>
                                <w:color w:val="2F5496" w:themeColor="accent5" w:themeShade="BF"/>
                                <w:sz w:val="18"/>
                              </w:rPr>
                              <w:t>Did you know?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BAF977" id="Oval 2" o:spid="_x0000_s1026" style="position:absolute;left:0;text-align:left;margin-left:0;margin-top:16.45pt;width:69pt;height:6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" fillcolor="#bdd6ee [1300]" stroked="f" strokeweight="1pt">
                <v:stroke joinstyle="miter"/>
                <v:textbox>
                  <w:txbxContent>
                    <w:p w:rsidR="000210C7" w:rsidRPr="000210C7" w:rsidRDefault="000210C7" w:rsidP="000210C7">
                      <w:pPr>
                        <w:jc w:val="center"/>
                        <w:rPr>
                          <w:rFonts w:ascii="Tahoma" w:hAnsi="Tahoma" w:cs="Tahoma"/>
                          <w:b/>
                          <w:color w:val="2F5496" w:themeColor="accent5" w:themeShade="BF"/>
                          <w:sz w:val="18"/>
                        </w:rPr>
                      </w:pPr>
                      <w:r w:rsidRPr="000210C7">
                        <w:rPr>
                          <w:rFonts w:ascii="Tahoma" w:hAnsi="Tahoma" w:cs="Tahoma"/>
                          <w:b/>
                          <w:color w:val="2F5496" w:themeColor="accent5" w:themeShade="BF"/>
                          <w:sz w:val="18"/>
                        </w:rPr>
                        <w:t>Did you know?</w:t>
                      </w:r>
                    </w:p>
                  </w:txbxContent>
                </v:textbox>
                <w10:wrap anchorx="margin"/>
              </v:oval>
            </w:pict>
          </mc:Fallback>
        </mc:AlternateContent>
      </w:r>
    </w:p>
    <w:p w:rsidR="000210C7" w:rsidRPr="000210C7" w:rsidRDefault="000210C7" w:rsidP="000210C7">
      <w:pPr>
        <w:ind w:left="1440"/>
        <w:rPr>
          <w:b/>
          <w:sz w:val="28"/>
          <w:szCs w:val="28"/>
        </w:rPr>
      </w:pPr>
      <w:r w:rsidRPr="00757C63">
        <w:rPr>
          <w:rFonts w:ascii="Calibri" w:hAnsi="Calibri"/>
        </w:rPr>
        <w:t>LOT 1 is ideal if you have your own Payment Gateway and require a Merchant</w:t>
      </w:r>
      <w:r>
        <w:t xml:space="preserve"> Acquirer and/or</w:t>
      </w:r>
    </w:p>
    <w:p w:rsidR="000210C7" w:rsidRPr="000210C7" w:rsidRDefault="000210C7" w:rsidP="000210C7">
      <w:pPr>
        <w:ind w:left="1440"/>
        <w:rPr>
          <w:sz w:val="24"/>
          <w:szCs w:val="24"/>
        </w:rPr>
      </w:pPr>
      <w:r>
        <w:t>You want to receive card payments face to face via Point of Sale (POS) terminal(s) and/or unattended POS terminal(s) like a car parking machine and/or via a call-centre or over the phone</w:t>
      </w:r>
    </w:p>
    <w:p w:rsidR="000210C7" w:rsidRDefault="000210C7" w:rsidP="000210C7">
      <w:pPr>
        <w:rPr>
          <w:b/>
          <w:sz w:val="28"/>
          <w:szCs w:val="28"/>
        </w:rPr>
      </w:pPr>
    </w:p>
    <w:p w:rsidR="000210C7" w:rsidRDefault="000210C7" w:rsidP="000210C7">
      <w:pPr>
        <w:rPr>
          <w:b/>
          <w:sz w:val="28"/>
          <w:szCs w:val="28"/>
        </w:rPr>
      </w:pPr>
      <w:r w:rsidRPr="000210C7">
        <w:rPr>
          <w:b/>
          <w:sz w:val="28"/>
          <w:szCs w:val="28"/>
        </w:rPr>
        <w:t>Lot 2 – Merchant Acquiring Services and Payment Gateway Services</w:t>
      </w:r>
      <w:r>
        <w:rPr>
          <w:b/>
          <w:sz w:val="28"/>
          <w:szCs w:val="28"/>
        </w:rPr>
        <w:tab/>
      </w:r>
      <w:r>
        <w:rPr>
          <w:b/>
          <w:sz w:val="28"/>
          <w:szCs w:val="28"/>
        </w:rPr>
        <w:tab/>
      </w:r>
      <w:r>
        <w:rPr>
          <w:b/>
          <w:sz w:val="28"/>
          <w:szCs w:val="28"/>
        </w:rPr>
        <w:tab/>
      </w:r>
    </w:p>
    <w:p w:rsidR="00CE3FCB" w:rsidRDefault="000210C7" w:rsidP="000210C7">
      <w:pPr>
        <w:ind w:left="1440"/>
      </w:pPr>
      <w:r w:rsidRPr="00757C63">
        <w:rPr>
          <w:rFonts w:ascii="Calibri" w:hAnsi="Calibri"/>
          <w:noProof/>
          <w:lang w:eastAsia="en-GB"/>
        </w:rPr>
        <mc:AlternateContent>
          <mc:Choice Requires="wps">
            <w:drawing>
              <wp:anchor distT="0" distB="0" distL="114300" distR="114300" simplePos="0" relativeHeight="251661312" behindDoc="0" locked="0" layoutInCell="1" allowOverlap="1" wp14:anchorId="3E765D7C" wp14:editId="5DED3DA7">
                <wp:simplePos x="0" y="0"/>
                <wp:positionH relativeFrom="margin">
                  <wp:align>left</wp:align>
                </wp:positionH>
                <wp:positionV relativeFrom="paragraph">
                  <wp:posOffset>189865</wp:posOffset>
                </wp:positionV>
                <wp:extent cx="876300" cy="774700"/>
                <wp:effectExtent l="0" t="0" r="0" b="6350"/>
                <wp:wrapNone/>
                <wp:docPr id="1" name="Oval 1"/>
                <wp:cNvGraphicFramePr/>
                <a:graphic xmlns:a="http://schemas.openxmlformats.org/drawingml/2006/main">
                  <a:graphicData uri="http://schemas.microsoft.com/office/word/2010/wordprocessingShape">
                    <wps:wsp>
                      <wps:cNvSpPr/>
                      <wps:spPr>
                        <a:xfrm>
                          <a:off x="0" y="0"/>
                          <a:ext cx="876300" cy="774700"/>
                        </a:xfrm>
                        <a:prstGeom prst="ellipse">
                          <a:avLst/>
                        </a:prstGeom>
                        <a:solidFill>
                          <a:schemeClr val="accent1">
                            <a:lumMod val="40000"/>
                            <a:lumOff val="60000"/>
                          </a:schemeClr>
                        </a:solidFill>
                        <a:ln>
                          <a:noFill/>
                        </a:ln>
                      </wps:spPr>
                      <wps:style>
                        <a:lnRef idx="2">
                          <a:schemeClr val="accent1"/>
                        </a:lnRef>
                        <a:fillRef idx="1">
                          <a:schemeClr val="lt1"/>
                        </a:fillRef>
                        <a:effectRef idx="0">
                          <a:schemeClr val="accent1"/>
                        </a:effectRef>
                        <a:fontRef idx="minor">
                          <a:schemeClr val="dk1"/>
                        </a:fontRef>
                      </wps:style>
                      <wps:txbx>
                        <w:txbxContent>
                          <w:p w:rsidR="000210C7" w:rsidRPr="000210C7" w:rsidRDefault="000210C7" w:rsidP="000210C7">
                            <w:pPr>
                              <w:jc w:val="center"/>
                              <w:rPr>
                                <w:rFonts w:ascii="Tahoma" w:hAnsi="Tahoma" w:cs="Tahoma"/>
                                <w:b/>
                                <w:color w:val="2F5496" w:themeColor="accent5" w:themeShade="BF"/>
                                <w:sz w:val="18"/>
                              </w:rPr>
                            </w:pPr>
                            <w:r w:rsidRPr="000210C7">
                              <w:rPr>
                                <w:rFonts w:ascii="Tahoma" w:hAnsi="Tahoma" w:cs="Tahoma"/>
                                <w:b/>
                                <w:color w:val="2F5496" w:themeColor="accent5" w:themeShade="BF"/>
                                <w:sz w:val="18"/>
                              </w:rPr>
                              <w:t>Did you know?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765D7C" id="Oval 1" o:spid="_x0000_s1027" style="position:absolute;left:0;text-align:left;margin-left:0;margin-top:14.95pt;width:69pt;height:6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" fillcolor="#bdd6ee [1300]" stroked="f" strokeweight="1pt">
                <v:stroke joinstyle="miter"/>
                <v:textbox>
                  <w:txbxContent>
                    <w:p w:rsidR="000210C7" w:rsidRPr="000210C7" w:rsidRDefault="000210C7" w:rsidP="000210C7">
                      <w:pPr>
                        <w:jc w:val="center"/>
                        <w:rPr>
                          <w:rFonts w:ascii="Tahoma" w:hAnsi="Tahoma" w:cs="Tahoma"/>
                          <w:b/>
                          <w:color w:val="2F5496" w:themeColor="accent5" w:themeShade="BF"/>
                          <w:sz w:val="18"/>
                        </w:rPr>
                      </w:pPr>
                      <w:r w:rsidRPr="000210C7">
                        <w:rPr>
                          <w:rFonts w:ascii="Tahoma" w:hAnsi="Tahoma" w:cs="Tahoma"/>
                          <w:b/>
                          <w:color w:val="2F5496" w:themeColor="accent5" w:themeShade="BF"/>
                          <w:sz w:val="18"/>
                        </w:rPr>
                        <w:t>Did you know?</w:t>
                      </w:r>
                    </w:p>
                  </w:txbxContent>
                </v:textbox>
                <w10:wrap anchorx="margin"/>
              </v:oval>
            </w:pict>
          </mc:Fallback>
        </mc:AlternateContent>
      </w:r>
      <w:r w:rsidRPr="000210C7">
        <w:t xml:space="preserve"> </w:t>
      </w:r>
      <w:r w:rsidR="00CE3FCB">
        <w:t xml:space="preserve"> L</w:t>
      </w:r>
      <w:r>
        <w:t xml:space="preserve">OT 2 is ideal if you require a solution to accept card payments and Alternative Payment Methods via the internet </w:t>
      </w:r>
      <w:r w:rsidR="00CE3FCB">
        <w:t xml:space="preserve">and/or via a call centre or over the phone. </w:t>
      </w:r>
    </w:p>
    <w:p w:rsidR="000210C7" w:rsidRPr="000210C7" w:rsidRDefault="00CE3FCB" w:rsidP="000210C7">
      <w:pPr>
        <w:ind w:left="1440"/>
      </w:pPr>
      <w:r>
        <w:t>You either have your own supplier for Merchant Acquiring Equipment for face to face payments or require no Merchant Acquiring equipment for this service</w:t>
      </w:r>
      <w:r w:rsidR="000210C7">
        <w:t xml:space="preserve"> </w:t>
      </w:r>
    </w:p>
    <w:p w:rsidR="000210C7" w:rsidRDefault="000210C7" w:rsidP="000210C7">
      <w:pPr>
        <w:rPr>
          <w:b/>
          <w:sz w:val="28"/>
          <w:szCs w:val="28"/>
        </w:rPr>
      </w:pPr>
    </w:p>
    <w:p w:rsidR="000210C7" w:rsidRDefault="000210C7" w:rsidP="000210C7">
      <w:pPr>
        <w:rPr>
          <w:b/>
          <w:sz w:val="28"/>
          <w:szCs w:val="28"/>
        </w:rPr>
      </w:pPr>
      <w:r w:rsidRPr="000210C7">
        <w:rPr>
          <w:b/>
          <w:sz w:val="28"/>
          <w:szCs w:val="28"/>
        </w:rPr>
        <w:t>Lot 3 – Merchant Acquiring Services</w:t>
      </w:r>
      <w:r w:rsidR="00274807">
        <w:rPr>
          <w:b/>
          <w:sz w:val="28"/>
          <w:szCs w:val="28"/>
        </w:rPr>
        <w:t>, Equipment</w:t>
      </w:r>
      <w:r w:rsidRPr="000210C7">
        <w:rPr>
          <w:b/>
          <w:sz w:val="28"/>
          <w:szCs w:val="28"/>
        </w:rPr>
        <w:t xml:space="preserve"> and Payment Gateway Services</w:t>
      </w:r>
    </w:p>
    <w:p w:rsidR="000210C7" w:rsidRDefault="000210C7" w:rsidP="000210C7">
      <w:pPr>
        <w:ind w:left="1440"/>
      </w:pPr>
      <w:r w:rsidRPr="00757C63">
        <w:rPr>
          <w:rFonts w:ascii="Calibri" w:hAnsi="Calibri"/>
          <w:noProof/>
          <w:lang w:eastAsia="en-GB"/>
        </w:rPr>
        <mc:AlternateContent>
          <mc:Choice Requires="wps">
            <w:drawing>
              <wp:anchor distT="0" distB="0" distL="114300" distR="114300" simplePos="0" relativeHeight="251663360" behindDoc="0" locked="0" layoutInCell="1" allowOverlap="1" wp14:anchorId="3E765D7C" wp14:editId="5DED3DA7">
                <wp:simplePos x="0" y="0"/>
                <wp:positionH relativeFrom="column">
                  <wp:posOffset>0</wp:posOffset>
                </wp:positionH>
                <wp:positionV relativeFrom="paragraph">
                  <wp:posOffset>0</wp:posOffset>
                </wp:positionV>
                <wp:extent cx="876300" cy="774700"/>
                <wp:effectExtent l="0" t="0" r="0" b="6350"/>
                <wp:wrapNone/>
                <wp:docPr id="3" name="Oval 3"/>
                <wp:cNvGraphicFramePr/>
                <a:graphic xmlns:a="http://schemas.openxmlformats.org/drawingml/2006/main">
                  <a:graphicData uri="http://schemas.microsoft.com/office/word/2010/wordprocessingShape">
                    <wps:wsp>
                      <wps:cNvSpPr/>
                      <wps:spPr>
                        <a:xfrm>
                          <a:off x="0" y="0"/>
                          <a:ext cx="876300" cy="774700"/>
                        </a:xfrm>
                        <a:prstGeom prst="ellipse">
                          <a:avLst/>
                        </a:prstGeom>
                        <a:solidFill>
                          <a:schemeClr val="accent1">
                            <a:lumMod val="40000"/>
                            <a:lumOff val="60000"/>
                          </a:schemeClr>
                        </a:solidFill>
                        <a:ln>
                          <a:noFill/>
                        </a:ln>
                      </wps:spPr>
                      <wps:style>
                        <a:lnRef idx="2">
                          <a:schemeClr val="accent1"/>
                        </a:lnRef>
                        <a:fillRef idx="1">
                          <a:schemeClr val="lt1"/>
                        </a:fillRef>
                        <a:effectRef idx="0">
                          <a:schemeClr val="accent1"/>
                        </a:effectRef>
                        <a:fontRef idx="minor">
                          <a:schemeClr val="dk1"/>
                        </a:fontRef>
                      </wps:style>
                      <wps:txbx>
                        <w:txbxContent>
                          <w:p w:rsidR="000210C7" w:rsidRPr="00CD398A" w:rsidRDefault="000210C7" w:rsidP="000210C7">
                            <w:pPr>
                              <w:jc w:val="center"/>
                              <w:rPr>
                                <w:rFonts w:ascii="Tahoma" w:hAnsi="Tahoma" w:cs="Tahoma"/>
                                <w:color w:val="2F5496" w:themeColor="accent5" w:themeShade="BF"/>
                                <w:sz w:val="18"/>
                              </w:rPr>
                            </w:pPr>
                            <w:r w:rsidRPr="000210C7">
                              <w:rPr>
                                <w:rFonts w:ascii="Tahoma" w:hAnsi="Tahoma" w:cs="Tahoma"/>
                                <w:b/>
                                <w:color w:val="2F5496" w:themeColor="accent5" w:themeShade="BF"/>
                                <w:sz w:val="18"/>
                              </w:rPr>
                              <w:t>Did you know</w:t>
                            </w:r>
                            <w:r w:rsidRPr="00CD398A">
                              <w:rPr>
                                <w:rFonts w:ascii="Tahoma" w:hAnsi="Tahoma" w:cs="Tahoma"/>
                                <w:color w:val="2F5496" w:themeColor="accent5" w:themeShade="BF"/>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765D7C" id="Oval 3" o:spid="_x0000_s1028" style="position:absolute;left:0;text-align:left;margin-left:0;margin-top:0;width:69pt;height: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" fillcolor="#bdd6ee [1300]" stroked="f" strokeweight="1pt">
                <v:stroke joinstyle="miter"/>
                <v:textbox>
                  <w:txbxContent>
                    <w:p w:rsidR="000210C7" w:rsidRPr="00CD398A" w:rsidRDefault="000210C7" w:rsidP="000210C7">
                      <w:pPr>
                        <w:jc w:val="center"/>
                        <w:rPr>
                          <w:rFonts w:ascii="Tahoma" w:hAnsi="Tahoma" w:cs="Tahoma"/>
                          <w:color w:val="2F5496" w:themeColor="accent5" w:themeShade="BF"/>
                          <w:sz w:val="18"/>
                        </w:rPr>
                      </w:pPr>
                      <w:r w:rsidRPr="000210C7">
                        <w:rPr>
                          <w:rFonts w:ascii="Tahoma" w:hAnsi="Tahoma" w:cs="Tahoma"/>
                          <w:b/>
                          <w:color w:val="2F5496" w:themeColor="accent5" w:themeShade="BF"/>
                          <w:sz w:val="18"/>
                        </w:rPr>
                        <w:t>Did you know</w:t>
                      </w:r>
                      <w:r w:rsidRPr="00CD398A">
                        <w:rPr>
                          <w:rFonts w:ascii="Tahoma" w:hAnsi="Tahoma" w:cs="Tahoma"/>
                          <w:color w:val="2F5496" w:themeColor="accent5" w:themeShade="BF"/>
                          <w:sz w:val="18"/>
                        </w:rPr>
                        <w:t>?</w:t>
                      </w:r>
                    </w:p>
                  </w:txbxContent>
                </v:textbox>
              </v:oval>
            </w:pict>
          </mc:Fallback>
        </mc:AlternateContent>
      </w:r>
      <w:r>
        <w:t xml:space="preserve">LOT 3 is ideal if you require a solution to accept card payments face to face via Point of Sale (POS) terminal(s) and/or unattended POS terminal(s) like a car parking machine and/or via a call-centre and/or over the phone </w:t>
      </w:r>
      <w:r w:rsidRPr="00CD398A">
        <w:rPr>
          <w:i/>
        </w:rPr>
        <w:t>and</w:t>
      </w:r>
      <w:r>
        <w:t xml:space="preserve"> you want to accept card payments and Alternative Payment Methods via the internet.</w:t>
      </w:r>
    </w:p>
    <w:p w:rsidR="004F7AB3" w:rsidRDefault="004F7AB3" w:rsidP="000210C7">
      <w:pPr>
        <w:ind w:left="1440"/>
      </w:pPr>
    </w:p>
    <w:p w:rsidR="004F7AB3" w:rsidRDefault="004F7AB3" w:rsidP="004F7AB3">
      <w:pPr>
        <w:pStyle w:val="ListParagraph"/>
        <w:ind w:left="0"/>
        <w:rPr>
          <w:sz w:val="24"/>
          <w:szCs w:val="24"/>
        </w:rPr>
      </w:pPr>
      <w:r w:rsidRPr="004F7AB3">
        <w:rPr>
          <w:sz w:val="24"/>
          <w:szCs w:val="24"/>
        </w:rPr>
        <w:t xml:space="preserve">Under EU rules all suppliers in Lot 3 are capable of providing the services in Lots 1 and 2 so when doing further competitions in Lots 1 and 2 you </w:t>
      </w:r>
      <w:r w:rsidRPr="00C0339A">
        <w:rPr>
          <w:b/>
          <w:sz w:val="24"/>
          <w:szCs w:val="24"/>
        </w:rPr>
        <w:t>must</w:t>
      </w:r>
      <w:r w:rsidRPr="004F7AB3">
        <w:rPr>
          <w:sz w:val="24"/>
          <w:szCs w:val="24"/>
        </w:rPr>
        <w:t xml:space="preserve"> invite suppliers from Lot 3 who offer the same service.</w:t>
      </w:r>
    </w:p>
    <w:p w:rsidR="004F7AB3" w:rsidRDefault="004F7AB3" w:rsidP="004F7AB3">
      <w:pPr>
        <w:pStyle w:val="ListParagraph"/>
        <w:ind w:left="0"/>
        <w:rPr>
          <w:sz w:val="24"/>
          <w:szCs w:val="24"/>
        </w:rPr>
      </w:pPr>
    </w:p>
    <w:p w:rsidR="004F7AB3" w:rsidRDefault="004F7AB3" w:rsidP="004F7AB3">
      <w:pPr>
        <w:pStyle w:val="ListParagraph"/>
        <w:ind w:left="0"/>
        <w:rPr>
          <w:sz w:val="24"/>
          <w:szCs w:val="24"/>
        </w:rPr>
      </w:pPr>
    </w:p>
    <w:p w:rsidR="004F7AB3" w:rsidRPr="004F7AB3" w:rsidRDefault="004F7AB3" w:rsidP="004F7AB3">
      <w:pPr>
        <w:pStyle w:val="ListParagraph"/>
        <w:ind w:left="0"/>
        <w:rPr>
          <w:sz w:val="24"/>
          <w:szCs w:val="24"/>
        </w:rPr>
      </w:pPr>
    </w:p>
    <w:p w:rsidR="000210C7" w:rsidRPr="000210C7" w:rsidRDefault="000210C7" w:rsidP="000210C7">
      <w:pPr>
        <w:pStyle w:val="ListParagraph"/>
        <w:numPr>
          <w:ilvl w:val="0"/>
          <w:numId w:val="3"/>
        </w:numPr>
        <w:rPr>
          <w:b/>
          <w:sz w:val="28"/>
          <w:szCs w:val="28"/>
        </w:rPr>
      </w:pPr>
      <w:r w:rsidRPr="000210C7">
        <w:rPr>
          <w:b/>
          <w:sz w:val="28"/>
          <w:szCs w:val="28"/>
        </w:rPr>
        <w:lastRenderedPageBreak/>
        <w:t>Is there a limit on the type of services I can award under a Call Off agreement?</w:t>
      </w:r>
    </w:p>
    <w:p w:rsidR="00FB10C4" w:rsidRPr="003A091A" w:rsidRDefault="00FB10C4" w:rsidP="003A091A">
      <w:pPr>
        <w:rPr>
          <w:sz w:val="24"/>
          <w:szCs w:val="24"/>
        </w:rPr>
      </w:pPr>
      <w:r w:rsidRPr="003A091A">
        <w:rPr>
          <w:sz w:val="24"/>
          <w:szCs w:val="24"/>
        </w:rPr>
        <w:t>You can only use the framework agreement to purchase services that lie within the scope of the Lots (1-3) in the original OJEU contract notice contained within the Merchant Acquiring and Payment Gateway Services (MAPSG) framework agreement number RM3702.</w:t>
      </w:r>
    </w:p>
    <w:p w:rsidR="00FB10C4" w:rsidRDefault="00FB10C4" w:rsidP="003A091A">
      <w:pPr>
        <w:rPr>
          <w:sz w:val="24"/>
          <w:szCs w:val="24"/>
        </w:rPr>
      </w:pPr>
      <w:r w:rsidRPr="003A091A">
        <w:rPr>
          <w:sz w:val="24"/>
          <w:szCs w:val="24"/>
        </w:rPr>
        <w:t>This means that any other financial or banking related services should not be procured under this framework agreement or any Call Off agreement.</w:t>
      </w:r>
    </w:p>
    <w:p w:rsidR="00600D7E" w:rsidRPr="003A091A" w:rsidRDefault="00600D7E" w:rsidP="003A091A">
      <w:pPr>
        <w:rPr>
          <w:sz w:val="24"/>
          <w:szCs w:val="24"/>
        </w:rPr>
      </w:pPr>
    </w:p>
    <w:p w:rsidR="00600D7E" w:rsidRDefault="00600D7E" w:rsidP="003A091A">
      <w:pPr>
        <w:pStyle w:val="ListParagraph"/>
        <w:numPr>
          <w:ilvl w:val="0"/>
          <w:numId w:val="3"/>
        </w:numPr>
        <w:rPr>
          <w:b/>
          <w:sz w:val="28"/>
          <w:szCs w:val="28"/>
        </w:rPr>
      </w:pPr>
      <w:r>
        <w:rPr>
          <w:b/>
          <w:sz w:val="28"/>
          <w:szCs w:val="28"/>
        </w:rPr>
        <w:t>Does the Call Off Agreement cater for all currencies?</w:t>
      </w:r>
    </w:p>
    <w:p w:rsidR="00A05182" w:rsidRDefault="00600D7E" w:rsidP="00600D7E">
      <w:pPr>
        <w:rPr>
          <w:sz w:val="24"/>
          <w:szCs w:val="24"/>
        </w:rPr>
      </w:pPr>
      <w:r w:rsidRPr="00600D7E">
        <w:rPr>
          <w:sz w:val="24"/>
          <w:szCs w:val="24"/>
        </w:rPr>
        <w:t>The specification detail</w:t>
      </w:r>
      <w:r w:rsidR="004F7AB3">
        <w:rPr>
          <w:sz w:val="24"/>
          <w:szCs w:val="24"/>
        </w:rPr>
        <w:t xml:space="preserve">s that the Supplier shall provide the contracting authority with the capability to transact in a wide range of currencies available from the currency markets. </w:t>
      </w:r>
      <w:r w:rsidR="001C1034">
        <w:rPr>
          <w:sz w:val="24"/>
          <w:szCs w:val="24"/>
        </w:rPr>
        <w:t xml:space="preserve"> If </w:t>
      </w:r>
      <w:r w:rsidR="004F7AB3">
        <w:rPr>
          <w:sz w:val="24"/>
          <w:szCs w:val="24"/>
        </w:rPr>
        <w:t xml:space="preserve">you are unsure if a </w:t>
      </w:r>
      <w:r w:rsidR="001C1034">
        <w:rPr>
          <w:sz w:val="24"/>
          <w:szCs w:val="24"/>
        </w:rPr>
        <w:t>currenc</w:t>
      </w:r>
      <w:r w:rsidRPr="00600D7E">
        <w:rPr>
          <w:sz w:val="24"/>
          <w:szCs w:val="24"/>
        </w:rPr>
        <w:t xml:space="preserve">y </w:t>
      </w:r>
      <w:r w:rsidR="004F7AB3">
        <w:rPr>
          <w:sz w:val="24"/>
          <w:szCs w:val="24"/>
        </w:rPr>
        <w:t xml:space="preserve">is </w:t>
      </w:r>
      <w:r w:rsidRPr="00600D7E">
        <w:rPr>
          <w:sz w:val="24"/>
          <w:szCs w:val="24"/>
        </w:rPr>
        <w:t xml:space="preserve">not covered by the </w:t>
      </w:r>
      <w:r w:rsidR="004F7AB3">
        <w:rPr>
          <w:sz w:val="24"/>
          <w:szCs w:val="24"/>
        </w:rPr>
        <w:t xml:space="preserve">agreement </w:t>
      </w:r>
      <w:r w:rsidR="00EA2977" w:rsidRPr="004F7AB3">
        <w:rPr>
          <w:sz w:val="24"/>
          <w:szCs w:val="24"/>
        </w:rPr>
        <w:t>y</w:t>
      </w:r>
      <w:r w:rsidRPr="004F7AB3">
        <w:rPr>
          <w:sz w:val="24"/>
          <w:szCs w:val="24"/>
        </w:rPr>
        <w:t>ou need to contact the Supplier to discuss and agree the way forward</w:t>
      </w:r>
      <w:r w:rsidR="00A05182" w:rsidRPr="004F7AB3">
        <w:rPr>
          <w:sz w:val="24"/>
          <w:szCs w:val="24"/>
        </w:rPr>
        <w:t>.</w:t>
      </w:r>
    </w:p>
    <w:p w:rsidR="00990379" w:rsidRDefault="00990379" w:rsidP="00600D7E">
      <w:pPr>
        <w:rPr>
          <w:sz w:val="24"/>
          <w:szCs w:val="24"/>
        </w:rPr>
      </w:pPr>
    </w:p>
    <w:p w:rsidR="00990379" w:rsidRDefault="00990379" w:rsidP="003A091A">
      <w:pPr>
        <w:pStyle w:val="ListParagraph"/>
        <w:numPr>
          <w:ilvl w:val="0"/>
          <w:numId w:val="3"/>
        </w:numPr>
        <w:rPr>
          <w:b/>
          <w:sz w:val="28"/>
          <w:szCs w:val="28"/>
        </w:rPr>
      </w:pPr>
      <w:r>
        <w:rPr>
          <w:b/>
          <w:sz w:val="28"/>
          <w:szCs w:val="28"/>
        </w:rPr>
        <w:t xml:space="preserve">What </w:t>
      </w:r>
      <w:r w:rsidR="0011579F">
        <w:rPr>
          <w:b/>
          <w:sz w:val="28"/>
          <w:szCs w:val="28"/>
        </w:rPr>
        <w:t xml:space="preserve">M A </w:t>
      </w:r>
      <w:r>
        <w:rPr>
          <w:b/>
          <w:sz w:val="28"/>
          <w:szCs w:val="28"/>
        </w:rPr>
        <w:t>e</w:t>
      </w:r>
      <w:r w:rsidR="0011579F">
        <w:rPr>
          <w:b/>
          <w:sz w:val="28"/>
          <w:szCs w:val="28"/>
        </w:rPr>
        <w:t>q</w:t>
      </w:r>
      <w:r>
        <w:rPr>
          <w:b/>
          <w:sz w:val="28"/>
          <w:szCs w:val="28"/>
        </w:rPr>
        <w:t>uipment</w:t>
      </w:r>
      <w:r w:rsidR="0011579F">
        <w:rPr>
          <w:b/>
          <w:sz w:val="28"/>
          <w:szCs w:val="28"/>
        </w:rPr>
        <w:t xml:space="preserve"> is provided?</w:t>
      </w:r>
    </w:p>
    <w:p w:rsidR="0011579F" w:rsidRDefault="0011579F" w:rsidP="0011579F">
      <w:pPr>
        <w:rPr>
          <w:sz w:val="24"/>
          <w:szCs w:val="24"/>
        </w:rPr>
        <w:sectPr w:rsidR="0011579F" w:rsidSect="004B4480">
          <w:footerReference w:type="default" r:id="rId8"/>
          <w:pgSz w:w="11906" w:h="16838"/>
          <w:pgMar w:top="720" w:right="720" w:bottom="720" w:left="720" w:header="708" w:footer="708" w:gutter="0"/>
          <w:cols w:space="708"/>
          <w:docGrid w:linePitch="360"/>
        </w:sectPr>
      </w:pPr>
    </w:p>
    <w:p w:rsidR="0011579F" w:rsidRPr="00157CF1" w:rsidRDefault="0011579F" w:rsidP="0011579F">
      <w:pPr>
        <w:rPr>
          <w:sz w:val="24"/>
          <w:szCs w:val="24"/>
        </w:rPr>
      </w:pPr>
      <w:r w:rsidRPr="00157CF1">
        <w:rPr>
          <w:sz w:val="24"/>
          <w:szCs w:val="24"/>
        </w:rPr>
        <w:lastRenderedPageBreak/>
        <w:t>The equipment included but not limited to</w:t>
      </w:r>
      <w:r w:rsidR="001C1034">
        <w:rPr>
          <w:sz w:val="24"/>
          <w:szCs w:val="24"/>
        </w:rPr>
        <w:t>,</w:t>
      </w:r>
      <w:r w:rsidRPr="00157CF1">
        <w:rPr>
          <w:sz w:val="24"/>
          <w:szCs w:val="24"/>
        </w:rPr>
        <w:t xml:space="preserve"> is:</w:t>
      </w:r>
    </w:p>
    <w:p w:rsidR="00157CF1" w:rsidRPr="00157CF1" w:rsidRDefault="00157CF1" w:rsidP="00157CF1">
      <w:pPr>
        <w:rPr>
          <w:sz w:val="24"/>
          <w:szCs w:val="24"/>
        </w:rPr>
      </w:pPr>
    </w:p>
    <w:p w:rsidR="00157CF1" w:rsidRPr="00157CF1" w:rsidRDefault="00157CF1" w:rsidP="00157CF1">
      <w:pPr>
        <w:rPr>
          <w:sz w:val="24"/>
          <w:szCs w:val="24"/>
        </w:rPr>
      </w:pPr>
    </w:p>
    <w:p w:rsidR="00157CF1" w:rsidRPr="00157CF1" w:rsidRDefault="00157CF1" w:rsidP="00157CF1">
      <w:pPr>
        <w:rPr>
          <w:sz w:val="24"/>
          <w:szCs w:val="24"/>
        </w:rPr>
        <w:sectPr w:rsidR="00157CF1" w:rsidRPr="00157CF1" w:rsidSect="0011579F">
          <w:type w:val="continuous"/>
          <w:pgSz w:w="11906" w:h="16838"/>
          <w:pgMar w:top="720" w:right="720" w:bottom="720" w:left="720" w:header="708" w:footer="708" w:gutter="0"/>
          <w:cols w:num="2" w:space="708"/>
          <w:docGrid w:linePitch="360"/>
        </w:sectPr>
      </w:pPr>
    </w:p>
    <w:p w:rsidR="0011579F" w:rsidRPr="00157CF1" w:rsidRDefault="0011579F" w:rsidP="00157CF1">
      <w:pPr>
        <w:rPr>
          <w:sz w:val="24"/>
          <w:szCs w:val="24"/>
        </w:rPr>
      </w:pPr>
      <w:r w:rsidRPr="00157CF1">
        <w:rPr>
          <w:sz w:val="24"/>
          <w:szCs w:val="24"/>
        </w:rPr>
        <w:lastRenderedPageBreak/>
        <w:t>Fixed Terminals</w:t>
      </w:r>
    </w:p>
    <w:p w:rsidR="0011579F" w:rsidRPr="00157CF1" w:rsidRDefault="0011579F" w:rsidP="00157CF1">
      <w:pPr>
        <w:rPr>
          <w:sz w:val="24"/>
          <w:szCs w:val="24"/>
        </w:rPr>
      </w:pPr>
      <w:r w:rsidRPr="00157CF1">
        <w:rPr>
          <w:sz w:val="24"/>
          <w:szCs w:val="24"/>
        </w:rPr>
        <w:t>Mobile Terminals</w:t>
      </w:r>
    </w:p>
    <w:p w:rsidR="0011579F" w:rsidRPr="00157CF1" w:rsidRDefault="0011579F" w:rsidP="00157CF1">
      <w:pPr>
        <w:rPr>
          <w:sz w:val="24"/>
          <w:szCs w:val="24"/>
        </w:rPr>
      </w:pPr>
      <w:r w:rsidRPr="00157CF1">
        <w:rPr>
          <w:sz w:val="24"/>
          <w:szCs w:val="24"/>
        </w:rPr>
        <w:t>PDQ Terminals</w:t>
      </w:r>
    </w:p>
    <w:p w:rsidR="0011579F" w:rsidRPr="00157CF1" w:rsidRDefault="0011579F" w:rsidP="00157CF1">
      <w:pPr>
        <w:rPr>
          <w:sz w:val="24"/>
          <w:szCs w:val="24"/>
        </w:rPr>
      </w:pPr>
      <w:r w:rsidRPr="00157CF1">
        <w:rPr>
          <w:sz w:val="24"/>
          <w:szCs w:val="24"/>
        </w:rPr>
        <w:t>Bluetooth Terminals</w:t>
      </w:r>
    </w:p>
    <w:p w:rsidR="0011579F" w:rsidRPr="00157CF1" w:rsidRDefault="0011579F" w:rsidP="00157CF1">
      <w:pPr>
        <w:rPr>
          <w:sz w:val="24"/>
          <w:szCs w:val="24"/>
        </w:rPr>
      </w:pPr>
      <w:r w:rsidRPr="00157CF1">
        <w:rPr>
          <w:sz w:val="24"/>
          <w:szCs w:val="24"/>
        </w:rPr>
        <w:lastRenderedPageBreak/>
        <w:t>Customer Activated Terminal</w:t>
      </w:r>
    </w:p>
    <w:p w:rsidR="0011579F" w:rsidRPr="00157CF1" w:rsidRDefault="0011579F" w:rsidP="00157CF1">
      <w:pPr>
        <w:rPr>
          <w:sz w:val="24"/>
          <w:szCs w:val="24"/>
        </w:rPr>
      </w:pPr>
      <w:r w:rsidRPr="00157CF1">
        <w:rPr>
          <w:sz w:val="24"/>
          <w:szCs w:val="24"/>
        </w:rPr>
        <w:t>Wireless Terminals</w:t>
      </w:r>
    </w:p>
    <w:p w:rsidR="0011579F" w:rsidRPr="00157CF1" w:rsidRDefault="0011579F" w:rsidP="00157CF1">
      <w:pPr>
        <w:rPr>
          <w:sz w:val="24"/>
          <w:szCs w:val="24"/>
        </w:rPr>
      </w:pPr>
      <w:r w:rsidRPr="00157CF1">
        <w:rPr>
          <w:sz w:val="24"/>
          <w:szCs w:val="24"/>
        </w:rPr>
        <w:t>Remote Wireless Terminals</w:t>
      </w:r>
    </w:p>
    <w:p w:rsidR="0011579F" w:rsidRPr="00157CF1" w:rsidRDefault="0011579F" w:rsidP="00157CF1">
      <w:pPr>
        <w:rPr>
          <w:sz w:val="24"/>
          <w:szCs w:val="24"/>
        </w:rPr>
      </w:pPr>
      <w:r w:rsidRPr="00157CF1">
        <w:rPr>
          <w:sz w:val="24"/>
          <w:szCs w:val="24"/>
        </w:rPr>
        <w:t>Contactless Terminals</w:t>
      </w:r>
    </w:p>
    <w:p w:rsidR="0011579F" w:rsidRPr="00157CF1" w:rsidRDefault="0011579F" w:rsidP="00157CF1">
      <w:pPr>
        <w:rPr>
          <w:sz w:val="24"/>
          <w:szCs w:val="24"/>
        </w:rPr>
      </w:pPr>
      <w:r w:rsidRPr="00157CF1">
        <w:rPr>
          <w:sz w:val="24"/>
          <w:szCs w:val="24"/>
        </w:rPr>
        <w:lastRenderedPageBreak/>
        <w:t>Imprinter Terminals</w:t>
      </w:r>
    </w:p>
    <w:p w:rsidR="0011579F" w:rsidRPr="00157CF1" w:rsidRDefault="0011579F" w:rsidP="00157CF1">
      <w:pPr>
        <w:rPr>
          <w:sz w:val="24"/>
          <w:szCs w:val="24"/>
        </w:rPr>
      </w:pPr>
      <w:r w:rsidRPr="00157CF1">
        <w:rPr>
          <w:sz w:val="24"/>
          <w:szCs w:val="24"/>
        </w:rPr>
        <w:t>Unattended Terminals</w:t>
      </w:r>
    </w:p>
    <w:p w:rsidR="00157CF1" w:rsidRPr="00157CF1" w:rsidRDefault="0011579F" w:rsidP="00157CF1">
      <w:pPr>
        <w:rPr>
          <w:sz w:val="24"/>
          <w:szCs w:val="24"/>
        </w:rPr>
        <w:sectPr w:rsidR="00157CF1" w:rsidRPr="00157CF1" w:rsidSect="00157CF1">
          <w:type w:val="continuous"/>
          <w:pgSz w:w="11906" w:h="16838"/>
          <w:pgMar w:top="720" w:right="720" w:bottom="720" w:left="720" w:header="708" w:footer="708" w:gutter="0"/>
          <w:cols w:num="3" w:space="708"/>
          <w:docGrid w:linePitch="360"/>
        </w:sectPr>
      </w:pPr>
      <w:r w:rsidRPr="00157CF1">
        <w:rPr>
          <w:sz w:val="24"/>
          <w:szCs w:val="24"/>
        </w:rPr>
        <w:t>Portable terminals</w:t>
      </w:r>
    </w:p>
    <w:p w:rsidR="0011579F" w:rsidRPr="00157CF1" w:rsidRDefault="0011579F" w:rsidP="00157CF1">
      <w:pPr>
        <w:rPr>
          <w:sz w:val="24"/>
          <w:szCs w:val="24"/>
        </w:rPr>
      </w:pPr>
    </w:p>
    <w:p w:rsidR="0011579F" w:rsidRPr="00157CF1" w:rsidRDefault="0011579F" w:rsidP="00990379">
      <w:pPr>
        <w:pStyle w:val="ListParagraph"/>
        <w:ind w:left="360"/>
        <w:rPr>
          <w:b/>
          <w:sz w:val="24"/>
          <w:szCs w:val="24"/>
        </w:rPr>
        <w:sectPr w:rsidR="0011579F" w:rsidRPr="00157CF1" w:rsidSect="00157CF1">
          <w:type w:val="continuous"/>
          <w:pgSz w:w="11906" w:h="16838"/>
          <w:pgMar w:top="720" w:right="720" w:bottom="720" w:left="720" w:header="708" w:footer="708" w:gutter="0"/>
          <w:cols w:space="708"/>
          <w:docGrid w:linePitch="360"/>
        </w:sectPr>
      </w:pPr>
    </w:p>
    <w:p w:rsidR="0011579F" w:rsidRPr="00157CF1" w:rsidRDefault="0011579F" w:rsidP="0011579F">
      <w:pPr>
        <w:pStyle w:val="ListParagraph"/>
        <w:ind w:left="0"/>
        <w:rPr>
          <w:sz w:val="24"/>
          <w:szCs w:val="24"/>
        </w:rPr>
      </w:pPr>
      <w:r w:rsidRPr="00157CF1">
        <w:rPr>
          <w:sz w:val="24"/>
          <w:szCs w:val="24"/>
        </w:rPr>
        <w:lastRenderedPageBreak/>
        <w:t>The equipment shall have the functionality to connect to the MA service so that the Contacting Body is not required to invest in a bespoke network or a new infrastructure again including but not limited to:</w:t>
      </w:r>
    </w:p>
    <w:p w:rsidR="0011579F" w:rsidRPr="00157CF1" w:rsidRDefault="0011579F" w:rsidP="0011579F">
      <w:pPr>
        <w:pStyle w:val="ListParagraph"/>
        <w:ind w:left="0"/>
        <w:rPr>
          <w:sz w:val="24"/>
          <w:szCs w:val="24"/>
        </w:rPr>
      </w:pPr>
      <w:r w:rsidRPr="00157CF1">
        <w:rPr>
          <w:sz w:val="24"/>
          <w:szCs w:val="24"/>
        </w:rPr>
        <w:t xml:space="preserve"> </w:t>
      </w:r>
    </w:p>
    <w:p w:rsidR="0011579F" w:rsidRPr="00157CF1" w:rsidRDefault="0011579F" w:rsidP="0011579F">
      <w:pPr>
        <w:pStyle w:val="ListParagraph"/>
        <w:ind w:left="0"/>
        <w:rPr>
          <w:sz w:val="24"/>
          <w:szCs w:val="24"/>
        </w:rPr>
      </w:pPr>
      <w:r w:rsidRPr="00157CF1">
        <w:rPr>
          <w:sz w:val="24"/>
          <w:szCs w:val="24"/>
        </w:rPr>
        <w:t>Fixed connection Internet connection, broadband, radio, GPRS, wireless and any emerging connectivity</w:t>
      </w:r>
    </w:p>
    <w:p w:rsidR="0011579F" w:rsidRPr="0011579F" w:rsidRDefault="0011579F" w:rsidP="0011579F">
      <w:pPr>
        <w:rPr>
          <w:b/>
          <w:sz w:val="28"/>
          <w:szCs w:val="28"/>
        </w:rPr>
      </w:pPr>
    </w:p>
    <w:p w:rsidR="000C775D" w:rsidRPr="000D0441" w:rsidRDefault="004B4480" w:rsidP="003A091A">
      <w:pPr>
        <w:pStyle w:val="ListParagraph"/>
        <w:numPr>
          <w:ilvl w:val="0"/>
          <w:numId w:val="3"/>
        </w:numPr>
        <w:rPr>
          <w:b/>
          <w:sz w:val="28"/>
          <w:szCs w:val="28"/>
        </w:rPr>
      </w:pPr>
      <w:r w:rsidRPr="000D0441">
        <w:rPr>
          <w:b/>
          <w:sz w:val="28"/>
          <w:szCs w:val="28"/>
        </w:rPr>
        <w:t>Direct Awards and Further Competition</w:t>
      </w:r>
    </w:p>
    <w:p w:rsidR="003A091A" w:rsidRPr="003A091A" w:rsidRDefault="003A091A" w:rsidP="003A091A">
      <w:pPr>
        <w:pStyle w:val="ListParagraph"/>
        <w:ind w:left="360"/>
        <w:rPr>
          <w:b/>
          <w:sz w:val="24"/>
          <w:szCs w:val="24"/>
        </w:rPr>
      </w:pPr>
    </w:p>
    <w:p w:rsidR="003A091A" w:rsidRDefault="003A091A" w:rsidP="003A091A">
      <w:pPr>
        <w:pStyle w:val="ListParagraph"/>
        <w:numPr>
          <w:ilvl w:val="1"/>
          <w:numId w:val="3"/>
        </w:numPr>
        <w:rPr>
          <w:b/>
          <w:sz w:val="24"/>
          <w:szCs w:val="24"/>
        </w:rPr>
      </w:pPr>
      <w:r w:rsidRPr="003A091A">
        <w:rPr>
          <w:b/>
          <w:sz w:val="24"/>
          <w:szCs w:val="24"/>
        </w:rPr>
        <w:t>Do I always need to run a completion?</w:t>
      </w:r>
    </w:p>
    <w:p w:rsidR="000D0441" w:rsidRDefault="000D0441" w:rsidP="000D0441">
      <w:pPr>
        <w:pStyle w:val="ListParagraph"/>
        <w:ind w:left="0"/>
        <w:rPr>
          <w:b/>
          <w:sz w:val="24"/>
          <w:szCs w:val="24"/>
        </w:rPr>
      </w:pPr>
      <w:r w:rsidRPr="000D0441">
        <w:rPr>
          <w:sz w:val="24"/>
          <w:szCs w:val="24"/>
        </w:rPr>
        <w:t>Not always. If a competition is run, you must invite all Suppliers able to provide the services to bid for work. In most cases this means holding a competition amongst all the Suppliers in the relevant lot</w:t>
      </w:r>
      <w:r w:rsidRPr="000D0441">
        <w:rPr>
          <w:b/>
          <w:sz w:val="24"/>
          <w:szCs w:val="24"/>
        </w:rPr>
        <w:t>.</w:t>
      </w:r>
    </w:p>
    <w:p w:rsidR="000D0441" w:rsidRDefault="000D0441" w:rsidP="000D0441">
      <w:pPr>
        <w:pStyle w:val="ListParagraph"/>
        <w:ind w:left="0"/>
        <w:rPr>
          <w:b/>
          <w:sz w:val="24"/>
          <w:szCs w:val="24"/>
        </w:rPr>
      </w:pPr>
    </w:p>
    <w:p w:rsidR="000D0441" w:rsidRPr="000D0441" w:rsidRDefault="000D0441" w:rsidP="000D0441">
      <w:pPr>
        <w:pStyle w:val="ListParagraph"/>
        <w:numPr>
          <w:ilvl w:val="1"/>
          <w:numId w:val="3"/>
        </w:numPr>
        <w:rPr>
          <w:b/>
          <w:sz w:val="24"/>
          <w:szCs w:val="24"/>
        </w:rPr>
      </w:pPr>
      <w:r w:rsidRPr="000D0441">
        <w:rPr>
          <w:b/>
          <w:sz w:val="24"/>
          <w:szCs w:val="24"/>
        </w:rPr>
        <w:t>Should choose a Direct Award or Further Competition?</w:t>
      </w:r>
    </w:p>
    <w:p w:rsidR="004B4480" w:rsidRDefault="000C775D" w:rsidP="003A091A">
      <w:pPr>
        <w:rPr>
          <w:sz w:val="24"/>
          <w:szCs w:val="24"/>
        </w:rPr>
      </w:pPr>
      <w:r w:rsidRPr="003A091A">
        <w:rPr>
          <w:sz w:val="24"/>
          <w:szCs w:val="24"/>
        </w:rPr>
        <w:t>T</w:t>
      </w:r>
      <w:r w:rsidR="004B4480" w:rsidRPr="003A091A">
        <w:rPr>
          <w:sz w:val="24"/>
          <w:szCs w:val="24"/>
        </w:rPr>
        <w:t xml:space="preserve">he driver for choosing which route is the most appropriate for your organisation is if your requirements are not directly covered by </w:t>
      </w:r>
      <w:r w:rsidR="00C0339A">
        <w:rPr>
          <w:sz w:val="24"/>
          <w:szCs w:val="24"/>
        </w:rPr>
        <w:t xml:space="preserve">agreement specification and see </w:t>
      </w:r>
      <w:r w:rsidR="00C0339A" w:rsidRPr="00584FF0">
        <w:rPr>
          <w:sz w:val="24"/>
          <w:szCs w:val="24"/>
        </w:rPr>
        <w:t>Annex A of the Customer Guidelines</w:t>
      </w:r>
    </w:p>
    <w:p w:rsidR="00495A32" w:rsidRPr="003A091A" w:rsidRDefault="00495A32" w:rsidP="003A091A">
      <w:pPr>
        <w:rPr>
          <w:sz w:val="24"/>
          <w:szCs w:val="24"/>
        </w:rPr>
      </w:pPr>
    </w:p>
    <w:p w:rsidR="004B4480" w:rsidRPr="003A091A" w:rsidRDefault="004B4480" w:rsidP="003A091A">
      <w:pPr>
        <w:rPr>
          <w:sz w:val="24"/>
          <w:szCs w:val="24"/>
        </w:rPr>
      </w:pPr>
      <w:r w:rsidRPr="003A091A">
        <w:rPr>
          <w:sz w:val="24"/>
          <w:szCs w:val="24"/>
        </w:rPr>
        <w:lastRenderedPageBreak/>
        <w:t>A Direct Award may be the best way forward when your requirements are met by the standard framework specification</w:t>
      </w:r>
      <w:r w:rsidR="00E518A7">
        <w:rPr>
          <w:sz w:val="24"/>
          <w:szCs w:val="24"/>
        </w:rPr>
        <w:t>.</w:t>
      </w:r>
    </w:p>
    <w:p w:rsidR="00E518A7" w:rsidRDefault="004B4480" w:rsidP="003A091A">
      <w:pPr>
        <w:rPr>
          <w:sz w:val="24"/>
          <w:szCs w:val="24"/>
        </w:rPr>
      </w:pPr>
      <w:r w:rsidRPr="003A091A">
        <w:rPr>
          <w:sz w:val="24"/>
          <w:szCs w:val="24"/>
        </w:rPr>
        <w:t>A Further Comp</w:t>
      </w:r>
      <w:r w:rsidR="00B04993" w:rsidRPr="003A091A">
        <w:rPr>
          <w:sz w:val="24"/>
          <w:szCs w:val="24"/>
        </w:rPr>
        <w:t>e</w:t>
      </w:r>
      <w:r w:rsidRPr="003A091A">
        <w:rPr>
          <w:sz w:val="24"/>
          <w:szCs w:val="24"/>
        </w:rPr>
        <w:t>t</w:t>
      </w:r>
      <w:r w:rsidR="00B04993" w:rsidRPr="003A091A">
        <w:rPr>
          <w:sz w:val="24"/>
          <w:szCs w:val="24"/>
        </w:rPr>
        <w:t>i</w:t>
      </w:r>
      <w:r w:rsidRPr="003A091A">
        <w:rPr>
          <w:sz w:val="24"/>
          <w:szCs w:val="24"/>
        </w:rPr>
        <w:t xml:space="preserve">tion may be the best way forward when you need to bespoke requirements </w:t>
      </w:r>
    </w:p>
    <w:p w:rsidR="00B04993" w:rsidRPr="003A091A" w:rsidRDefault="009C0D6B" w:rsidP="003A091A">
      <w:pPr>
        <w:rPr>
          <w:sz w:val="24"/>
          <w:szCs w:val="24"/>
        </w:rPr>
      </w:pPr>
      <w:r w:rsidRPr="003A091A">
        <w:rPr>
          <w:sz w:val="24"/>
          <w:szCs w:val="24"/>
        </w:rPr>
        <w:t>e.g.</w:t>
      </w:r>
      <w:r w:rsidR="004B4480" w:rsidRPr="003A091A">
        <w:rPr>
          <w:sz w:val="24"/>
          <w:szCs w:val="24"/>
        </w:rPr>
        <w:t xml:space="preserve"> </w:t>
      </w:r>
      <w:r w:rsidR="00E518A7">
        <w:rPr>
          <w:sz w:val="24"/>
          <w:szCs w:val="24"/>
        </w:rPr>
        <w:t>If you are transacting business outside of the UK, the types of transactions by channel such as Debit or Credit Cards, the value of the transactions and the number of transactions or if there are specific types of MI required. This list is not exhaustive.</w:t>
      </w:r>
    </w:p>
    <w:p w:rsidR="003A091A" w:rsidRDefault="003A091A" w:rsidP="003A091A">
      <w:pPr>
        <w:pStyle w:val="ListParagraph"/>
        <w:numPr>
          <w:ilvl w:val="1"/>
          <w:numId w:val="3"/>
        </w:numPr>
        <w:rPr>
          <w:b/>
          <w:sz w:val="24"/>
          <w:szCs w:val="24"/>
        </w:rPr>
      </w:pPr>
      <w:r w:rsidRPr="003A091A">
        <w:rPr>
          <w:b/>
          <w:sz w:val="24"/>
          <w:szCs w:val="24"/>
        </w:rPr>
        <w:t>What happens if only one Supplier shows an interest or has the capacity in bidding for a contract?</w:t>
      </w:r>
    </w:p>
    <w:p w:rsidR="00094FD2" w:rsidRPr="00094FD2" w:rsidRDefault="00094FD2" w:rsidP="00094FD2">
      <w:pPr>
        <w:pStyle w:val="ListParagraph"/>
        <w:ind w:left="0"/>
        <w:rPr>
          <w:b/>
          <w:sz w:val="24"/>
          <w:szCs w:val="24"/>
        </w:rPr>
      </w:pPr>
      <w:r w:rsidRPr="00094FD2">
        <w:rPr>
          <w:sz w:val="24"/>
          <w:szCs w:val="24"/>
        </w:rPr>
        <w:t>Provided you have given all Suppliers in the relevant service category the opportunity to participate in the competition, you may issue a Direct Award with that Supplier. Bear in mind that the primary purpose of a competition is to achieve value for money and it is unlikely you will be sure of achieving this in a single tender situation. In cases where only one supplier is listed (see Lot 2) you can make a Direct award</w:t>
      </w:r>
      <w:r w:rsidRPr="00094FD2">
        <w:rPr>
          <w:b/>
          <w:sz w:val="24"/>
          <w:szCs w:val="24"/>
        </w:rPr>
        <w:t>.</w:t>
      </w:r>
    </w:p>
    <w:p w:rsidR="00094FD2" w:rsidRPr="00094FD2" w:rsidRDefault="00094FD2" w:rsidP="00094FD2">
      <w:pPr>
        <w:pStyle w:val="ListParagraph"/>
        <w:ind w:left="360"/>
        <w:rPr>
          <w:b/>
          <w:sz w:val="24"/>
          <w:szCs w:val="24"/>
        </w:rPr>
      </w:pPr>
    </w:p>
    <w:p w:rsidR="00094FD2" w:rsidRDefault="00094FD2" w:rsidP="00094FD2">
      <w:pPr>
        <w:pStyle w:val="ListParagraph"/>
        <w:ind w:left="0"/>
        <w:rPr>
          <w:sz w:val="24"/>
          <w:szCs w:val="24"/>
        </w:rPr>
      </w:pPr>
      <w:r w:rsidRPr="00094FD2">
        <w:rPr>
          <w:sz w:val="24"/>
          <w:szCs w:val="24"/>
        </w:rPr>
        <w:t>Please let us know if a Supplier will not respond to an invitation to tender as CCS have remedies which include terminating the appointment of that Supplier to the framework agreement.</w:t>
      </w:r>
    </w:p>
    <w:p w:rsidR="00094FD2" w:rsidRPr="00094FD2" w:rsidRDefault="00094FD2" w:rsidP="00094FD2">
      <w:pPr>
        <w:pStyle w:val="ListParagraph"/>
        <w:ind w:left="0"/>
        <w:rPr>
          <w:sz w:val="24"/>
          <w:szCs w:val="24"/>
        </w:rPr>
      </w:pPr>
    </w:p>
    <w:p w:rsidR="00094FD2" w:rsidRPr="00094FD2" w:rsidRDefault="00094FD2" w:rsidP="004826EF">
      <w:pPr>
        <w:pStyle w:val="ListParagraph"/>
        <w:numPr>
          <w:ilvl w:val="1"/>
          <w:numId w:val="3"/>
        </w:numPr>
        <w:rPr>
          <w:b/>
          <w:sz w:val="24"/>
          <w:szCs w:val="24"/>
        </w:rPr>
      </w:pPr>
      <w:r w:rsidRPr="00094FD2">
        <w:rPr>
          <w:b/>
          <w:sz w:val="24"/>
          <w:szCs w:val="24"/>
        </w:rPr>
        <w:t>Do we have to observe a standstill period before we enter into a Further Competition?</w:t>
      </w:r>
    </w:p>
    <w:p w:rsidR="00094FD2" w:rsidRPr="00094FD2" w:rsidRDefault="00094FD2" w:rsidP="00094FD2">
      <w:pPr>
        <w:rPr>
          <w:sz w:val="24"/>
          <w:szCs w:val="24"/>
        </w:rPr>
      </w:pPr>
      <w:r w:rsidRPr="00094FD2">
        <w:rPr>
          <w:sz w:val="24"/>
          <w:szCs w:val="24"/>
        </w:rPr>
        <w:t>The standstill period applies when you set up a framework agreement.</w:t>
      </w:r>
      <w:r>
        <w:rPr>
          <w:sz w:val="24"/>
          <w:szCs w:val="24"/>
        </w:rPr>
        <w:t xml:space="preserve"> </w:t>
      </w:r>
      <w:r w:rsidRPr="00094FD2">
        <w:rPr>
          <w:sz w:val="24"/>
          <w:szCs w:val="24"/>
        </w:rPr>
        <w:t>However, there is no mandatory standstill period for a call-off contract under a framework</w:t>
      </w:r>
    </w:p>
    <w:p w:rsidR="000D0441" w:rsidRDefault="000D0441" w:rsidP="003A091A">
      <w:pPr>
        <w:pStyle w:val="ListParagraph"/>
        <w:ind w:left="0"/>
        <w:rPr>
          <w:sz w:val="24"/>
          <w:szCs w:val="24"/>
        </w:rPr>
      </w:pPr>
    </w:p>
    <w:p w:rsidR="00C02CFC" w:rsidRPr="00C02CFC" w:rsidRDefault="00C02CFC" w:rsidP="003A091A">
      <w:pPr>
        <w:pStyle w:val="ListParagraph"/>
        <w:numPr>
          <w:ilvl w:val="0"/>
          <w:numId w:val="3"/>
        </w:numPr>
        <w:rPr>
          <w:b/>
          <w:sz w:val="28"/>
          <w:szCs w:val="28"/>
        </w:rPr>
      </w:pPr>
      <w:r w:rsidRPr="00C02CFC">
        <w:rPr>
          <w:b/>
          <w:sz w:val="28"/>
          <w:szCs w:val="28"/>
        </w:rPr>
        <w:t xml:space="preserve">Does the Call Off contract </w:t>
      </w:r>
      <w:r>
        <w:rPr>
          <w:b/>
          <w:sz w:val="28"/>
          <w:szCs w:val="28"/>
        </w:rPr>
        <w:t>need amendi</w:t>
      </w:r>
      <w:r w:rsidRPr="00C02CFC">
        <w:rPr>
          <w:b/>
          <w:sz w:val="28"/>
          <w:szCs w:val="28"/>
        </w:rPr>
        <w:t xml:space="preserve">ng to cater for </w:t>
      </w:r>
      <w:r>
        <w:rPr>
          <w:b/>
          <w:sz w:val="28"/>
          <w:szCs w:val="28"/>
        </w:rPr>
        <w:t>the law in England and Wales, Scotland and Northern Ireland?</w:t>
      </w:r>
    </w:p>
    <w:p w:rsidR="00C02CFC" w:rsidRPr="00584FF0" w:rsidRDefault="00C02CFC" w:rsidP="00C02CFC">
      <w:pPr>
        <w:rPr>
          <w:sz w:val="24"/>
          <w:szCs w:val="24"/>
        </w:rPr>
      </w:pPr>
      <w:r w:rsidRPr="00E518A7">
        <w:rPr>
          <w:sz w:val="24"/>
          <w:szCs w:val="24"/>
        </w:rPr>
        <w:t xml:space="preserve">The contract is constructed to cater for the law across England &amp; Wales, Scotland and Northern Ireland. However you will need to state in your requirements in any further competition documents so suppliers are aware. </w:t>
      </w:r>
    </w:p>
    <w:p w:rsidR="00B34856" w:rsidRPr="00E518A7" w:rsidRDefault="00B34856" w:rsidP="00C02CFC">
      <w:pPr>
        <w:rPr>
          <w:sz w:val="24"/>
          <w:szCs w:val="24"/>
        </w:rPr>
      </w:pPr>
    </w:p>
    <w:p w:rsidR="000C775D" w:rsidRPr="000D0441" w:rsidRDefault="00E518A7" w:rsidP="003A091A">
      <w:pPr>
        <w:pStyle w:val="ListParagraph"/>
        <w:numPr>
          <w:ilvl w:val="0"/>
          <w:numId w:val="3"/>
        </w:numPr>
        <w:rPr>
          <w:sz w:val="28"/>
          <w:szCs w:val="28"/>
        </w:rPr>
      </w:pPr>
      <w:r>
        <w:rPr>
          <w:b/>
          <w:sz w:val="28"/>
          <w:szCs w:val="28"/>
        </w:rPr>
        <w:t>Is s</w:t>
      </w:r>
      <w:r w:rsidR="00B04993" w:rsidRPr="000D0441">
        <w:rPr>
          <w:b/>
          <w:sz w:val="28"/>
          <w:szCs w:val="28"/>
        </w:rPr>
        <w:t xml:space="preserve">upplier </w:t>
      </w:r>
      <w:r>
        <w:rPr>
          <w:b/>
          <w:sz w:val="28"/>
          <w:szCs w:val="28"/>
        </w:rPr>
        <w:t>e</w:t>
      </w:r>
      <w:r w:rsidR="00B04993" w:rsidRPr="000D0441">
        <w:rPr>
          <w:b/>
          <w:sz w:val="28"/>
          <w:szCs w:val="28"/>
        </w:rPr>
        <w:t xml:space="preserve">valuation </w:t>
      </w:r>
      <w:r w:rsidR="004B4480" w:rsidRPr="000D0441">
        <w:rPr>
          <w:b/>
          <w:sz w:val="28"/>
          <w:szCs w:val="28"/>
        </w:rPr>
        <w:t>scoring</w:t>
      </w:r>
      <w:r>
        <w:rPr>
          <w:b/>
          <w:sz w:val="28"/>
          <w:szCs w:val="28"/>
        </w:rPr>
        <w:t xml:space="preserve"> different for Direct and Further Competition Awards?</w:t>
      </w:r>
    </w:p>
    <w:p w:rsidR="000C775D" w:rsidRPr="003A091A" w:rsidRDefault="000C775D" w:rsidP="003A091A">
      <w:pPr>
        <w:rPr>
          <w:sz w:val="24"/>
          <w:szCs w:val="24"/>
        </w:rPr>
      </w:pPr>
      <w:r w:rsidRPr="003A091A">
        <w:rPr>
          <w:sz w:val="24"/>
          <w:szCs w:val="24"/>
        </w:rPr>
        <w:t xml:space="preserve">The weighting for both quality and price are different between Direct and Further Competition Awards under this Framework and care should be taken to ensure the correct weighting criteria is applied. </w:t>
      </w:r>
    </w:p>
    <w:p w:rsidR="000C775D" w:rsidRPr="003A091A" w:rsidRDefault="000C775D" w:rsidP="003A091A">
      <w:pPr>
        <w:rPr>
          <w:sz w:val="24"/>
          <w:szCs w:val="24"/>
        </w:rPr>
      </w:pPr>
      <w:r w:rsidRPr="003A091A">
        <w:rPr>
          <w:sz w:val="24"/>
          <w:szCs w:val="24"/>
        </w:rPr>
        <w:t>The scoring you apply can be from a range of either 30 to 70 on price/quality</w:t>
      </w:r>
      <w:r w:rsidR="00C0339A">
        <w:rPr>
          <w:sz w:val="24"/>
          <w:szCs w:val="24"/>
        </w:rPr>
        <w:t xml:space="preserve"> (plus or minus 10%)</w:t>
      </w:r>
      <w:r w:rsidRPr="003A091A">
        <w:rPr>
          <w:sz w:val="24"/>
          <w:szCs w:val="24"/>
        </w:rPr>
        <w:t xml:space="preserve"> for Direct Awards and 20 to 80 on price/quality</w:t>
      </w:r>
      <w:r w:rsidR="00C0339A">
        <w:rPr>
          <w:sz w:val="24"/>
          <w:szCs w:val="24"/>
        </w:rPr>
        <w:t xml:space="preserve"> or quality/price</w:t>
      </w:r>
      <w:r w:rsidRPr="003A091A">
        <w:rPr>
          <w:sz w:val="24"/>
          <w:szCs w:val="24"/>
        </w:rPr>
        <w:t xml:space="preserve"> for Further Competition </w:t>
      </w:r>
    </w:p>
    <w:p w:rsidR="00584FF0" w:rsidRDefault="000C775D" w:rsidP="009C0D6B">
      <w:pPr>
        <w:rPr>
          <w:sz w:val="24"/>
          <w:szCs w:val="24"/>
        </w:rPr>
      </w:pPr>
      <w:r w:rsidRPr="003A091A">
        <w:rPr>
          <w:sz w:val="24"/>
          <w:szCs w:val="24"/>
        </w:rPr>
        <w:t xml:space="preserve">See the detail on </w:t>
      </w:r>
      <w:r w:rsidRPr="00B34856">
        <w:rPr>
          <w:sz w:val="24"/>
          <w:szCs w:val="24"/>
        </w:rPr>
        <w:t xml:space="preserve">Award Criteria in the </w:t>
      </w:r>
      <w:r w:rsidR="00E931A8" w:rsidRPr="00B34856">
        <w:rPr>
          <w:sz w:val="24"/>
          <w:szCs w:val="24"/>
        </w:rPr>
        <w:t>Evaluation</w:t>
      </w:r>
      <w:r w:rsidR="00C0339A" w:rsidRPr="00B34856">
        <w:rPr>
          <w:sz w:val="24"/>
          <w:szCs w:val="24"/>
        </w:rPr>
        <w:t xml:space="preserve"> matrix as shown in </w:t>
      </w:r>
      <w:r w:rsidRPr="00B34856">
        <w:rPr>
          <w:sz w:val="24"/>
          <w:szCs w:val="24"/>
        </w:rPr>
        <w:t>Customer Guide</w:t>
      </w:r>
      <w:r w:rsidR="00C0339A" w:rsidRPr="00B34856">
        <w:rPr>
          <w:sz w:val="24"/>
          <w:szCs w:val="24"/>
        </w:rPr>
        <w:t xml:space="preserve"> </w:t>
      </w:r>
      <w:r w:rsidR="00584FF0">
        <w:rPr>
          <w:sz w:val="24"/>
          <w:szCs w:val="24"/>
        </w:rPr>
        <w:t>Section 9(e).</w:t>
      </w:r>
    </w:p>
    <w:p w:rsidR="00B04993" w:rsidRDefault="000C775D" w:rsidP="009C0D6B">
      <w:pPr>
        <w:rPr>
          <w:sz w:val="24"/>
          <w:szCs w:val="24"/>
        </w:rPr>
      </w:pPr>
      <w:r w:rsidRPr="003A091A">
        <w:rPr>
          <w:sz w:val="24"/>
          <w:szCs w:val="24"/>
        </w:rPr>
        <w:t>We recommend that you use the same framework as used in the Framework Award Questions</w:t>
      </w:r>
    </w:p>
    <w:p w:rsidR="00C0339A" w:rsidRPr="00584FF0" w:rsidRDefault="00C0339A" w:rsidP="003A091A">
      <w:pPr>
        <w:rPr>
          <w:sz w:val="24"/>
          <w:szCs w:val="24"/>
        </w:rPr>
      </w:pPr>
    </w:p>
    <w:p w:rsidR="00584FF0" w:rsidRPr="00584FF0" w:rsidRDefault="000C775D" w:rsidP="00584FF0">
      <w:pPr>
        <w:pStyle w:val="ListParagraph"/>
        <w:numPr>
          <w:ilvl w:val="0"/>
          <w:numId w:val="3"/>
        </w:numPr>
        <w:rPr>
          <w:sz w:val="24"/>
          <w:szCs w:val="24"/>
        </w:rPr>
      </w:pPr>
      <w:r w:rsidRPr="00584FF0">
        <w:rPr>
          <w:b/>
          <w:sz w:val="28"/>
          <w:szCs w:val="28"/>
        </w:rPr>
        <w:t>Aggregating MA Contracts</w:t>
      </w:r>
      <w:r w:rsidR="00187A7D" w:rsidRPr="00584FF0">
        <w:rPr>
          <w:b/>
          <w:sz w:val="24"/>
          <w:szCs w:val="24"/>
        </w:rPr>
        <w:t xml:space="preserve"> </w:t>
      </w:r>
    </w:p>
    <w:p w:rsidR="00187A7D" w:rsidRPr="00584FF0" w:rsidRDefault="00187A7D" w:rsidP="00584FF0">
      <w:pPr>
        <w:pStyle w:val="ListParagraph"/>
        <w:ind w:left="360"/>
        <w:rPr>
          <w:sz w:val="24"/>
          <w:szCs w:val="24"/>
        </w:rPr>
      </w:pPr>
      <w:r w:rsidRPr="00584FF0">
        <w:rPr>
          <w:sz w:val="24"/>
          <w:szCs w:val="24"/>
        </w:rPr>
        <w:t xml:space="preserve">An organisation may have a number of </w:t>
      </w:r>
      <w:r w:rsidR="004B4480" w:rsidRPr="00584FF0">
        <w:rPr>
          <w:sz w:val="24"/>
          <w:szCs w:val="24"/>
        </w:rPr>
        <w:t xml:space="preserve">merchant acquirer contracts which it </w:t>
      </w:r>
      <w:r w:rsidRPr="00584FF0">
        <w:rPr>
          <w:sz w:val="24"/>
          <w:szCs w:val="24"/>
        </w:rPr>
        <w:t xml:space="preserve">wishes </w:t>
      </w:r>
      <w:r w:rsidR="004B4480" w:rsidRPr="00584FF0">
        <w:rPr>
          <w:sz w:val="24"/>
          <w:szCs w:val="24"/>
        </w:rPr>
        <w:t xml:space="preserve">to aggregate. If these </w:t>
      </w:r>
      <w:r w:rsidRPr="00584FF0">
        <w:rPr>
          <w:sz w:val="24"/>
          <w:szCs w:val="24"/>
        </w:rPr>
        <w:t xml:space="preserve">contracts have differing expiry dates would we need to go to Further Competition </w:t>
      </w:r>
      <w:r w:rsidR="004B4480" w:rsidRPr="00584FF0">
        <w:rPr>
          <w:sz w:val="24"/>
          <w:szCs w:val="24"/>
        </w:rPr>
        <w:t>separately</w:t>
      </w:r>
      <w:r w:rsidRPr="00584FF0">
        <w:rPr>
          <w:sz w:val="24"/>
          <w:szCs w:val="24"/>
        </w:rPr>
        <w:t xml:space="preserve"> OR </w:t>
      </w:r>
      <w:r w:rsidR="004B4480" w:rsidRPr="00584FF0">
        <w:rPr>
          <w:sz w:val="24"/>
          <w:szCs w:val="24"/>
        </w:rPr>
        <w:t xml:space="preserve">undertake a </w:t>
      </w:r>
      <w:r w:rsidRPr="00584FF0">
        <w:rPr>
          <w:sz w:val="24"/>
          <w:szCs w:val="24"/>
        </w:rPr>
        <w:t>joined up Further Competition for both contracts?</w:t>
      </w:r>
    </w:p>
    <w:p w:rsidR="00187A7D" w:rsidRDefault="00187A7D" w:rsidP="00584FF0">
      <w:pPr>
        <w:rPr>
          <w:sz w:val="24"/>
          <w:szCs w:val="24"/>
        </w:rPr>
      </w:pPr>
      <w:r w:rsidRPr="00584FF0">
        <w:rPr>
          <w:sz w:val="24"/>
          <w:szCs w:val="24"/>
        </w:rPr>
        <w:lastRenderedPageBreak/>
        <w:t xml:space="preserve">You can undertake a single joined up Further Competition for all MA services and make clear to the supplier when each element of existing and expiring contracts will come on board. This is assuming that aggregating MA services will ensure your business is </w:t>
      </w:r>
      <w:r w:rsidR="000E76E3" w:rsidRPr="00584FF0">
        <w:rPr>
          <w:sz w:val="24"/>
          <w:szCs w:val="24"/>
        </w:rPr>
        <w:t xml:space="preserve">awarded in this manner </w:t>
      </w:r>
      <w:r w:rsidRPr="00584FF0">
        <w:rPr>
          <w:sz w:val="24"/>
          <w:szCs w:val="24"/>
        </w:rPr>
        <w:t>to obtain the most economically advantageous supply arrangement.</w:t>
      </w:r>
    </w:p>
    <w:p w:rsidR="00094FD2" w:rsidRDefault="00094FD2" w:rsidP="003A091A">
      <w:pPr>
        <w:rPr>
          <w:sz w:val="24"/>
          <w:szCs w:val="24"/>
        </w:rPr>
      </w:pPr>
    </w:p>
    <w:p w:rsidR="009C0D6B" w:rsidRDefault="009C0D6B" w:rsidP="00A574DC">
      <w:pPr>
        <w:pStyle w:val="ListParagraph"/>
        <w:numPr>
          <w:ilvl w:val="0"/>
          <w:numId w:val="3"/>
        </w:numPr>
        <w:rPr>
          <w:b/>
          <w:sz w:val="28"/>
          <w:szCs w:val="28"/>
        </w:rPr>
      </w:pPr>
      <w:r>
        <w:rPr>
          <w:b/>
          <w:sz w:val="28"/>
          <w:szCs w:val="28"/>
        </w:rPr>
        <w:t>How long will it take to On Board my organisation?</w:t>
      </w:r>
    </w:p>
    <w:p w:rsidR="009C0D6B" w:rsidRDefault="009C0D6B" w:rsidP="009C0D6B">
      <w:pPr>
        <w:pStyle w:val="ListParagraph"/>
        <w:ind w:left="0"/>
        <w:rPr>
          <w:sz w:val="24"/>
          <w:szCs w:val="24"/>
        </w:rPr>
      </w:pPr>
      <w:r w:rsidRPr="009C0D6B">
        <w:rPr>
          <w:sz w:val="24"/>
          <w:szCs w:val="24"/>
        </w:rPr>
        <w:t xml:space="preserve">This will depend on the scale, size and complexity of </w:t>
      </w:r>
      <w:r>
        <w:rPr>
          <w:sz w:val="24"/>
          <w:szCs w:val="24"/>
        </w:rPr>
        <w:t>y</w:t>
      </w:r>
      <w:r w:rsidRPr="009C0D6B">
        <w:rPr>
          <w:sz w:val="24"/>
          <w:szCs w:val="24"/>
        </w:rPr>
        <w:t xml:space="preserve">our organisation. We have earlier asked all customers to </w:t>
      </w:r>
      <w:r>
        <w:rPr>
          <w:sz w:val="24"/>
          <w:szCs w:val="24"/>
        </w:rPr>
        <w:t xml:space="preserve">provide detailed outlines of their anticipated service requirements which are shared with Suppliers to ensure that they can plan and organise to meet demand. </w:t>
      </w:r>
    </w:p>
    <w:p w:rsidR="009C0D6B" w:rsidRDefault="009C0D6B" w:rsidP="009C0D6B">
      <w:pPr>
        <w:pStyle w:val="ListParagraph"/>
        <w:ind w:left="0"/>
        <w:rPr>
          <w:sz w:val="24"/>
          <w:szCs w:val="24"/>
        </w:rPr>
      </w:pPr>
    </w:p>
    <w:p w:rsidR="009C0D6B" w:rsidRDefault="009C0D6B" w:rsidP="009C0D6B">
      <w:pPr>
        <w:pStyle w:val="ListParagraph"/>
        <w:ind w:left="0"/>
        <w:rPr>
          <w:sz w:val="24"/>
          <w:szCs w:val="24"/>
        </w:rPr>
      </w:pPr>
      <w:r>
        <w:rPr>
          <w:sz w:val="24"/>
          <w:szCs w:val="24"/>
        </w:rPr>
        <w:t>Typically we expect no issues with transition to the new arrangements but let us know if your encounter any issues</w:t>
      </w:r>
    </w:p>
    <w:p w:rsidR="009C0D6B" w:rsidRDefault="009C0D6B" w:rsidP="009C0D6B">
      <w:pPr>
        <w:pStyle w:val="ListParagraph"/>
        <w:ind w:left="0"/>
        <w:rPr>
          <w:sz w:val="24"/>
          <w:szCs w:val="24"/>
        </w:rPr>
      </w:pPr>
    </w:p>
    <w:p w:rsidR="004B4480" w:rsidRPr="000D0441" w:rsidRDefault="00094FD2" w:rsidP="00A574DC">
      <w:pPr>
        <w:pStyle w:val="ListParagraph"/>
        <w:numPr>
          <w:ilvl w:val="0"/>
          <w:numId w:val="3"/>
        </w:numPr>
        <w:rPr>
          <w:b/>
          <w:sz w:val="28"/>
          <w:szCs w:val="28"/>
        </w:rPr>
      </w:pPr>
      <w:r>
        <w:rPr>
          <w:b/>
          <w:sz w:val="28"/>
          <w:szCs w:val="28"/>
        </w:rPr>
        <w:t>Managing the R</w:t>
      </w:r>
      <w:r w:rsidR="00A574DC" w:rsidRPr="000D0441">
        <w:rPr>
          <w:b/>
          <w:sz w:val="28"/>
          <w:szCs w:val="28"/>
        </w:rPr>
        <w:t>elationship</w:t>
      </w:r>
    </w:p>
    <w:p w:rsidR="00A574DC" w:rsidRDefault="00A574DC" w:rsidP="00A574DC">
      <w:pPr>
        <w:pStyle w:val="ListParagraph"/>
        <w:numPr>
          <w:ilvl w:val="1"/>
          <w:numId w:val="3"/>
        </w:numPr>
        <w:rPr>
          <w:b/>
          <w:sz w:val="24"/>
          <w:szCs w:val="24"/>
        </w:rPr>
      </w:pPr>
      <w:r>
        <w:rPr>
          <w:b/>
          <w:sz w:val="24"/>
          <w:szCs w:val="24"/>
        </w:rPr>
        <w:t>How do I provide CCS with feedback on the performance of the Supplier?</w:t>
      </w:r>
    </w:p>
    <w:p w:rsidR="00A574DC" w:rsidRDefault="00A574DC" w:rsidP="00A574DC">
      <w:pPr>
        <w:pStyle w:val="ListParagraph"/>
        <w:ind w:left="0"/>
        <w:rPr>
          <w:sz w:val="24"/>
          <w:szCs w:val="24"/>
        </w:rPr>
      </w:pPr>
      <w:r w:rsidRPr="00A574DC">
        <w:rPr>
          <w:sz w:val="24"/>
          <w:szCs w:val="24"/>
        </w:rPr>
        <w:t>Under the governance provisions of the framework agreement, the supplier will provide a</w:t>
      </w:r>
      <w:r>
        <w:rPr>
          <w:sz w:val="24"/>
          <w:szCs w:val="24"/>
        </w:rPr>
        <w:t xml:space="preserve"> </w:t>
      </w:r>
      <w:r w:rsidRPr="00A574DC">
        <w:rPr>
          <w:sz w:val="24"/>
          <w:szCs w:val="24"/>
        </w:rPr>
        <w:t>monthly service report to the contracting bo</w:t>
      </w:r>
      <w:r>
        <w:rPr>
          <w:sz w:val="24"/>
          <w:szCs w:val="24"/>
        </w:rPr>
        <w:t xml:space="preserve">dy and periodic reports to CCS. </w:t>
      </w:r>
      <w:r w:rsidRPr="00A574DC">
        <w:rPr>
          <w:sz w:val="24"/>
          <w:szCs w:val="24"/>
        </w:rPr>
        <w:t>These reports are rev</w:t>
      </w:r>
      <w:r>
        <w:rPr>
          <w:sz w:val="24"/>
          <w:szCs w:val="24"/>
        </w:rPr>
        <w:t>i</w:t>
      </w:r>
      <w:r w:rsidRPr="00A574DC">
        <w:rPr>
          <w:sz w:val="24"/>
          <w:szCs w:val="24"/>
        </w:rPr>
        <w:t>ewed and agreed at regular meetings. These meetings are a forum to discuss compliance with the Standards.</w:t>
      </w:r>
    </w:p>
    <w:p w:rsidR="00A574DC" w:rsidRPr="00A574DC" w:rsidRDefault="00A574DC" w:rsidP="00A574DC">
      <w:pPr>
        <w:pStyle w:val="ListParagraph"/>
        <w:ind w:left="0"/>
        <w:rPr>
          <w:sz w:val="24"/>
          <w:szCs w:val="24"/>
        </w:rPr>
      </w:pPr>
    </w:p>
    <w:p w:rsidR="00A574DC" w:rsidRDefault="000D0441" w:rsidP="00A574DC">
      <w:pPr>
        <w:pStyle w:val="ListParagraph"/>
        <w:numPr>
          <w:ilvl w:val="1"/>
          <w:numId w:val="3"/>
        </w:numPr>
        <w:rPr>
          <w:b/>
          <w:sz w:val="24"/>
          <w:szCs w:val="24"/>
        </w:rPr>
      </w:pPr>
      <w:r>
        <w:rPr>
          <w:b/>
          <w:sz w:val="24"/>
          <w:szCs w:val="24"/>
        </w:rPr>
        <w:t>I am in dispute with the S</w:t>
      </w:r>
      <w:r w:rsidR="00A574DC">
        <w:rPr>
          <w:b/>
          <w:sz w:val="24"/>
          <w:szCs w:val="24"/>
        </w:rPr>
        <w:t>upplier</w:t>
      </w:r>
      <w:r>
        <w:rPr>
          <w:b/>
          <w:sz w:val="24"/>
          <w:szCs w:val="24"/>
        </w:rPr>
        <w:t xml:space="preserve">, can I ask CCS to assist? </w:t>
      </w:r>
    </w:p>
    <w:p w:rsidR="000D0441" w:rsidRDefault="000D0441" w:rsidP="00A574DC">
      <w:pPr>
        <w:pStyle w:val="ListParagraph"/>
        <w:ind w:left="0"/>
        <w:rPr>
          <w:sz w:val="24"/>
          <w:szCs w:val="24"/>
        </w:rPr>
      </w:pPr>
      <w:r>
        <w:rPr>
          <w:sz w:val="24"/>
          <w:szCs w:val="24"/>
        </w:rPr>
        <w:t>U</w:t>
      </w:r>
      <w:r w:rsidR="00A574DC">
        <w:rPr>
          <w:sz w:val="24"/>
          <w:szCs w:val="24"/>
        </w:rPr>
        <w:t xml:space="preserve">nder the </w:t>
      </w:r>
      <w:r>
        <w:rPr>
          <w:sz w:val="24"/>
          <w:szCs w:val="24"/>
        </w:rPr>
        <w:t>Call Off agreement, each contracting body may, itself, resolve any disputes with the Supplier.</w:t>
      </w:r>
    </w:p>
    <w:p w:rsidR="000D0441" w:rsidRDefault="000D0441" w:rsidP="00A574DC">
      <w:pPr>
        <w:pStyle w:val="ListParagraph"/>
        <w:ind w:left="0"/>
        <w:rPr>
          <w:sz w:val="24"/>
          <w:szCs w:val="24"/>
        </w:rPr>
      </w:pPr>
    </w:p>
    <w:p w:rsidR="00EC0825" w:rsidRDefault="000D0441" w:rsidP="009C0D6B">
      <w:pPr>
        <w:pStyle w:val="ListParagraph"/>
        <w:ind w:left="0"/>
        <w:rPr>
          <w:sz w:val="24"/>
          <w:szCs w:val="24"/>
        </w:rPr>
      </w:pPr>
      <w:r>
        <w:rPr>
          <w:sz w:val="24"/>
          <w:szCs w:val="24"/>
        </w:rPr>
        <w:t xml:space="preserve">However if you feel that the particular issue would benefit from being escalated to CCS then you can refer the dispute to the dispute resolution process under the </w:t>
      </w:r>
      <w:r w:rsidR="00A574DC">
        <w:rPr>
          <w:sz w:val="24"/>
          <w:szCs w:val="24"/>
        </w:rPr>
        <w:t>framework agreement</w:t>
      </w:r>
      <w:r>
        <w:rPr>
          <w:sz w:val="24"/>
          <w:szCs w:val="24"/>
        </w:rPr>
        <w:t>. This has the advantage of dealing with problems that might affect a number of contracting bodies.</w:t>
      </w:r>
    </w:p>
    <w:p w:rsidR="00094FD2" w:rsidRDefault="00094FD2" w:rsidP="009C0D6B">
      <w:pPr>
        <w:pStyle w:val="ListParagraph"/>
        <w:ind w:left="0"/>
        <w:rPr>
          <w:sz w:val="24"/>
          <w:szCs w:val="24"/>
        </w:rPr>
      </w:pPr>
    </w:p>
    <w:sectPr w:rsidR="00094FD2" w:rsidSect="0011579F">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AAC" w:rsidRDefault="00057AAC" w:rsidP="009C0D6B">
      <w:pPr>
        <w:spacing w:after="0" w:line="240" w:lineRule="auto"/>
      </w:pPr>
      <w:r>
        <w:separator/>
      </w:r>
    </w:p>
  </w:endnote>
  <w:endnote w:type="continuationSeparator" w:id="0">
    <w:p w:rsidR="00057AAC" w:rsidRDefault="00057AAC" w:rsidP="009C0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39A" w:rsidRDefault="009C0D6B">
    <w:pPr>
      <w:pStyle w:val="Footer"/>
    </w:pPr>
    <w:r>
      <w:t>MA RM3702</w:t>
    </w:r>
  </w:p>
  <w:p w:rsidR="009C0D6B" w:rsidRDefault="00C0339A">
    <w:pPr>
      <w:pStyle w:val="Footer"/>
    </w:pPr>
    <w:r>
      <w:t>V1.0 2.3.</w:t>
    </w:r>
    <w:r w:rsidR="009C0D6B">
      <w:t>2016</w:t>
    </w:r>
  </w:p>
  <w:p w:rsidR="009C0D6B" w:rsidRDefault="009C0D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AAC" w:rsidRDefault="00057AAC" w:rsidP="009C0D6B">
      <w:pPr>
        <w:spacing w:after="0" w:line="240" w:lineRule="auto"/>
      </w:pPr>
      <w:r>
        <w:separator/>
      </w:r>
    </w:p>
  </w:footnote>
  <w:footnote w:type="continuationSeparator" w:id="0">
    <w:p w:rsidR="00057AAC" w:rsidRDefault="00057AAC" w:rsidP="009C0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67FE"/>
    <w:multiLevelType w:val="multilevel"/>
    <w:tmpl w:val="6FAA4A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DE87D69"/>
    <w:multiLevelType w:val="multilevel"/>
    <w:tmpl w:val="67C4439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FF877DF"/>
    <w:multiLevelType w:val="multilevel"/>
    <w:tmpl w:val="6FAA4A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76A175B"/>
    <w:multiLevelType w:val="multilevel"/>
    <w:tmpl w:val="67C4439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BD107A5"/>
    <w:multiLevelType w:val="multilevel"/>
    <w:tmpl w:val="6FAA4A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D1333E5"/>
    <w:multiLevelType w:val="multilevel"/>
    <w:tmpl w:val="6FAA4A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0037AFC"/>
    <w:multiLevelType w:val="hybridMultilevel"/>
    <w:tmpl w:val="C636AAC2"/>
    <w:lvl w:ilvl="0" w:tplc="1B90C95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02046CE"/>
    <w:multiLevelType w:val="hybridMultilevel"/>
    <w:tmpl w:val="A0C8AC16"/>
    <w:lvl w:ilvl="0" w:tplc="544C407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C6330B3"/>
    <w:multiLevelType w:val="multilevel"/>
    <w:tmpl w:val="6FAA4A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6"/>
  </w:num>
  <w:num w:numId="3">
    <w:abstractNumId w:val="1"/>
  </w:num>
  <w:num w:numId="4">
    <w:abstractNumId w:val="3"/>
  </w:num>
  <w:num w:numId="5">
    <w:abstractNumId w:val="8"/>
  </w:num>
  <w:num w:numId="6">
    <w:abstractNumId w:val="0"/>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80"/>
    <w:rsid w:val="000210C7"/>
    <w:rsid w:val="00057AAC"/>
    <w:rsid w:val="00061452"/>
    <w:rsid w:val="00074B68"/>
    <w:rsid w:val="00094FD2"/>
    <w:rsid w:val="000C775D"/>
    <w:rsid w:val="000D0441"/>
    <w:rsid w:val="000E76E3"/>
    <w:rsid w:val="0011579F"/>
    <w:rsid w:val="00157CF1"/>
    <w:rsid w:val="00187A7D"/>
    <w:rsid w:val="001C1034"/>
    <w:rsid w:val="00231947"/>
    <w:rsid w:val="00274807"/>
    <w:rsid w:val="002B1AAD"/>
    <w:rsid w:val="00317D9B"/>
    <w:rsid w:val="003A091A"/>
    <w:rsid w:val="00486055"/>
    <w:rsid w:val="00495A32"/>
    <w:rsid w:val="004B4480"/>
    <w:rsid w:val="004B516A"/>
    <w:rsid w:val="004F7AB3"/>
    <w:rsid w:val="00584FF0"/>
    <w:rsid w:val="00600D7E"/>
    <w:rsid w:val="00724AF3"/>
    <w:rsid w:val="008E338F"/>
    <w:rsid w:val="00990379"/>
    <w:rsid w:val="009C0D6B"/>
    <w:rsid w:val="00A05182"/>
    <w:rsid w:val="00A574DC"/>
    <w:rsid w:val="00AC656D"/>
    <w:rsid w:val="00B04993"/>
    <w:rsid w:val="00B34856"/>
    <w:rsid w:val="00C02CFC"/>
    <w:rsid w:val="00C0339A"/>
    <w:rsid w:val="00C11C09"/>
    <w:rsid w:val="00C330C1"/>
    <w:rsid w:val="00C7270F"/>
    <w:rsid w:val="00CE3FCB"/>
    <w:rsid w:val="00CF0E9E"/>
    <w:rsid w:val="00D24791"/>
    <w:rsid w:val="00DF1BB3"/>
    <w:rsid w:val="00E518A7"/>
    <w:rsid w:val="00E86503"/>
    <w:rsid w:val="00E931A8"/>
    <w:rsid w:val="00EA2977"/>
    <w:rsid w:val="00EC0825"/>
    <w:rsid w:val="00F13FAE"/>
    <w:rsid w:val="00F20117"/>
    <w:rsid w:val="00FB10C4"/>
    <w:rsid w:val="00FC5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2D858-CEFA-4D12-9AA7-6BD6BBD7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480"/>
    <w:pPr>
      <w:ind w:left="720"/>
      <w:contextualSpacing/>
    </w:pPr>
  </w:style>
  <w:style w:type="paragraph" w:styleId="Header">
    <w:name w:val="header"/>
    <w:basedOn w:val="Normal"/>
    <w:link w:val="HeaderChar"/>
    <w:uiPriority w:val="99"/>
    <w:unhideWhenUsed/>
    <w:rsid w:val="009C0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D6B"/>
  </w:style>
  <w:style w:type="paragraph" w:styleId="Footer">
    <w:name w:val="footer"/>
    <w:basedOn w:val="Normal"/>
    <w:link w:val="FooterChar"/>
    <w:uiPriority w:val="99"/>
    <w:unhideWhenUsed/>
    <w:rsid w:val="009C0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D6B"/>
  </w:style>
  <w:style w:type="paragraph" w:styleId="BalloonText">
    <w:name w:val="Balloon Text"/>
    <w:basedOn w:val="Normal"/>
    <w:link w:val="BalloonTextChar"/>
    <w:uiPriority w:val="99"/>
    <w:semiHidden/>
    <w:unhideWhenUsed/>
    <w:rsid w:val="004F7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A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B9A4B-6B21-44ED-98BD-6BBAE1221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Leyland</dc:creator>
  <cp:keywords/>
  <dc:description/>
  <cp:lastModifiedBy>Helena Fearon</cp:lastModifiedBy>
  <cp:revision>2</cp:revision>
  <cp:lastPrinted>2016-03-02T14:20:00Z</cp:lastPrinted>
  <dcterms:created xsi:type="dcterms:W3CDTF">2018-12-17T15:14:00Z</dcterms:created>
  <dcterms:modified xsi:type="dcterms:W3CDTF">2018-12-17T15:14:00Z</dcterms:modified>
</cp:coreProperties>
</file>