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739" w:rsidRDefault="0029760E" w:rsidP="003714E3">
      <w:pPr>
        <w:spacing w:after="0" w:line="259" w:lineRule="auto"/>
        <w:ind w:left="52" w:right="441" w:firstLine="0"/>
        <w:jc w:val="right"/>
      </w:pPr>
      <w:r w:rsidRPr="003714E3">
        <w:rPr>
          <w:noProof/>
          <w:sz w:val="72"/>
          <w:szCs w:val="72"/>
        </w:rPr>
        <w:drawing>
          <wp:anchor distT="0" distB="0" distL="114300" distR="114300" simplePos="0" relativeHeight="251658240" behindDoc="0" locked="0" layoutInCell="1" allowOverlap="0">
            <wp:simplePos x="0" y="0"/>
            <wp:positionH relativeFrom="column">
              <wp:posOffset>33223</wp:posOffset>
            </wp:positionH>
            <wp:positionV relativeFrom="paragraph">
              <wp:posOffset>-85383</wp:posOffset>
            </wp:positionV>
            <wp:extent cx="1770888" cy="1542288"/>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4"/>
                    <a:stretch>
                      <a:fillRect/>
                    </a:stretch>
                  </pic:blipFill>
                  <pic:spPr>
                    <a:xfrm>
                      <a:off x="0" y="0"/>
                      <a:ext cx="1770888" cy="1542288"/>
                    </a:xfrm>
                    <a:prstGeom prst="rect">
                      <a:avLst/>
                    </a:prstGeom>
                  </pic:spPr>
                </pic:pic>
              </a:graphicData>
            </a:graphic>
          </wp:anchor>
        </w:drawing>
      </w:r>
      <w:r w:rsidRPr="003714E3">
        <w:rPr>
          <w:color w:val="005799"/>
          <w:sz w:val="72"/>
          <w:szCs w:val="72"/>
        </w:rPr>
        <w:t>Welcome to</w:t>
      </w:r>
      <w:r>
        <w:rPr>
          <w:color w:val="005799"/>
          <w:sz w:val="96"/>
        </w:rPr>
        <w:t xml:space="preserve"> </w:t>
      </w:r>
      <w:r w:rsidR="003714E3" w:rsidRPr="003714E3">
        <w:rPr>
          <w:b/>
          <w:color w:val="005799"/>
          <w:sz w:val="72"/>
          <w:szCs w:val="72"/>
        </w:rPr>
        <w:t xml:space="preserve">Project Management and Full Design Team Services </w:t>
      </w:r>
    </w:p>
    <w:p w:rsidR="00334739" w:rsidRDefault="0029760E">
      <w:pPr>
        <w:pStyle w:val="Heading1"/>
      </w:pPr>
      <w:r>
        <w:t>(RM</w:t>
      </w:r>
      <w:r w:rsidR="003714E3">
        <w:t>3741</w:t>
      </w:r>
      <w:r>
        <w:t>)</w:t>
      </w:r>
    </w:p>
    <w:p w:rsidR="00334739" w:rsidRDefault="0029760E">
      <w:pPr>
        <w:spacing w:after="0" w:line="259" w:lineRule="auto"/>
        <w:ind w:left="628" w:firstLine="0"/>
      </w:pPr>
      <w:r>
        <w:rPr>
          <w:noProof/>
        </w:rPr>
        <w:drawing>
          <wp:inline distT="0" distB="0" distL="0" distR="0">
            <wp:extent cx="11230356" cy="4108704"/>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5"/>
                    <a:stretch>
                      <a:fillRect/>
                    </a:stretch>
                  </pic:blipFill>
                  <pic:spPr>
                    <a:xfrm>
                      <a:off x="0" y="0"/>
                      <a:ext cx="11230356" cy="4108704"/>
                    </a:xfrm>
                    <a:prstGeom prst="rect">
                      <a:avLst/>
                    </a:prstGeom>
                  </pic:spPr>
                </pic:pic>
              </a:graphicData>
            </a:graphic>
          </wp:inline>
        </w:drawing>
      </w:r>
    </w:p>
    <w:p w:rsidR="00334739" w:rsidRDefault="003714E3">
      <w:pPr>
        <w:spacing w:after="145" w:line="259" w:lineRule="auto"/>
        <w:ind w:left="0" w:firstLine="0"/>
        <w:jc w:val="right"/>
      </w:pPr>
      <w:r>
        <w:rPr>
          <w:b/>
          <w:color w:val="005395"/>
          <w:sz w:val="60"/>
        </w:rPr>
        <w:t>PMFDTS</w:t>
      </w:r>
      <w:r w:rsidR="0029760E">
        <w:rPr>
          <w:b/>
          <w:color w:val="005395"/>
          <w:sz w:val="60"/>
        </w:rPr>
        <w:t>- Considering Liability</w:t>
      </w:r>
    </w:p>
    <w:p w:rsidR="00334739" w:rsidRDefault="0029760E">
      <w:pPr>
        <w:pStyle w:val="Heading2"/>
        <w:ind w:left="-5"/>
      </w:pPr>
      <w:r>
        <w:lastRenderedPageBreak/>
        <w:t>CALL OFF ORDER FORM and removal of Square Brackets</w:t>
      </w:r>
    </w:p>
    <w:p w:rsidR="00334739" w:rsidRDefault="0029760E">
      <w:pPr>
        <w:ind w:left="-5"/>
      </w:pPr>
      <w:r>
        <w:t>The RM</w:t>
      </w:r>
      <w:r w:rsidR="003714E3">
        <w:t>3741</w:t>
      </w:r>
      <w:r>
        <w:t xml:space="preserve"> </w:t>
      </w:r>
      <w:r w:rsidR="003714E3">
        <w:t>Project Management and Full Design Team Services</w:t>
      </w:r>
      <w:r>
        <w:t xml:space="preserve"> Attachment 5 Call-Off Contract 2.1 is </w:t>
      </w:r>
      <w:r>
        <w:rPr>
          <w:b/>
          <w:i/>
        </w:rPr>
        <w:t xml:space="preserve">NOT </w:t>
      </w:r>
      <w:r>
        <w:t>a complete appointment document ready for signature. The Contracting Authority will need to consider all aspects of the template Call-Off Order Form in line with the specific project requirements and complete it prior to seeking bids from the potential Supplier.  The use of square brackets within the template Call-Off Order Form indicates that specific drafting has not yet been agreed.</w:t>
      </w:r>
    </w:p>
    <w:p w:rsidR="00334739" w:rsidRDefault="0029760E">
      <w:pPr>
        <w:spacing w:after="679"/>
        <w:ind w:left="-5"/>
      </w:pPr>
      <w:r>
        <w:t xml:space="preserve">The Supplier will be unable to agree to the contract terms until the template Call Off Order Form has been completed, all square brackets have been removed and all aspects of the call-off contract are known.  </w:t>
      </w:r>
      <w:bookmarkStart w:id="0" w:name="_GoBack"/>
      <w:bookmarkEnd w:id="0"/>
    </w:p>
    <w:p w:rsidR="00334739" w:rsidRDefault="0029760E">
      <w:pPr>
        <w:pStyle w:val="Heading2"/>
        <w:spacing w:before="0"/>
        <w:ind w:left="-5"/>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762</wp:posOffset>
                </wp:positionH>
                <wp:positionV relativeFrom="page">
                  <wp:posOffset>1139190</wp:posOffset>
                </wp:positionV>
                <wp:extent cx="12191238" cy="19812"/>
                <wp:effectExtent l="0" t="0" r="0" b="0"/>
                <wp:wrapTopAndBottom/>
                <wp:docPr id="389" name="Group 389"/>
                <wp:cNvGraphicFramePr/>
                <a:graphic xmlns:a="http://schemas.openxmlformats.org/drawingml/2006/main">
                  <a:graphicData uri="http://schemas.microsoft.com/office/word/2010/wordprocessingGroup">
                    <wpg:wgp>
                      <wpg:cNvGrpSpPr/>
                      <wpg:grpSpPr>
                        <a:xfrm>
                          <a:off x="0" y="0"/>
                          <a:ext cx="12191238" cy="19812"/>
                          <a:chOff x="0" y="0"/>
                          <a:chExt cx="12191238" cy="19812"/>
                        </a:xfrm>
                      </wpg:grpSpPr>
                      <wps:wsp>
                        <wps:cNvPr id="21" name="Shape 21"/>
                        <wps:cNvSpPr/>
                        <wps:spPr>
                          <a:xfrm>
                            <a:off x="0" y="0"/>
                            <a:ext cx="12191238" cy="0"/>
                          </a:xfrm>
                          <a:custGeom>
                            <a:avLst/>
                            <a:gdLst/>
                            <a:ahLst/>
                            <a:cxnLst/>
                            <a:rect l="0" t="0" r="0" b="0"/>
                            <a:pathLst>
                              <a:path w="12191238">
                                <a:moveTo>
                                  <a:pt x="12191238" y="0"/>
                                </a:moveTo>
                                <a:lnTo>
                                  <a:pt x="0" y="0"/>
                                </a:lnTo>
                              </a:path>
                            </a:pathLst>
                          </a:custGeom>
                          <a:ln w="19812" cap="flat">
                            <a:round/>
                          </a:ln>
                        </wps:spPr>
                        <wps:style>
                          <a:lnRef idx="1">
                            <a:srgbClr val="005799"/>
                          </a:lnRef>
                          <a:fillRef idx="0">
                            <a:srgbClr val="000000">
                              <a:alpha val="0"/>
                            </a:srgbClr>
                          </a:fillRef>
                          <a:effectRef idx="0">
                            <a:scrgbClr r="0" g="0" b="0"/>
                          </a:effectRef>
                          <a:fontRef idx="none"/>
                        </wps:style>
                        <wps:bodyPr/>
                      </wps:wsp>
                    </wpg:wgp>
                  </a:graphicData>
                </a:graphic>
              </wp:anchor>
            </w:drawing>
          </mc:Choice>
          <mc:Fallback>
            <w:pict>
              <v:group w14:anchorId="27040292" id="Group 389" o:spid="_x0000_s1026" style="position:absolute;margin-left:.05pt;margin-top:89.7pt;width:959.95pt;height:1.55pt;z-index:251659264;mso-position-horizontal-relative:page;mso-position-vertical-relative:page" coordsize="121912,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">
                <v:shape id="Shape 21" o:spid="_x0000_s1027" style="position:absolute;width:121912;height:0;visibility:visible;mso-wrap-style:square;v-text-anchor:top" coordsize="12191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gTib8A&#10;AADbAAAADwAAAGRycy9kb3ducmV2LnhtbESPwQrCMBBE74L/EFbwpqkeRKpRRFAUEdT6AUuztsVm&#10;U5poq19vBMHjMDNvmPmyNaV4Uu0KywpGwwgEcWp1wZmCa7IZTEE4j6yxtEwKXuRgueh25hhr2/CZ&#10;nhefiQBhF6OC3PsqltKlORl0Q1sRB+9ma4M+yDqTusYmwE0px1E0kQYLDgs5VrTOKb1fHkZBYgpa&#10;uXt0er+2h3Xb0PF03Wul+r12NQPhqfX/8K+90wrGI/h+CT9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BOJvwAAANsAAAAPAAAAAAAAAAAAAAAAAJgCAABkcnMvZG93bnJl&#10;di54bWxQSwUGAAAAAAQABAD1AAAAhAMAAAAA&#10;" path="m12191238,l,e" filled="f" strokecolor="#005799" strokeweight="1.56pt">
                  <v:path arrowok="t" textboxrect="0,0,12191238,0"/>
                </v:shape>
                <w10:wrap type="topAndBottom"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6498335</wp:posOffset>
                </wp:positionV>
                <wp:extent cx="12192000" cy="359663"/>
                <wp:effectExtent l="0" t="0" r="0" b="0"/>
                <wp:wrapTopAndBottom/>
                <wp:docPr id="390" name="Group 390"/>
                <wp:cNvGraphicFramePr/>
                <a:graphic xmlns:a="http://schemas.openxmlformats.org/drawingml/2006/main">
                  <a:graphicData uri="http://schemas.microsoft.com/office/word/2010/wordprocessingGroup">
                    <wpg:wgp>
                      <wpg:cNvGrpSpPr/>
                      <wpg:grpSpPr>
                        <a:xfrm>
                          <a:off x="0" y="0"/>
                          <a:ext cx="12192000" cy="359663"/>
                          <a:chOff x="0" y="0"/>
                          <a:chExt cx="12192000" cy="359663"/>
                        </a:xfrm>
                      </wpg:grpSpPr>
                      <wps:wsp>
                        <wps:cNvPr id="508" name="Shape 508"/>
                        <wps:cNvSpPr/>
                        <wps:spPr>
                          <a:xfrm>
                            <a:off x="0" y="0"/>
                            <a:ext cx="12192000" cy="359663"/>
                          </a:xfrm>
                          <a:custGeom>
                            <a:avLst/>
                            <a:gdLst/>
                            <a:ahLst/>
                            <a:cxnLst/>
                            <a:rect l="0" t="0" r="0" b="0"/>
                            <a:pathLst>
                              <a:path w="12192000" h="359663">
                                <a:moveTo>
                                  <a:pt x="0" y="0"/>
                                </a:moveTo>
                                <a:lnTo>
                                  <a:pt x="12192000" y="0"/>
                                </a:lnTo>
                                <a:lnTo>
                                  <a:pt x="12192000" y="359663"/>
                                </a:lnTo>
                                <a:lnTo>
                                  <a:pt x="0" y="359663"/>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29" name="Rectangle 29"/>
                        <wps:cNvSpPr/>
                        <wps:spPr>
                          <a:xfrm>
                            <a:off x="10461625" y="36577"/>
                            <a:ext cx="102765" cy="206453"/>
                          </a:xfrm>
                          <a:prstGeom prst="rect">
                            <a:avLst/>
                          </a:prstGeom>
                          <a:ln>
                            <a:noFill/>
                          </a:ln>
                        </wps:spPr>
                        <wps:txbx>
                          <w:txbxContent>
                            <w:p w:rsidR="00334739" w:rsidRDefault="0029760E">
                              <w:pPr>
                                <w:spacing w:line="259" w:lineRule="auto"/>
                                <w:ind w:left="0" w:firstLine="0"/>
                              </w:pPr>
                              <w:r>
                                <w:rPr>
                                  <w:rFonts w:ascii="Calibri" w:eastAsia="Calibri" w:hAnsi="Calibri" w:cs="Calibri"/>
                                  <w:color w:val="898989"/>
                                  <w:sz w:val="24"/>
                                </w:rPr>
                                <w:t>2</w:t>
                              </w:r>
                            </w:p>
                          </w:txbxContent>
                        </wps:txbx>
                        <wps:bodyPr horzOverflow="overflow" vert="horz" lIns="0" tIns="0" rIns="0" bIns="0" rtlCol="0">
                          <a:noAutofit/>
                        </wps:bodyPr>
                      </wps:wsp>
                    </wpg:wgp>
                  </a:graphicData>
                </a:graphic>
              </wp:anchor>
            </w:drawing>
          </mc:Choice>
          <mc:Fallback>
            <w:pict>
              <v:group id="Group 390" o:spid="_x0000_s1026" style="position:absolute;left:0;text-align:left;margin-left:0;margin-top:511.7pt;width:960pt;height:28.3pt;z-index:251660288;mso-position-horizontal-relative:page;mso-position-vertical-relative:page" coordsize="121920,3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">
                <v:shape id="Shape 508" o:spid="_x0000_s1027" style="position:absolute;width:121920;height:3596;visibility:visible;mso-wrap-style:square;v-text-anchor:top" coordsize="12192000,35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KfIr0A&#10;AADcAAAADwAAAGRycy9kb3ducmV2LnhtbERPSwrCMBDdC94hjOBOU8Uf1SgqCC5EsHqAoRnbajMp&#10;TbT19mYhuHy8/2rTmlK8qXaFZQWjYQSCOLW64EzB7XoYLEA4j6yxtEwKPuRgs+52Vhhr2/CF3onP&#10;RAhhF6OC3PsqltKlORl0Q1sRB+5ua4M+wDqTusYmhJtSjqNoJg0WHBpyrGifU/pMXkbB/Nxy1ey0&#10;XmSTx/W1Pbvp3pyU6vfa7RKEp9b/xT/3USuYR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bKfIr0AAADcAAAADwAAAAAAAAAAAAAAAACYAgAAZHJzL2Rvd25yZXYu&#10;eG1sUEsFBgAAAAAEAAQA9QAAAIIDAAAAAA==&#10;" path="m,l12192000,r,359663l,359663,,e" fillcolor="#44546a" stroked="f" strokeweight="0">
                  <v:stroke miterlimit="83231f" joinstyle="miter"/>
                  <v:path arrowok="t" textboxrect="0,0,12192000,359663"/>
                </v:shape>
                <v:rect id="Rectangle 29" o:spid="_x0000_s1028" style="position:absolute;left:104616;top:365;width:1027;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334739" w:rsidRDefault="0029760E">
                        <w:pPr>
                          <w:spacing w:line="259" w:lineRule="auto"/>
                          <w:ind w:left="0" w:firstLine="0"/>
                        </w:pPr>
                        <w:r>
                          <w:rPr>
                            <w:rFonts w:ascii="Calibri" w:eastAsia="Calibri" w:hAnsi="Calibri" w:cs="Calibri"/>
                            <w:color w:val="898989"/>
                            <w:sz w:val="24"/>
                          </w:rPr>
                          <w:t>2</w:t>
                        </w:r>
                      </w:p>
                    </w:txbxContent>
                  </v:textbox>
                </v:rect>
                <w10:wrap type="topAndBottom" anchorx="page" anchory="page"/>
              </v:group>
            </w:pict>
          </mc:Fallback>
        </mc:AlternateContent>
      </w:r>
      <w:r>
        <w:rPr>
          <w:noProof/>
        </w:rPr>
        <w:drawing>
          <wp:anchor distT="0" distB="0" distL="114300" distR="114300" simplePos="0" relativeHeight="251661312" behindDoc="0" locked="0" layoutInCell="1" allowOverlap="0">
            <wp:simplePos x="0" y="0"/>
            <wp:positionH relativeFrom="page">
              <wp:posOffset>0</wp:posOffset>
            </wp:positionH>
            <wp:positionV relativeFrom="page">
              <wp:posOffset>0</wp:posOffset>
            </wp:positionV>
            <wp:extent cx="1924812" cy="486156"/>
            <wp:effectExtent l="0" t="0" r="0" b="0"/>
            <wp:wrapTopAndBottom/>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6"/>
                    <a:stretch>
                      <a:fillRect/>
                    </a:stretch>
                  </pic:blipFill>
                  <pic:spPr>
                    <a:xfrm>
                      <a:off x="0" y="0"/>
                      <a:ext cx="1924812" cy="486156"/>
                    </a:xfrm>
                    <a:prstGeom prst="rect">
                      <a:avLst/>
                    </a:prstGeom>
                  </pic:spPr>
                </pic:pic>
              </a:graphicData>
            </a:graphic>
          </wp:anchor>
        </w:drawing>
      </w:r>
      <w:r>
        <w:t xml:space="preserve">SUPPLIERS LIMITATION OF LIABILITY </w:t>
      </w:r>
      <w:r w:rsidRPr="0076717B">
        <w:t>(Clause 36.2.1)</w:t>
      </w:r>
    </w:p>
    <w:p w:rsidR="00334739" w:rsidRDefault="0029760E">
      <w:pPr>
        <w:ind w:left="-5"/>
      </w:pPr>
      <w:r>
        <w:t>The Customer will need to consider and agree an appropriate limitation on liability with the Supplier.  It is not common practice for Suppliers to agree to unlimited liability as this means they are liable to the full extent of their assets and it may not be reasonable to ask them to sign up to this.</w:t>
      </w:r>
    </w:p>
    <w:p w:rsidR="00334739" w:rsidRDefault="0029760E">
      <w:pPr>
        <w:ind w:left="-5"/>
      </w:pPr>
      <w:r>
        <w:t>Note that the default limits are examples only.  The Customer will need to consider the losses that it might suffer in the event of a Default and the likelihood of those losses occurring.</w:t>
      </w:r>
    </w:p>
    <w:p w:rsidR="00334739" w:rsidRDefault="0029760E">
      <w:pPr>
        <w:spacing w:after="203"/>
        <w:ind w:left="-5"/>
      </w:pPr>
      <w:r>
        <w:t>The agreed limitation on liability figure can be agreed between the parties and does not need to be a per annum limit.</w:t>
      </w:r>
    </w:p>
    <w:p w:rsidR="00334739" w:rsidRDefault="0029760E">
      <w:pPr>
        <w:spacing w:after="690"/>
        <w:ind w:left="-5"/>
      </w:pPr>
      <w:r>
        <w:t>Note that a lower level of liability and PI insurance requirement may have the benefit of reduced fees as the supplier’s risk profile will be smaller/redu</w:t>
      </w:r>
      <w:r w:rsidR="003714E3">
        <w:t>c</w:t>
      </w:r>
      <w:r>
        <w:t>ed.</w:t>
      </w:r>
    </w:p>
    <w:p w:rsidR="00334739" w:rsidRDefault="0029760E">
      <w:pPr>
        <w:spacing w:after="0" w:line="268" w:lineRule="auto"/>
        <w:ind w:left="26" w:firstLine="0"/>
        <w:jc w:val="center"/>
      </w:pPr>
      <w:r>
        <w:rPr>
          <w:b/>
          <w:color w:val="1F4E79"/>
          <w:u w:val="single" w:color="1F4E79"/>
        </w:rPr>
        <w:t>It is key for Contracting Authorities to clearly outline their requirements (including respective Liabilities) before they issue their Tender via</w:t>
      </w:r>
      <w:r>
        <w:rPr>
          <w:b/>
          <w:color w:val="1F4E79"/>
        </w:rPr>
        <w:t xml:space="preserve"> </w:t>
      </w:r>
      <w:r>
        <w:rPr>
          <w:b/>
          <w:color w:val="1F4E79"/>
          <w:u w:val="single" w:color="1F4E79"/>
        </w:rPr>
        <w:t>pre market engagement, or if there is not enough time for this, it needs to be explicitly clear in the ITT documents.</w:t>
      </w:r>
    </w:p>
    <w:sectPr w:rsidR="00334739">
      <w:pgSz w:w="19200" w:h="10800" w:orient="landscape"/>
      <w:pgMar w:top="653" w:right="262" w:bottom="233" w:left="18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39"/>
    <w:rsid w:val="00152289"/>
    <w:rsid w:val="0029760E"/>
    <w:rsid w:val="00334739"/>
    <w:rsid w:val="003714E3"/>
    <w:rsid w:val="0076717B"/>
    <w:rsid w:val="00967F62"/>
    <w:rsid w:val="00973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DF7240-2435-415C-BEC5-51DF5D66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7" w:lineRule="auto"/>
      <w:ind w:left="10" w:hanging="10"/>
    </w:pPr>
    <w:rPr>
      <w:rFonts w:ascii="Arial" w:eastAsia="Arial" w:hAnsi="Arial" w:cs="Arial"/>
      <w:color w:val="000000"/>
      <w:sz w:val="28"/>
    </w:rPr>
  </w:style>
  <w:style w:type="paragraph" w:styleId="Heading1">
    <w:name w:val="heading 1"/>
    <w:next w:val="Normal"/>
    <w:link w:val="Heading1Char"/>
    <w:uiPriority w:val="9"/>
    <w:unhideWhenUsed/>
    <w:qFormat/>
    <w:pPr>
      <w:keepNext/>
      <w:keepLines/>
      <w:spacing w:after="0"/>
      <w:ind w:right="442"/>
      <w:jc w:val="right"/>
      <w:outlineLvl w:val="0"/>
    </w:pPr>
    <w:rPr>
      <w:rFonts w:ascii="Arial" w:eastAsia="Arial" w:hAnsi="Arial" w:cs="Arial"/>
      <w:color w:val="005799"/>
      <w:sz w:val="60"/>
    </w:rPr>
  </w:style>
  <w:style w:type="paragraph" w:styleId="Heading2">
    <w:name w:val="heading 2"/>
    <w:next w:val="Normal"/>
    <w:link w:val="Heading2Char"/>
    <w:uiPriority w:val="9"/>
    <w:unhideWhenUsed/>
    <w:qFormat/>
    <w:pPr>
      <w:keepNext/>
      <w:keepLines/>
      <w:spacing w:before="173" w:after="172"/>
      <w:ind w:left="10" w:hanging="10"/>
      <w:outlineLvl w:val="1"/>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Arial" w:eastAsia="Arial" w:hAnsi="Arial" w:cs="Arial"/>
      <w:color w:val="005799"/>
      <w:sz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Cabinet Office</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subject/>
  <dc:creator>Janine Nuttall</dc:creator>
  <cp:keywords/>
  <cp:lastModifiedBy>Kathryn Hignett-Jones</cp:lastModifiedBy>
  <cp:revision>2</cp:revision>
  <dcterms:created xsi:type="dcterms:W3CDTF">2019-03-08T16:36:00Z</dcterms:created>
  <dcterms:modified xsi:type="dcterms:W3CDTF">2019-03-08T16:36:00Z</dcterms:modified>
</cp:coreProperties>
</file>