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32" w:rsidRDefault="00D15B68" w:rsidP="00D15B68">
      <w:pPr>
        <w:jc w:val="center"/>
        <w:rPr>
          <w:rFonts w:ascii="Arial" w:hAnsi="Arial" w:cs="Arial"/>
          <w:sz w:val="32"/>
          <w:szCs w:val="32"/>
        </w:rPr>
      </w:pPr>
      <w:bookmarkStart w:id="0" w:name="_GoBack"/>
      <w:bookmarkEnd w:id="0"/>
      <w:r w:rsidRPr="00D15B68">
        <w:rPr>
          <w:rFonts w:ascii="Arial" w:hAnsi="Arial" w:cs="Arial"/>
          <w:sz w:val="32"/>
          <w:szCs w:val="32"/>
        </w:rPr>
        <w:t>Benchmarking</w:t>
      </w:r>
    </w:p>
    <w:p w:rsidR="00D04AC3" w:rsidRDefault="00D04AC3" w:rsidP="00D04AC3">
      <w:pPr>
        <w:rPr>
          <w:rFonts w:ascii="Arial" w:hAnsi="Arial" w:cs="Arial"/>
          <w:lang w:eastAsia="en-GB"/>
        </w:rPr>
      </w:pPr>
      <w:r w:rsidRPr="00D04AC3">
        <w:rPr>
          <w:rFonts w:ascii="Arial" w:hAnsi="Arial" w:cs="Arial"/>
          <w:lang w:eastAsia="en-GB"/>
        </w:rPr>
        <w:t xml:space="preserve">When conducting any benchmarking exercise you need to ensure you are comparing </w:t>
      </w:r>
      <w:r>
        <w:rPr>
          <w:rFonts w:ascii="Arial" w:hAnsi="Arial" w:cs="Arial"/>
          <w:lang w:eastAsia="en-GB"/>
        </w:rPr>
        <w:t xml:space="preserve">like for like. </w:t>
      </w:r>
    </w:p>
    <w:p w:rsidR="00D04AC3" w:rsidRDefault="00D04AC3" w:rsidP="00D04AC3">
      <w:pPr>
        <w:rPr>
          <w:rFonts w:ascii="Arial" w:hAnsi="Arial" w:cs="Arial"/>
          <w:b/>
          <w:lang w:eastAsia="en-GB"/>
        </w:rPr>
      </w:pPr>
    </w:p>
    <w:p w:rsidR="00D15B68" w:rsidRPr="00D04AC3" w:rsidRDefault="00D15B68" w:rsidP="00D04AC3">
      <w:pPr>
        <w:rPr>
          <w:rFonts w:ascii="Arial" w:hAnsi="Arial" w:cs="Arial"/>
          <w:b/>
          <w:lang w:eastAsia="en-GB"/>
        </w:rPr>
      </w:pPr>
      <w:r w:rsidRPr="00D04AC3">
        <w:rPr>
          <w:rFonts w:ascii="Arial" w:hAnsi="Arial" w:cs="Arial"/>
          <w:b/>
          <w:lang w:eastAsia="en-GB"/>
        </w:rPr>
        <w:t xml:space="preserve">Definition </w:t>
      </w:r>
    </w:p>
    <w:p w:rsidR="00D15B68" w:rsidRPr="00D04AC3" w:rsidRDefault="00D15B68" w:rsidP="00D04AC3">
      <w:pPr>
        <w:rPr>
          <w:rFonts w:ascii="Arial" w:hAnsi="Arial" w:cs="Arial"/>
          <w:lang w:eastAsia="en-GB"/>
        </w:rPr>
      </w:pPr>
      <w:r w:rsidRPr="00D04AC3">
        <w:rPr>
          <w:rFonts w:ascii="Arial" w:hAnsi="Arial" w:cs="Arial"/>
          <w:lang w:eastAsia="en-GB"/>
        </w:rPr>
        <w:t xml:space="preserve">Benchmark: “evaluate (something) by comparison with a </w:t>
      </w:r>
      <w:r w:rsidRPr="00D04AC3">
        <w:rPr>
          <w:rFonts w:ascii="Arial" w:hAnsi="Arial" w:cs="Arial"/>
          <w:i/>
          <w:u w:val="single"/>
          <w:lang w:eastAsia="en-GB"/>
        </w:rPr>
        <w:t>standard</w:t>
      </w:r>
      <w:r w:rsidRPr="00D04AC3">
        <w:rPr>
          <w:rFonts w:ascii="Arial" w:hAnsi="Arial" w:cs="Arial"/>
          <w:lang w:eastAsia="en-GB"/>
        </w:rPr>
        <w:t>”</w:t>
      </w:r>
    </w:p>
    <w:p w:rsidR="00D15B68" w:rsidRPr="00D04AC3" w:rsidRDefault="00D15B68" w:rsidP="00D04AC3">
      <w:pPr>
        <w:rPr>
          <w:rFonts w:ascii="Arial" w:hAnsi="Arial" w:cs="Arial"/>
          <w:lang w:eastAsia="en-GB"/>
        </w:rPr>
      </w:pPr>
    </w:p>
    <w:p w:rsidR="00500562" w:rsidRPr="00D04AC3" w:rsidRDefault="00500562" w:rsidP="00D04AC3">
      <w:pPr>
        <w:rPr>
          <w:rFonts w:ascii="Arial" w:hAnsi="Arial" w:cs="Arial"/>
          <w:b/>
        </w:rPr>
      </w:pPr>
      <w:r w:rsidRPr="00D04AC3">
        <w:rPr>
          <w:rFonts w:ascii="Arial" w:hAnsi="Arial" w:cs="Arial"/>
          <w:b/>
        </w:rPr>
        <w:t xml:space="preserve">Terms &amp; </w:t>
      </w:r>
      <w:r w:rsidR="009C7189" w:rsidRPr="00D04AC3">
        <w:rPr>
          <w:rFonts w:ascii="Arial" w:hAnsi="Arial" w:cs="Arial"/>
          <w:b/>
        </w:rPr>
        <w:t>c</w:t>
      </w:r>
      <w:r w:rsidRPr="00D04AC3">
        <w:rPr>
          <w:rFonts w:ascii="Arial" w:hAnsi="Arial" w:cs="Arial"/>
          <w:b/>
        </w:rPr>
        <w:t xml:space="preserve">onditions </w:t>
      </w:r>
    </w:p>
    <w:p w:rsidR="009A42DA" w:rsidRPr="00D04AC3" w:rsidRDefault="009A42DA" w:rsidP="00D04AC3">
      <w:pPr>
        <w:rPr>
          <w:rFonts w:ascii="Arial" w:hAnsi="Arial" w:cs="Arial"/>
        </w:rPr>
      </w:pPr>
      <w:r w:rsidRPr="00D04AC3">
        <w:rPr>
          <w:rFonts w:ascii="Arial" w:hAnsi="Arial" w:cs="Arial"/>
        </w:rPr>
        <w:t>All frameworks have a different set of Terms and Conditions which suppliers have to adhere to. This includes different levels of risk, insurance</w:t>
      </w:r>
      <w:r w:rsidR="00A526AD" w:rsidRPr="00D04AC3">
        <w:rPr>
          <w:rFonts w:ascii="Arial" w:hAnsi="Arial" w:cs="Arial"/>
        </w:rPr>
        <w:t>,</w:t>
      </w:r>
      <w:r w:rsidRPr="00D04AC3">
        <w:rPr>
          <w:rFonts w:ascii="Arial" w:hAnsi="Arial" w:cs="Arial"/>
        </w:rPr>
        <w:t xml:space="preserve"> liability thresholds, minimum compliance standards i.e. Cyber Essentials etc. </w:t>
      </w:r>
    </w:p>
    <w:p w:rsidR="00D04AC3" w:rsidRPr="00D04AC3" w:rsidRDefault="00D04AC3" w:rsidP="00D04AC3">
      <w:pPr>
        <w:rPr>
          <w:rFonts w:ascii="Arial" w:hAnsi="Arial" w:cs="Arial"/>
        </w:rPr>
      </w:pPr>
    </w:p>
    <w:p w:rsidR="00D04AC3" w:rsidRPr="00D04AC3" w:rsidRDefault="00D04AC3" w:rsidP="00D04AC3">
      <w:pPr>
        <w:rPr>
          <w:rFonts w:ascii="Arial" w:hAnsi="Arial" w:cs="Arial"/>
          <w:b/>
        </w:rPr>
      </w:pPr>
      <w:r w:rsidRPr="00D04AC3">
        <w:rPr>
          <w:rFonts w:ascii="Arial" w:hAnsi="Arial" w:cs="Arial"/>
          <w:b/>
        </w:rPr>
        <w:t xml:space="preserve">Framework scope </w:t>
      </w:r>
    </w:p>
    <w:p w:rsidR="00D04AC3" w:rsidRPr="00D04AC3" w:rsidRDefault="00D04AC3" w:rsidP="00D04AC3">
      <w:pPr>
        <w:rPr>
          <w:rFonts w:ascii="Arial" w:hAnsi="Arial" w:cs="Arial"/>
        </w:rPr>
      </w:pPr>
      <w:r w:rsidRPr="00D04AC3">
        <w:rPr>
          <w:rFonts w:ascii="Arial" w:hAnsi="Arial" w:cs="Arial"/>
        </w:rPr>
        <w:t xml:space="preserve">The scope of CCS Frameworks is extremely wide ranging and therefore suppliers need to ensure they are able to charge an appropriate rate for market leading experts when required. </w:t>
      </w:r>
    </w:p>
    <w:p w:rsidR="00500562" w:rsidRPr="00D04AC3" w:rsidRDefault="00500562" w:rsidP="00D04AC3">
      <w:pPr>
        <w:rPr>
          <w:rFonts w:ascii="Arial" w:hAnsi="Arial" w:cs="Arial"/>
        </w:rPr>
      </w:pPr>
    </w:p>
    <w:p w:rsidR="00D04AC3" w:rsidRPr="00D04AC3" w:rsidRDefault="00D04AC3" w:rsidP="00D04AC3">
      <w:pPr>
        <w:rPr>
          <w:rFonts w:ascii="Arial" w:hAnsi="Arial" w:cs="Arial"/>
          <w:b/>
        </w:rPr>
      </w:pPr>
      <w:r w:rsidRPr="00D04AC3">
        <w:rPr>
          <w:rFonts w:ascii="Arial" w:hAnsi="Arial" w:cs="Arial"/>
          <w:b/>
        </w:rPr>
        <w:t xml:space="preserve">Grade definitions </w:t>
      </w:r>
    </w:p>
    <w:p w:rsidR="00D04AC3" w:rsidRPr="00D04AC3" w:rsidRDefault="00D04AC3" w:rsidP="00D04AC3">
      <w:pPr>
        <w:rPr>
          <w:rFonts w:ascii="Arial" w:hAnsi="Arial" w:cs="Arial"/>
        </w:rPr>
      </w:pPr>
      <w:r w:rsidRPr="00D04AC3">
        <w:rPr>
          <w:rFonts w:ascii="Arial" w:hAnsi="Arial" w:cs="Arial"/>
        </w:rPr>
        <w:t xml:space="preserve">Many consultancy frameworks are priced using “grades” of consultant. These grades are based on levels of knowledge, expertise and experience. There is no standard definition of grade across the industry so what is classed as a “consultant” on one framework may be graded as a “Senior Consultant” (or </w:t>
      </w:r>
      <w:r w:rsidRPr="00D04AC3">
        <w:rPr>
          <w:rFonts w:ascii="Arial" w:hAnsi="Arial" w:cs="Arial"/>
          <w:i/>
        </w:rPr>
        <w:t>vice-versa</w:t>
      </w:r>
      <w:r w:rsidRPr="00D04AC3">
        <w:rPr>
          <w:rFonts w:ascii="Arial" w:hAnsi="Arial" w:cs="Arial"/>
        </w:rPr>
        <w:t xml:space="preserve">) on another thereby attracting a higher day rate. </w:t>
      </w:r>
    </w:p>
    <w:p w:rsidR="00D04AC3" w:rsidRPr="00D04AC3" w:rsidRDefault="00D04AC3" w:rsidP="00D04AC3">
      <w:pPr>
        <w:rPr>
          <w:rFonts w:ascii="Arial" w:hAnsi="Arial" w:cs="Arial"/>
        </w:rPr>
      </w:pPr>
    </w:p>
    <w:p w:rsidR="009C7189" w:rsidRPr="00D04AC3" w:rsidRDefault="009C7189" w:rsidP="00D04AC3">
      <w:pPr>
        <w:rPr>
          <w:rFonts w:ascii="Arial" w:hAnsi="Arial" w:cs="Arial"/>
          <w:b/>
        </w:rPr>
      </w:pPr>
      <w:r w:rsidRPr="00D04AC3">
        <w:rPr>
          <w:rFonts w:ascii="Arial" w:hAnsi="Arial" w:cs="Arial"/>
          <w:b/>
        </w:rPr>
        <w:t>Framework rates</w:t>
      </w:r>
    </w:p>
    <w:p w:rsidR="00500562" w:rsidRPr="00D04AC3" w:rsidRDefault="00500562" w:rsidP="00D04AC3">
      <w:pPr>
        <w:rPr>
          <w:rFonts w:ascii="Arial" w:hAnsi="Arial" w:cs="Arial"/>
        </w:rPr>
      </w:pPr>
      <w:r w:rsidRPr="00D04AC3">
        <w:rPr>
          <w:rFonts w:ascii="Arial" w:hAnsi="Arial" w:cs="Arial"/>
        </w:rPr>
        <w:t xml:space="preserve">Framework rates are the “Maximum” rates which can be applied for the </w:t>
      </w:r>
      <w:r w:rsidR="009A42DA" w:rsidRPr="00D04AC3">
        <w:rPr>
          <w:rFonts w:ascii="Arial" w:hAnsi="Arial" w:cs="Arial"/>
        </w:rPr>
        <w:t xml:space="preserve">most complex project involving the most highly skilled consultant in a particular area of work. They are not necessarily the rates which will be charged. </w:t>
      </w:r>
    </w:p>
    <w:p w:rsidR="00D04AC3" w:rsidRPr="00D04AC3" w:rsidRDefault="00D04AC3" w:rsidP="00D04AC3">
      <w:pPr>
        <w:rPr>
          <w:rFonts w:ascii="Arial" w:hAnsi="Arial" w:cs="Arial"/>
        </w:rPr>
      </w:pPr>
      <w:r w:rsidRPr="00D04AC3">
        <w:rPr>
          <w:rFonts w:ascii="Arial" w:hAnsi="Arial" w:cs="Arial"/>
        </w:rPr>
        <w:t xml:space="preserve">Suppliers have the ability to match or beat the price on any other framework. </w:t>
      </w:r>
    </w:p>
    <w:p w:rsidR="00A526AD" w:rsidRPr="00D04AC3" w:rsidRDefault="00A526AD" w:rsidP="00D04AC3">
      <w:pPr>
        <w:rPr>
          <w:rFonts w:ascii="Arial" w:hAnsi="Arial" w:cs="Arial"/>
        </w:rPr>
      </w:pPr>
    </w:p>
    <w:p w:rsidR="00500562" w:rsidRPr="00D04AC3" w:rsidRDefault="00500562" w:rsidP="00D04AC3">
      <w:pPr>
        <w:rPr>
          <w:rFonts w:ascii="Arial" w:hAnsi="Arial" w:cs="Arial"/>
          <w:b/>
        </w:rPr>
      </w:pPr>
      <w:r w:rsidRPr="00D04AC3">
        <w:rPr>
          <w:rFonts w:ascii="Arial" w:hAnsi="Arial" w:cs="Arial"/>
          <w:b/>
        </w:rPr>
        <w:t xml:space="preserve">Hours per day </w:t>
      </w:r>
    </w:p>
    <w:p w:rsidR="00500562" w:rsidRPr="00D04AC3" w:rsidRDefault="009A1093" w:rsidP="00D04AC3">
      <w:pPr>
        <w:rPr>
          <w:rFonts w:ascii="Arial" w:hAnsi="Arial" w:cs="Arial"/>
        </w:rPr>
      </w:pPr>
      <w:r w:rsidRPr="00D04AC3">
        <w:rPr>
          <w:rFonts w:ascii="Arial" w:hAnsi="Arial" w:cs="Arial"/>
        </w:rPr>
        <w:t>CCS c</w:t>
      </w:r>
      <w:r w:rsidR="00C21355" w:rsidRPr="00D04AC3">
        <w:rPr>
          <w:rFonts w:ascii="Arial" w:hAnsi="Arial" w:cs="Arial"/>
        </w:rPr>
        <w:t>onsultancy frameworks are priced</w:t>
      </w:r>
      <w:r w:rsidRPr="00D04AC3">
        <w:rPr>
          <w:rFonts w:ascii="Arial" w:hAnsi="Arial" w:cs="Arial"/>
        </w:rPr>
        <w:t xml:space="preserve"> on a “Da</w:t>
      </w:r>
      <w:r w:rsidR="00C21355" w:rsidRPr="00D04AC3">
        <w:rPr>
          <w:rFonts w:ascii="Arial" w:hAnsi="Arial" w:cs="Arial"/>
        </w:rPr>
        <w:t>il</w:t>
      </w:r>
      <w:r w:rsidRPr="00D04AC3">
        <w:rPr>
          <w:rFonts w:ascii="Arial" w:hAnsi="Arial" w:cs="Arial"/>
        </w:rPr>
        <w:t>y rate” wh</w:t>
      </w:r>
      <w:r w:rsidR="00C21355" w:rsidRPr="00D04AC3">
        <w:rPr>
          <w:rFonts w:ascii="Arial" w:hAnsi="Arial" w:cs="Arial"/>
        </w:rPr>
        <w:t>ich is defined as</w:t>
      </w:r>
      <w:r w:rsidR="00A526AD" w:rsidRPr="00D04AC3">
        <w:rPr>
          <w:rFonts w:ascii="Arial" w:hAnsi="Arial" w:cs="Arial"/>
        </w:rPr>
        <w:t xml:space="preserve"> an eight</w:t>
      </w:r>
      <w:r w:rsidR="00C21355" w:rsidRPr="00D04AC3">
        <w:rPr>
          <w:rFonts w:ascii="Arial" w:hAnsi="Arial" w:cs="Arial"/>
        </w:rPr>
        <w:t xml:space="preserve"> hour working day excluding breaks</w:t>
      </w:r>
      <w:r w:rsidR="00A526AD" w:rsidRPr="00D04AC3">
        <w:rPr>
          <w:rFonts w:ascii="Arial" w:hAnsi="Arial" w:cs="Arial"/>
        </w:rPr>
        <w:t xml:space="preserve">. Other frameworks may have a different standard day. </w:t>
      </w:r>
    </w:p>
    <w:p w:rsidR="00A526AD" w:rsidRPr="00D04AC3" w:rsidRDefault="00A526AD" w:rsidP="00D04AC3">
      <w:pPr>
        <w:rPr>
          <w:rFonts w:ascii="Arial" w:hAnsi="Arial" w:cs="Arial"/>
        </w:rPr>
      </w:pPr>
    </w:p>
    <w:p w:rsidR="00500562" w:rsidRPr="00D04AC3" w:rsidRDefault="00500562" w:rsidP="00D04AC3">
      <w:pPr>
        <w:rPr>
          <w:rFonts w:ascii="Arial" w:hAnsi="Arial" w:cs="Arial"/>
          <w:b/>
        </w:rPr>
      </w:pPr>
      <w:r w:rsidRPr="00D04AC3">
        <w:rPr>
          <w:rFonts w:ascii="Arial" w:hAnsi="Arial" w:cs="Arial"/>
          <w:b/>
        </w:rPr>
        <w:t xml:space="preserve">Expenses </w:t>
      </w:r>
    </w:p>
    <w:p w:rsidR="00500562" w:rsidRPr="00D04AC3" w:rsidRDefault="00A526AD" w:rsidP="00D04AC3">
      <w:pPr>
        <w:rPr>
          <w:rFonts w:ascii="Arial" w:hAnsi="Arial" w:cs="Arial"/>
        </w:rPr>
      </w:pPr>
      <w:r w:rsidRPr="00D04AC3">
        <w:rPr>
          <w:rFonts w:ascii="Arial" w:hAnsi="Arial" w:cs="Arial"/>
        </w:rPr>
        <w:t>The rates on MCF and MCF2 include travel and subsistence to the usual place of work (</w:t>
      </w:r>
      <w:r w:rsidRPr="00D04AC3">
        <w:rPr>
          <w:rFonts w:ascii="Arial" w:hAnsi="Arial" w:cs="Arial"/>
          <w:i/>
        </w:rPr>
        <w:t>Base location</w:t>
      </w:r>
      <w:r w:rsidRPr="00D04AC3">
        <w:rPr>
          <w:rFonts w:ascii="Arial" w:hAnsi="Arial" w:cs="Arial"/>
        </w:rPr>
        <w:t xml:space="preserve">) stipulated by the customer. Some suppliers outside of these frameworks typically charge 10% on top of the </w:t>
      </w:r>
      <w:r w:rsidR="00726B89">
        <w:rPr>
          <w:rFonts w:ascii="Arial" w:hAnsi="Arial" w:cs="Arial"/>
        </w:rPr>
        <w:t>d</w:t>
      </w:r>
      <w:r w:rsidRPr="00D04AC3">
        <w:rPr>
          <w:rFonts w:ascii="Arial" w:hAnsi="Arial" w:cs="Arial"/>
        </w:rPr>
        <w:t xml:space="preserve">ay rates to cover these expenses. </w:t>
      </w:r>
    </w:p>
    <w:sectPr w:rsidR="00500562" w:rsidRPr="00D04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1C4F"/>
    <w:multiLevelType w:val="multilevel"/>
    <w:tmpl w:val="6BD8D6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8"/>
    <w:rsid w:val="001B721A"/>
    <w:rsid w:val="003A1291"/>
    <w:rsid w:val="00423F2E"/>
    <w:rsid w:val="00500562"/>
    <w:rsid w:val="005738F9"/>
    <w:rsid w:val="00726B89"/>
    <w:rsid w:val="009A1093"/>
    <w:rsid w:val="009A42DA"/>
    <w:rsid w:val="009C7189"/>
    <w:rsid w:val="00A526AD"/>
    <w:rsid w:val="00AA5B85"/>
    <w:rsid w:val="00C21355"/>
    <w:rsid w:val="00D04AC3"/>
    <w:rsid w:val="00D15B68"/>
    <w:rsid w:val="00F3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504AF-0126-41A6-9F63-09AA47B4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dctph">
    <w:name w:val="lr_dct_ph"/>
    <w:basedOn w:val="DefaultParagraphFont"/>
    <w:rsid w:val="00D15B68"/>
  </w:style>
  <w:style w:type="character" w:styleId="Hyperlink">
    <w:name w:val="Hyperlink"/>
    <w:basedOn w:val="DefaultParagraphFont"/>
    <w:uiPriority w:val="99"/>
    <w:semiHidden/>
    <w:unhideWhenUsed/>
    <w:rsid w:val="00D15B68"/>
    <w:rPr>
      <w:color w:val="0000FF"/>
      <w:u w:val="single"/>
    </w:rPr>
  </w:style>
  <w:style w:type="character" w:customStyle="1" w:styleId="fe69if">
    <w:name w:val="fe69if"/>
    <w:basedOn w:val="DefaultParagraphFont"/>
    <w:rsid w:val="00D15B68"/>
  </w:style>
  <w:style w:type="paragraph" w:styleId="NoSpacing">
    <w:name w:val="No Spacing"/>
    <w:uiPriority w:val="1"/>
    <w:qFormat/>
    <w:rsid w:val="00C21355"/>
    <w:pPr>
      <w:spacing w:after="0" w:line="240" w:lineRule="auto"/>
    </w:pPr>
  </w:style>
  <w:style w:type="paragraph" w:styleId="BalloonText">
    <w:name w:val="Balloon Text"/>
    <w:basedOn w:val="Normal"/>
    <w:link w:val="BalloonTextChar"/>
    <w:uiPriority w:val="99"/>
    <w:semiHidden/>
    <w:unhideWhenUsed/>
    <w:rsid w:val="00D0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51220">
      <w:bodyDiv w:val="1"/>
      <w:marLeft w:val="0"/>
      <w:marRight w:val="0"/>
      <w:marTop w:val="0"/>
      <w:marBottom w:val="0"/>
      <w:divBdr>
        <w:top w:val="none" w:sz="0" w:space="0" w:color="auto"/>
        <w:left w:val="none" w:sz="0" w:space="0" w:color="auto"/>
        <w:bottom w:val="none" w:sz="0" w:space="0" w:color="auto"/>
        <w:right w:val="none" w:sz="0" w:space="0" w:color="auto"/>
      </w:divBdr>
      <w:divsChild>
        <w:div w:id="704258687">
          <w:marLeft w:val="0"/>
          <w:marRight w:val="0"/>
          <w:marTop w:val="0"/>
          <w:marBottom w:val="0"/>
          <w:divBdr>
            <w:top w:val="none" w:sz="0" w:space="0" w:color="auto"/>
            <w:left w:val="none" w:sz="0" w:space="0" w:color="auto"/>
            <w:bottom w:val="none" w:sz="0" w:space="0" w:color="auto"/>
            <w:right w:val="none" w:sz="0" w:space="0" w:color="auto"/>
          </w:divBdr>
          <w:divsChild>
            <w:div w:id="995450664">
              <w:marLeft w:val="0"/>
              <w:marRight w:val="0"/>
              <w:marTop w:val="0"/>
              <w:marBottom w:val="0"/>
              <w:divBdr>
                <w:top w:val="none" w:sz="0" w:space="0" w:color="auto"/>
                <w:left w:val="none" w:sz="0" w:space="0" w:color="auto"/>
                <w:bottom w:val="none" w:sz="0" w:space="0" w:color="auto"/>
                <w:right w:val="none" w:sz="0" w:space="0" w:color="auto"/>
              </w:divBdr>
            </w:div>
          </w:divsChild>
        </w:div>
        <w:div w:id="394939401">
          <w:marLeft w:val="0"/>
          <w:marRight w:val="0"/>
          <w:marTop w:val="0"/>
          <w:marBottom w:val="0"/>
          <w:divBdr>
            <w:top w:val="none" w:sz="0" w:space="0" w:color="auto"/>
            <w:left w:val="none" w:sz="0" w:space="0" w:color="auto"/>
            <w:bottom w:val="none" w:sz="0" w:space="0" w:color="auto"/>
            <w:right w:val="none" w:sz="0" w:space="0" w:color="auto"/>
          </w:divBdr>
          <w:divsChild>
            <w:div w:id="254168440">
              <w:marLeft w:val="0"/>
              <w:marRight w:val="0"/>
              <w:marTop w:val="0"/>
              <w:marBottom w:val="0"/>
              <w:divBdr>
                <w:top w:val="none" w:sz="0" w:space="0" w:color="auto"/>
                <w:left w:val="none" w:sz="0" w:space="0" w:color="auto"/>
                <w:bottom w:val="none" w:sz="0" w:space="0" w:color="auto"/>
                <w:right w:val="none" w:sz="0" w:space="0" w:color="auto"/>
              </w:divBdr>
              <w:divsChild>
                <w:div w:id="321467443">
                  <w:marLeft w:val="0"/>
                  <w:marRight w:val="0"/>
                  <w:marTop w:val="0"/>
                  <w:marBottom w:val="0"/>
                  <w:divBdr>
                    <w:top w:val="none" w:sz="0" w:space="0" w:color="auto"/>
                    <w:left w:val="none" w:sz="0" w:space="0" w:color="auto"/>
                    <w:bottom w:val="none" w:sz="0" w:space="0" w:color="auto"/>
                    <w:right w:val="none" w:sz="0" w:space="0" w:color="auto"/>
                  </w:divBdr>
                  <w:divsChild>
                    <w:div w:id="10202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5723">
          <w:marLeft w:val="0"/>
          <w:marRight w:val="0"/>
          <w:marTop w:val="0"/>
          <w:marBottom w:val="0"/>
          <w:divBdr>
            <w:top w:val="none" w:sz="0" w:space="0" w:color="auto"/>
            <w:left w:val="none" w:sz="0" w:space="0" w:color="auto"/>
            <w:bottom w:val="none" w:sz="0" w:space="0" w:color="auto"/>
            <w:right w:val="none" w:sz="0" w:space="0" w:color="auto"/>
          </w:divBdr>
          <w:divsChild>
            <w:div w:id="2137141520">
              <w:marLeft w:val="0"/>
              <w:marRight w:val="0"/>
              <w:marTop w:val="0"/>
              <w:marBottom w:val="0"/>
              <w:divBdr>
                <w:top w:val="none" w:sz="0" w:space="0" w:color="auto"/>
                <w:left w:val="none" w:sz="0" w:space="0" w:color="auto"/>
                <w:bottom w:val="none" w:sz="0" w:space="0" w:color="auto"/>
                <w:right w:val="none" w:sz="0" w:space="0" w:color="auto"/>
              </w:divBdr>
              <w:divsChild>
                <w:div w:id="744643318">
                  <w:marLeft w:val="0"/>
                  <w:marRight w:val="0"/>
                  <w:marTop w:val="0"/>
                  <w:marBottom w:val="0"/>
                  <w:divBdr>
                    <w:top w:val="none" w:sz="0" w:space="0" w:color="auto"/>
                    <w:left w:val="none" w:sz="0" w:space="0" w:color="auto"/>
                    <w:bottom w:val="none" w:sz="0" w:space="0" w:color="auto"/>
                    <w:right w:val="none" w:sz="0" w:space="0" w:color="auto"/>
                  </w:divBdr>
                  <w:divsChild>
                    <w:div w:id="649211332">
                      <w:marLeft w:val="0"/>
                      <w:marRight w:val="0"/>
                      <w:marTop w:val="0"/>
                      <w:marBottom w:val="0"/>
                      <w:divBdr>
                        <w:top w:val="none" w:sz="0" w:space="0" w:color="auto"/>
                        <w:left w:val="none" w:sz="0" w:space="0" w:color="auto"/>
                        <w:bottom w:val="none" w:sz="0" w:space="0" w:color="auto"/>
                        <w:right w:val="none" w:sz="0" w:space="0" w:color="auto"/>
                      </w:divBdr>
                    </w:div>
                    <w:div w:id="1254901105">
                      <w:marLeft w:val="0"/>
                      <w:marRight w:val="0"/>
                      <w:marTop w:val="0"/>
                      <w:marBottom w:val="0"/>
                      <w:divBdr>
                        <w:top w:val="none" w:sz="0" w:space="0" w:color="auto"/>
                        <w:left w:val="none" w:sz="0" w:space="0" w:color="auto"/>
                        <w:bottom w:val="none" w:sz="0" w:space="0" w:color="auto"/>
                        <w:right w:val="none" w:sz="0" w:space="0" w:color="auto"/>
                      </w:divBdr>
                    </w:div>
                  </w:divsChild>
                </w:div>
                <w:div w:id="1575043543">
                  <w:marLeft w:val="0"/>
                  <w:marRight w:val="0"/>
                  <w:marTop w:val="0"/>
                  <w:marBottom w:val="0"/>
                  <w:divBdr>
                    <w:top w:val="none" w:sz="0" w:space="0" w:color="auto"/>
                    <w:left w:val="none" w:sz="0" w:space="0" w:color="auto"/>
                    <w:bottom w:val="none" w:sz="0" w:space="0" w:color="auto"/>
                    <w:right w:val="none" w:sz="0" w:space="0" w:color="auto"/>
                  </w:divBdr>
                  <w:divsChild>
                    <w:div w:id="70809174">
                      <w:marLeft w:val="0"/>
                      <w:marRight w:val="0"/>
                      <w:marTop w:val="0"/>
                      <w:marBottom w:val="0"/>
                      <w:divBdr>
                        <w:top w:val="none" w:sz="0" w:space="0" w:color="auto"/>
                        <w:left w:val="none" w:sz="0" w:space="0" w:color="auto"/>
                        <w:bottom w:val="none" w:sz="0" w:space="0" w:color="auto"/>
                        <w:right w:val="none" w:sz="0" w:space="0" w:color="auto"/>
                      </w:divBdr>
                      <w:divsChild>
                        <w:div w:id="1906993133">
                          <w:marLeft w:val="300"/>
                          <w:marRight w:val="0"/>
                          <w:marTop w:val="0"/>
                          <w:marBottom w:val="0"/>
                          <w:divBdr>
                            <w:top w:val="none" w:sz="0" w:space="0" w:color="auto"/>
                            <w:left w:val="none" w:sz="0" w:space="0" w:color="auto"/>
                            <w:bottom w:val="none" w:sz="0" w:space="0" w:color="auto"/>
                            <w:right w:val="none" w:sz="0" w:space="0" w:color="auto"/>
                          </w:divBdr>
                          <w:divsChild>
                            <w:div w:id="308902991">
                              <w:marLeft w:val="-300"/>
                              <w:marRight w:val="0"/>
                              <w:marTop w:val="0"/>
                              <w:marBottom w:val="0"/>
                              <w:divBdr>
                                <w:top w:val="none" w:sz="0" w:space="0" w:color="auto"/>
                                <w:left w:val="none" w:sz="0" w:space="0" w:color="auto"/>
                                <w:bottom w:val="none" w:sz="0" w:space="0" w:color="auto"/>
                                <w:right w:val="none" w:sz="0" w:space="0" w:color="auto"/>
                              </w:divBdr>
                              <w:divsChild>
                                <w:div w:id="90589464">
                                  <w:marLeft w:val="0"/>
                                  <w:marRight w:val="0"/>
                                  <w:marTop w:val="0"/>
                                  <w:marBottom w:val="0"/>
                                  <w:divBdr>
                                    <w:top w:val="none" w:sz="0" w:space="0" w:color="auto"/>
                                    <w:left w:val="none" w:sz="0" w:space="0" w:color="auto"/>
                                    <w:bottom w:val="none" w:sz="0" w:space="0" w:color="auto"/>
                                    <w:right w:val="none" w:sz="0" w:space="0" w:color="auto"/>
                                  </w:divBdr>
                                </w:div>
                                <w:div w:id="1316102674">
                                  <w:marLeft w:val="0"/>
                                  <w:marRight w:val="0"/>
                                  <w:marTop w:val="0"/>
                                  <w:marBottom w:val="0"/>
                                  <w:divBdr>
                                    <w:top w:val="none" w:sz="0" w:space="0" w:color="auto"/>
                                    <w:left w:val="none" w:sz="0" w:space="0" w:color="auto"/>
                                    <w:bottom w:val="none" w:sz="0" w:space="0" w:color="auto"/>
                                    <w:right w:val="none" w:sz="0" w:space="0" w:color="auto"/>
                                  </w:divBdr>
                                </w:div>
                              </w:divsChild>
                            </w:div>
                            <w:div w:id="26220041">
                              <w:marLeft w:val="-480"/>
                              <w:marRight w:val="0"/>
                              <w:marTop w:val="0"/>
                              <w:marBottom w:val="0"/>
                              <w:divBdr>
                                <w:top w:val="none" w:sz="0" w:space="0" w:color="auto"/>
                                <w:left w:val="none" w:sz="0" w:space="0" w:color="auto"/>
                                <w:bottom w:val="none" w:sz="0" w:space="0" w:color="auto"/>
                                <w:right w:val="none" w:sz="0" w:space="0" w:color="auto"/>
                              </w:divBdr>
                              <w:divsChild>
                                <w:div w:id="456529828">
                                  <w:marLeft w:val="375"/>
                                  <w:marRight w:val="0"/>
                                  <w:marTop w:val="0"/>
                                  <w:marBottom w:val="0"/>
                                  <w:divBdr>
                                    <w:top w:val="none" w:sz="0" w:space="0" w:color="auto"/>
                                    <w:left w:val="none" w:sz="0" w:space="0" w:color="auto"/>
                                    <w:bottom w:val="none" w:sz="0" w:space="0" w:color="auto"/>
                                    <w:right w:val="none" w:sz="0" w:space="0" w:color="auto"/>
                                  </w:divBdr>
                                  <w:divsChild>
                                    <w:div w:id="465466807">
                                      <w:marLeft w:val="0"/>
                                      <w:marRight w:val="0"/>
                                      <w:marTop w:val="0"/>
                                      <w:marBottom w:val="0"/>
                                      <w:divBdr>
                                        <w:top w:val="none" w:sz="0" w:space="0" w:color="auto"/>
                                        <w:left w:val="none" w:sz="0" w:space="0" w:color="auto"/>
                                        <w:bottom w:val="none" w:sz="0" w:space="0" w:color="auto"/>
                                        <w:right w:val="none" w:sz="0" w:space="0" w:color="auto"/>
                                      </w:divBdr>
                                      <w:divsChild>
                                        <w:div w:id="360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Gregson</dc:creator>
  <cp:keywords/>
  <dc:description/>
  <cp:lastModifiedBy>Claire Levens</cp:lastModifiedBy>
  <cp:revision>2</cp:revision>
  <cp:lastPrinted>2019-07-09T07:58:00Z</cp:lastPrinted>
  <dcterms:created xsi:type="dcterms:W3CDTF">2019-10-09T14:42:00Z</dcterms:created>
  <dcterms:modified xsi:type="dcterms:W3CDTF">2019-10-09T14:42:00Z</dcterms:modified>
</cp:coreProperties>
</file>