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8E66" w14:textId="77777777" w:rsidR="001E4214" w:rsidRDefault="00474D9F">
      <w:pPr>
        <w:pStyle w:val="BodyText"/>
        <w:ind w:left="225"/>
        <w:rPr>
          <w:rFonts w:ascii="Times New Roman"/>
          <w:sz w:val="20"/>
        </w:rPr>
      </w:pPr>
      <w:r>
        <w:rPr>
          <w:rFonts w:ascii="Times New Roman"/>
          <w:noProof/>
          <w:sz w:val="20"/>
          <w:lang w:bidi="ar-SA"/>
        </w:rPr>
        <w:drawing>
          <wp:inline distT="0" distB="0" distL="0" distR="0" wp14:anchorId="71EB6BF8" wp14:editId="6F99FB0F">
            <wp:extent cx="1921652" cy="17183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21652" cy="1718310"/>
                    </a:xfrm>
                    <a:prstGeom prst="rect">
                      <a:avLst/>
                    </a:prstGeom>
                  </pic:spPr>
                </pic:pic>
              </a:graphicData>
            </a:graphic>
          </wp:inline>
        </w:drawing>
      </w:r>
    </w:p>
    <w:p w14:paraId="5AD8B42C" w14:textId="77777777" w:rsidR="001E4214" w:rsidRDefault="001E4214">
      <w:pPr>
        <w:pStyle w:val="BodyText"/>
        <w:rPr>
          <w:rFonts w:ascii="Times New Roman"/>
          <w:sz w:val="20"/>
        </w:rPr>
      </w:pPr>
    </w:p>
    <w:p w14:paraId="4684E303" w14:textId="77777777" w:rsidR="001E4214" w:rsidRDefault="001E4214">
      <w:pPr>
        <w:pStyle w:val="BodyText"/>
        <w:spacing w:before="7"/>
        <w:rPr>
          <w:rFonts w:ascii="Times New Roman"/>
          <w:sz w:val="17"/>
        </w:rPr>
      </w:pPr>
    </w:p>
    <w:p w14:paraId="7305BA8F" w14:textId="77777777" w:rsidR="001E4214" w:rsidRDefault="00474D9F">
      <w:pPr>
        <w:pStyle w:val="Heading1"/>
        <w:spacing w:before="93"/>
      </w:pPr>
      <w:r>
        <w:t>Managed Learning Service (RM3822)</w:t>
      </w:r>
    </w:p>
    <w:p w14:paraId="3DD3034D" w14:textId="77777777" w:rsidR="001E4214" w:rsidRDefault="00474D9F">
      <w:pPr>
        <w:pStyle w:val="BodyText"/>
        <w:spacing w:before="177" w:line="398" w:lineRule="auto"/>
        <w:ind w:left="106" w:right="6975"/>
      </w:pPr>
      <w:r>
        <w:t>Start Date: 4/7/2017 End Date: 3/7/2020</w:t>
      </w:r>
    </w:p>
    <w:p w14:paraId="6332647B" w14:textId="77777777" w:rsidR="001E4214" w:rsidRDefault="00474D9F">
      <w:pPr>
        <w:pStyle w:val="BodyText"/>
        <w:spacing w:before="1"/>
        <w:ind w:left="106"/>
      </w:pPr>
      <w:r>
        <w:t>Framework Manager Name: Tony Griffiths</w:t>
      </w:r>
    </w:p>
    <w:p w14:paraId="1F45B5C7" w14:textId="77777777" w:rsidR="001E4214" w:rsidRDefault="001E4214">
      <w:pPr>
        <w:pStyle w:val="BodyText"/>
        <w:rPr>
          <w:sz w:val="26"/>
        </w:rPr>
      </w:pPr>
    </w:p>
    <w:p w14:paraId="505B46C5" w14:textId="77777777" w:rsidR="001E4214" w:rsidRDefault="001E4214">
      <w:pPr>
        <w:pStyle w:val="BodyText"/>
        <w:spacing w:before="8"/>
        <w:rPr>
          <w:sz w:val="29"/>
        </w:rPr>
      </w:pPr>
    </w:p>
    <w:p w14:paraId="58B6C53D" w14:textId="77777777" w:rsidR="001E4214" w:rsidRDefault="00474D9F">
      <w:pPr>
        <w:pStyle w:val="Heading1"/>
        <w:spacing w:before="1"/>
      </w:pPr>
      <w:r>
        <w:t>What category does this framework belong to?</w:t>
      </w:r>
    </w:p>
    <w:p w14:paraId="76B98E8C" w14:textId="77777777" w:rsidR="001E4214" w:rsidRDefault="00474D9F">
      <w:pPr>
        <w:pStyle w:val="BodyText"/>
        <w:spacing w:before="180"/>
        <w:ind w:left="106"/>
      </w:pPr>
      <w:r>
        <w:t>L&amp;D, People Services Team, People Pillar</w:t>
      </w:r>
    </w:p>
    <w:p w14:paraId="479E8573" w14:textId="77777777" w:rsidR="001E4214" w:rsidRDefault="001E4214">
      <w:pPr>
        <w:pStyle w:val="BodyText"/>
        <w:rPr>
          <w:sz w:val="26"/>
        </w:rPr>
      </w:pPr>
    </w:p>
    <w:p w14:paraId="27725888" w14:textId="77777777" w:rsidR="001E4214" w:rsidRDefault="001E4214">
      <w:pPr>
        <w:pStyle w:val="BodyText"/>
        <w:spacing w:before="5"/>
        <w:rPr>
          <w:sz w:val="29"/>
        </w:rPr>
      </w:pPr>
    </w:p>
    <w:p w14:paraId="68BB2562" w14:textId="77777777" w:rsidR="001E4214" w:rsidRDefault="00474D9F">
      <w:pPr>
        <w:pStyle w:val="Heading1"/>
        <w:spacing w:before="1"/>
      </w:pPr>
      <w:r>
        <w:t>Who are the key customers?</w:t>
      </w:r>
    </w:p>
    <w:p w14:paraId="6E96017B" w14:textId="77777777" w:rsidR="001E4214" w:rsidRDefault="00474D9F">
      <w:pPr>
        <w:pStyle w:val="BodyText"/>
        <w:spacing w:before="180"/>
        <w:ind w:left="106"/>
      </w:pPr>
      <w:r>
        <w:t>Civil Service Learning</w:t>
      </w:r>
    </w:p>
    <w:p w14:paraId="0BC3C692" w14:textId="77777777" w:rsidR="001E4214" w:rsidRDefault="00474D9F">
      <w:pPr>
        <w:pStyle w:val="BodyText"/>
        <w:spacing w:before="185" w:line="259" w:lineRule="auto"/>
        <w:ind w:left="106"/>
      </w:pPr>
      <w:r>
        <w:t>Ministerial Departments (including Ministry of Defence, Department for Work and Pensions, Cabinet Office, Foreign and Commonwealth Office, Department for Transport)</w:t>
      </w:r>
    </w:p>
    <w:p w14:paraId="70A57E51" w14:textId="77777777" w:rsidR="001E4214" w:rsidRDefault="00474D9F">
      <w:pPr>
        <w:pStyle w:val="BodyText"/>
        <w:spacing w:before="162" w:line="398" w:lineRule="auto"/>
        <w:ind w:left="106" w:right="6242"/>
      </w:pPr>
      <w:r>
        <w:t>HM Revenue and Customs NHS England</w:t>
      </w:r>
    </w:p>
    <w:p w14:paraId="17EBDADF" w14:textId="77777777" w:rsidR="001E4214" w:rsidRDefault="00474D9F">
      <w:pPr>
        <w:pStyle w:val="BodyText"/>
        <w:spacing w:line="259" w:lineRule="auto"/>
        <w:ind w:left="115" w:hanging="10"/>
      </w:pPr>
      <w:r>
        <w:t>NB: The intention is to grow the framework in the Wider Public Sector, especially with Local Authorities.</w:t>
      </w:r>
    </w:p>
    <w:p w14:paraId="4E3850C9" w14:textId="77777777" w:rsidR="001E4214" w:rsidRDefault="001E4214">
      <w:pPr>
        <w:pStyle w:val="BodyText"/>
        <w:rPr>
          <w:sz w:val="26"/>
        </w:rPr>
      </w:pPr>
    </w:p>
    <w:p w14:paraId="61801C90" w14:textId="77777777" w:rsidR="001E4214" w:rsidRDefault="001E4214">
      <w:pPr>
        <w:pStyle w:val="BodyText"/>
        <w:spacing w:before="2"/>
        <w:rPr>
          <w:sz w:val="28"/>
        </w:rPr>
      </w:pPr>
    </w:p>
    <w:p w14:paraId="0AD4AF96" w14:textId="77777777" w:rsidR="001E4214" w:rsidRDefault="00474D9F">
      <w:pPr>
        <w:pStyle w:val="Heading1"/>
      </w:pPr>
      <w:r>
        <w:t>Who are the suppliers on the framework?</w:t>
      </w:r>
    </w:p>
    <w:p w14:paraId="1C60B6DB" w14:textId="77777777" w:rsidR="001E4214" w:rsidRDefault="00474D9F">
      <w:pPr>
        <w:pStyle w:val="BodyText"/>
        <w:spacing w:before="180" w:line="259" w:lineRule="auto"/>
        <w:ind w:left="115" w:right="100" w:hanging="10"/>
      </w:pPr>
      <w:r>
        <w:t>This is a single supplier framework with Capita (</w:t>
      </w:r>
      <w:proofErr w:type="spellStart"/>
      <w:r>
        <w:t>Knowledgepool</w:t>
      </w:r>
      <w:proofErr w:type="spellEnd"/>
      <w:r>
        <w:t xml:space="preserve">) – </w:t>
      </w:r>
      <w:proofErr w:type="spellStart"/>
      <w:r>
        <w:t>Knowledgepool</w:t>
      </w:r>
      <w:proofErr w:type="spellEnd"/>
      <w:r>
        <w:t xml:space="preserve"> is a subsidiary of Capita responsible for their L&amp;D offering.</w:t>
      </w:r>
    </w:p>
    <w:p w14:paraId="4553AD39" w14:textId="77777777" w:rsidR="001E4214" w:rsidRDefault="001E4214">
      <w:pPr>
        <w:pStyle w:val="BodyText"/>
        <w:rPr>
          <w:sz w:val="26"/>
        </w:rPr>
      </w:pPr>
    </w:p>
    <w:p w14:paraId="3629505B" w14:textId="77777777" w:rsidR="001E4214" w:rsidRDefault="001E4214">
      <w:pPr>
        <w:pStyle w:val="BodyText"/>
        <w:spacing w:before="10"/>
        <w:rPr>
          <w:sz w:val="27"/>
        </w:rPr>
      </w:pPr>
    </w:p>
    <w:p w14:paraId="69FC7511" w14:textId="77777777" w:rsidR="001E4214" w:rsidRDefault="00474D9F">
      <w:pPr>
        <w:pStyle w:val="Heading1"/>
      </w:pPr>
      <w:r>
        <w:t>What is the framework structure?</w:t>
      </w:r>
    </w:p>
    <w:p w14:paraId="15240E5B" w14:textId="77777777" w:rsidR="001E4214" w:rsidRDefault="00474D9F">
      <w:pPr>
        <w:pStyle w:val="BodyText"/>
        <w:spacing w:before="180" w:line="261" w:lineRule="auto"/>
        <w:ind w:left="115" w:hanging="10"/>
      </w:pPr>
      <w:r>
        <w:t>The framework is structured into 4 tiers. The tiers can be used altogether as a whole managed service, or just one tier can be used, or a bespoke combination of services</w:t>
      </w:r>
    </w:p>
    <w:p w14:paraId="2347723B" w14:textId="77777777" w:rsidR="001E4214" w:rsidRDefault="001E4214">
      <w:pPr>
        <w:spacing w:line="261" w:lineRule="auto"/>
        <w:sectPr w:rsidR="001E4214">
          <w:type w:val="continuous"/>
          <w:pgSz w:w="11910" w:h="16840"/>
          <w:pgMar w:top="1420" w:right="1340" w:bottom="280" w:left="1320" w:header="720" w:footer="720" w:gutter="0"/>
          <w:cols w:space="720"/>
        </w:sectPr>
      </w:pPr>
    </w:p>
    <w:p w14:paraId="06F60B9E" w14:textId="77777777" w:rsidR="001E4214" w:rsidRDefault="00474D9F">
      <w:pPr>
        <w:pStyle w:val="BodyText"/>
        <w:spacing w:before="79" w:line="259" w:lineRule="auto"/>
        <w:ind w:left="115" w:right="99"/>
        <w:jc w:val="both"/>
      </w:pPr>
      <w:r>
        <w:lastRenderedPageBreak/>
        <w:t>can be used. The pricing associated with each tier can be found on the e-sourcing portal (instructions on MLS web page), and the pricing structure is set up in a ‘pay for what you use’ arrangement.</w:t>
      </w:r>
    </w:p>
    <w:p w14:paraId="28285922" w14:textId="77777777" w:rsidR="001E4214" w:rsidRDefault="00474D9F">
      <w:pPr>
        <w:pStyle w:val="BodyText"/>
        <w:spacing w:before="163"/>
        <w:ind w:left="106"/>
      </w:pPr>
      <w:r>
        <w:t>The 4 tiers are:</w:t>
      </w:r>
    </w:p>
    <w:p w14:paraId="2EF031B0" w14:textId="77777777" w:rsidR="001E4214" w:rsidRDefault="00474D9F">
      <w:pPr>
        <w:pStyle w:val="BodyText"/>
        <w:spacing w:before="182" w:line="398" w:lineRule="auto"/>
        <w:ind w:left="106" w:right="5121"/>
      </w:pPr>
      <w:r>
        <w:t>Tier 1: Learning Portal and Catalogue Tier 2: Sourcing Services</w:t>
      </w:r>
    </w:p>
    <w:p w14:paraId="4FAEF997" w14:textId="77777777" w:rsidR="001E4214" w:rsidRDefault="00474D9F">
      <w:pPr>
        <w:pStyle w:val="BodyText"/>
        <w:spacing w:before="1" w:line="398" w:lineRule="auto"/>
        <w:ind w:left="106" w:right="4495"/>
      </w:pPr>
      <w:r>
        <w:t>Tier 3: Administration and Support Services Tier 4: Contract Management Services</w:t>
      </w:r>
    </w:p>
    <w:p w14:paraId="06A9E8BB" w14:textId="77777777" w:rsidR="001E4214" w:rsidRDefault="001E4214">
      <w:pPr>
        <w:pStyle w:val="BodyText"/>
        <w:rPr>
          <w:sz w:val="26"/>
        </w:rPr>
      </w:pPr>
    </w:p>
    <w:p w14:paraId="3F51FD5D" w14:textId="77777777" w:rsidR="001E4214" w:rsidRDefault="00474D9F">
      <w:pPr>
        <w:pStyle w:val="Heading1"/>
        <w:spacing w:before="162"/>
      </w:pPr>
      <w:r>
        <w:t>What sort of learning requirements does the framework cover?</w:t>
      </w:r>
    </w:p>
    <w:p w14:paraId="4771B1CD" w14:textId="77777777" w:rsidR="001E4214" w:rsidRDefault="00474D9F">
      <w:pPr>
        <w:pStyle w:val="BodyText"/>
        <w:spacing w:before="181" w:line="259" w:lineRule="auto"/>
        <w:ind w:left="115" w:right="105" w:hanging="10"/>
        <w:jc w:val="both"/>
      </w:pPr>
      <w:r>
        <w:t>The</w:t>
      </w:r>
      <w:r>
        <w:rPr>
          <w:spacing w:val="-14"/>
        </w:rPr>
        <w:t xml:space="preserve"> </w:t>
      </w:r>
      <w:r>
        <w:t>framework</w:t>
      </w:r>
      <w:r>
        <w:rPr>
          <w:spacing w:val="-13"/>
        </w:rPr>
        <w:t xml:space="preserve"> </w:t>
      </w:r>
      <w:r>
        <w:t>is</w:t>
      </w:r>
      <w:r>
        <w:rPr>
          <w:spacing w:val="-13"/>
        </w:rPr>
        <w:t xml:space="preserve"> </w:t>
      </w:r>
      <w:r>
        <w:t>designed</w:t>
      </w:r>
      <w:r>
        <w:rPr>
          <w:spacing w:val="-14"/>
        </w:rPr>
        <w:t xml:space="preserve"> </w:t>
      </w:r>
      <w:r>
        <w:t>to</w:t>
      </w:r>
      <w:r>
        <w:rPr>
          <w:spacing w:val="-13"/>
        </w:rPr>
        <w:t xml:space="preserve"> </w:t>
      </w:r>
      <w:r>
        <w:t>cover</w:t>
      </w:r>
      <w:r>
        <w:rPr>
          <w:spacing w:val="-16"/>
        </w:rPr>
        <w:t xml:space="preserve"> </w:t>
      </w:r>
      <w:r>
        <w:t>all</w:t>
      </w:r>
      <w:r>
        <w:rPr>
          <w:spacing w:val="-14"/>
        </w:rPr>
        <w:t xml:space="preserve"> </w:t>
      </w:r>
      <w:r>
        <w:t>learning</w:t>
      </w:r>
      <w:r>
        <w:rPr>
          <w:spacing w:val="-14"/>
        </w:rPr>
        <w:t xml:space="preserve"> </w:t>
      </w:r>
      <w:r>
        <w:t>requirements,</w:t>
      </w:r>
      <w:r>
        <w:rPr>
          <w:spacing w:val="-12"/>
        </w:rPr>
        <w:t xml:space="preserve"> </w:t>
      </w:r>
      <w:r>
        <w:t>regardless</w:t>
      </w:r>
      <w:r>
        <w:rPr>
          <w:spacing w:val="-11"/>
        </w:rPr>
        <w:t xml:space="preserve"> </w:t>
      </w:r>
      <w:r>
        <w:t>of</w:t>
      </w:r>
      <w:r>
        <w:rPr>
          <w:spacing w:val="-12"/>
        </w:rPr>
        <w:t xml:space="preserve"> </w:t>
      </w:r>
      <w:r>
        <w:t>size.</w:t>
      </w:r>
      <w:r>
        <w:rPr>
          <w:spacing w:val="-12"/>
        </w:rPr>
        <w:t xml:space="preserve"> </w:t>
      </w:r>
      <w:r>
        <w:t xml:space="preserve">Core learning requirements will most likely be covered by </w:t>
      </w:r>
      <w:proofErr w:type="spellStart"/>
      <w:r>
        <w:t>Knowledgepool’s</w:t>
      </w:r>
      <w:proofErr w:type="spellEnd"/>
      <w:r>
        <w:t xml:space="preserve"> own catalogue of</w:t>
      </w:r>
      <w:r>
        <w:rPr>
          <w:spacing w:val="-12"/>
        </w:rPr>
        <w:t xml:space="preserve"> </w:t>
      </w:r>
      <w:r>
        <w:t>courses</w:t>
      </w:r>
      <w:r>
        <w:rPr>
          <w:spacing w:val="-17"/>
        </w:rPr>
        <w:t xml:space="preserve"> </w:t>
      </w:r>
      <w:r>
        <w:t>(tier</w:t>
      </w:r>
      <w:r>
        <w:rPr>
          <w:spacing w:val="-15"/>
        </w:rPr>
        <w:t xml:space="preserve"> </w:t>
      </w:r>
      <w:r>
        <w:t>1).</w:t>
      </w:r>
      <w:r>
        <w:rPr>
          <w:spacing w:val="38"/>
        </w:rPr>
        <w:t xml:space="preserve"> </w:t>
      </w:r>
      <w:r>
        <w:t>More</w:t>
      </w:r>
      <w:r>
        <w:rPr>
          <w:spacing w:val="-14"/>
        </w:rPr>
        <w:t xml:space="preserve"> </w:t>
      </w:r>
      <w:r>
        <w:t>unique</w:t>
      </w:r>
      <w:r>
        <w:rPr>
          <w:spacing w:val="-14"/>
        </w:rPr>
        <w:t xml:space="preserve"> </w:t>
      </w:r>
      <w:r>
        <w:t>requirements</w:t>
      </w:r>
      <w:r>
        <w:rPr>
          <w:spacing w:val="-17"/>
        </w:rPr>
        <w:t xml:space="preserve"> </w:t>
      </w:r>
      <w:r>
        <w:t>can</w:t>
      </w:r>
      <w:r>
        <w:rPr>
          <w:spacing w:val="-13"/>
        </w:rPr>
        <w:t xml:space="preserve"> </w:t>
      </w:r>
      <w:r>
        <w:t>be</w:t>
      </w:r>
      <w:r>
        <w:rPr>
          <w:spacing w:val="-14"/>
        </w:rPr>
        <w:t xml:space="preserve"> </w:t>
      </w:r>
      <w:r>
        <w:t>outsourced</w:t>
      </w:r>
      <w:r>
        <w:rPr>
          <w:spacing w:val="-14"/>
        </w:rPr>
        <w:t xml:space="preserve"> </w:t>
      </w:r>
      <w:r>
        <w:t>via</w:t>
      </w:r>
      <w:r>
        <w:rPr>
          <w:spacing w:val="-14"/>
        </w:rPr>
        <w:t xml:space="preserve"> </w:t>
      </w:r>
      <w:proofErr w:type="spellStart"/>
      <w:r>
        <w:t>Knowledgepool’s</w:t>
      </w:r>
      <w:proofErr w:type="spellEnd"/>
      <w:r>
        <w:t xml:space="preserve"> own pool of best-in-class providers (tier</w:t>
      </w:r>
      <w:r>
        <w:rPr>
          <w:spacing w:val="-1"/>
        </w:rPr>
        <w:t xml:space="preserve"> </w:t>
      </w:r>
      <w:r>
        <w:t>2).</w:t>
      </w:r>
    </w:p>
    <w:p w14:paraId="6FBED738" w14:textId="77777777" w:rsidR="001E4214" w:rsidRDefault="001E4214">
      <w:pPr>
        <w:pStyle w:val="BodyText"/>
        <w:rPr>
          <w:sz w:val="26"/>
        </w:rPr>
      </w:pPr>
    </w:p>
    <w:p w14:paraId="07535FB5" w14:textId="77777777" w:rsidR="001E4214" w:rsidRDefault="001E4214">
      <w:pPr>
        <w:pStyle w:val="BodyText"/>
        <w:spacing w:before="3"/>
        <w:rPr>
          <w:sz w:val="28"/>
        </w:rPr>
      </w:pPr>
    </w:p>
    <w:p w14:paraId="248B46A6" w14:textId="77777777" w:rsidR="001E4214" w:rsidRDefault="00474D9F">
      <w:pPr>
        <w:pStyle w:val="Heading1"/>
      </w:pPr>
      <w:r>
        <w:t>Do I need to use the whole managed service option?</w:t>
      </w:r>
    </w:p>
    <w:p w14:paraId="0E220202" w14:textId="77777777" w:rsidR="001E4214" w:rsidRDefault="00474D9F">
      <w:pPr>
        <w:pStyle w:val="BodyText"/>
        <w:spacing w:before="180" w:line="259" w:lineRule="auto"/>
        <w:ind w:left="115" w:right="103" w:hanging="10"/>
        <w:jc w:val="both"/>
      </w:pPr>
      <w:r>
        <w:t>No. You can use all tiers as a full managed service, or you can use just one tier. You can also use a bespoke combination of services. The framework is designed to have the flexibility to tailor to any need.</w:t>
      </w:r>
    </w:p>
    <w:p w14:paraId="49B3C6F1" w14:textId="77777777" w:rsidR="001E4214" w:rsidRDefault="001E4214">
      <w:pPr>
        <w:pStyle w:val="BodyText"/>
        <w:rPr>
          <w:sz w:val="26"/>
        </w:rPr>
      </w:pPr>
    </w:p>
    <w:p w14:paraId="10E3D895" w14:textId="77777777" w:rsidR="001E4214" w:rsidRDefault="001E4214">
      <w:pPr>
        <w:pStyle w:val="BodyText"/>
        <w:spacing w:before="2"/>
        <w:rPr>
          <w:sz w:val="28"/>
        </w:rPr>
      </w:pPr>
    </w:p>
    <w:p w14:paraId="0FF8751E" w14:textId="77777777" w:rsidR="001E4214" w:rsidRDefault="00474D9F">
      <w:pPr>
        <w:pStyle w:val="Heading1"/>
      </w:pPr>
      <w:r>
        <w:t>Central Government have a sign off process, what is this?</w:t>
      </w:r>
    </w:p>
    <w:p w14:paraId="49B1C116" w14:textId="77777777" w:rsidR="001E4214" w:rsidRDefault="00474D9F">
      <w:pPr>
        <w:pStyle w:val="BodyText"/>
        <w:spacing w:before="180" w:line="259" w:lineRule="auto"/>
        <w:ind w:left="115" w:right="100" w:hanging="10"/>
      </w:pPr>
      <w:r>
        <w:t>All Central Government bodies who are customers of Civil Service Learning need to go through the triage process:</w:t>
      </w:r>
    </w:p>
    <w:p w14:paraId="434943E1" w14:textId="77777777" w:rsidR="001E4214" w:rsidRDefault="00474D9F">
      <w:pPr>
        <w:pStyle w:val="ListParagraph"/>
        <w:numPr>
          <w:ilvl w:val="0"/>
          <w:numId w:val="1"/>
        </w:numPr>
        <w:tabs>
          <w:tab w:val="left" w:pos="841"/>
        </w:tabs>
        <w:spacing w:before="163"/>
        <w:rPr>
          <w:sz w:val="24"/>
        </w:rPr>
      </w:pPr>
      <w:r>
        <w:rPr>
          <w:sz w:val="24"/>
        </w:rPr>
        <w:t>Check</w:t>
      </w:r>
      <w:r>
        <w:rPr>
          <w:spacing w:val="-14"/>
          <w:sz w:val="24"/>
        </w:rPr>
        <w:t xml:space="preserve"> </w:t>
      </w:r>
      <w:r>
        <w:rPr>
          <w:sz w:val="24"/>
        </w:rPr>
        <w:t>with</w:t>
      </w:r>
      <w:r>
        <w:rPr>
          <w:spacing w:val="-10"/>
          <w:sz w:val="24"/>
        </w:rPr>
        <w:t xml:space="preserve"> </w:t>
      </w:r>
      <w:r>
        <w:rPr>
          <w:sz w:val="24"/>
        </w:rPr>
        <w:t>your</w:t>
      </w:r>
      <w:r>
        <w:rPr>
          <w:spacing w:val="-15"/>
          <w:sz w:val="24"/>
        </w:rPr>
        <w:t xml:space="preserve"> </w:t>
      </w:r>
      <w:r>
        <w:rPr>
          <w:sz w:val="24"/>
        </w:rPr>
        <w:t>own</w:t>
      </w:r>
      <w:r>
        <w:rPr>
          <w:spacing w:val="-12"/>
          <w:sz w:val="24"/>
        </w:rPr>
        <w:t xml:space="preserve"> </w:t>
      </w:r>
      <w:r>
        <w:rPr>
          <w:sz w:val="24"/>
        </w:rPr>
        <w:t>L&amp;D</w:t>
      </w:r>
      <w:r>
        <w:rPr>
          <w:spacing w:val="-14"/>
          <w:sz w:val="24"/>
        </w:rPr>
        <w:t xml:space="preserve"> </w:t>
      </w:r>
      <w:r>
        <w:rPr>
          <w:sz w:val="24"/>
        </w:rPr>
        <w:t>team</w:t>
      </w:r>
      <w:r>
        <w:rPr>
          <w:spacing w:val="-12"/>
          <w:sz w:val="24"/>
        </w:rPr>
        <w:t xml:space="preserve"> </w:t>
      </w:r>
      <w:r>
        <w:rPr>
          <w:sz w:val="24"/>
        </w:rPr>
        <w:t>whether</w:t>
      </w:r>
      <w:r>
        <w:rPr>
          <w:spacing w:val="-14"/>
          <w:sz w:val="24"/>
        </w:rPr>
        <w:t xml:space="preserve"> </w:t>
      </w:r>
      <w:r>
        <w:rPr>
          <w:sz w:val="24"/>
        </w:rPr>
        <w:t>your</w:t>
      </w:r>
      <w:r>
        <w:rPr>
          <w:spacing w:val="-15"/>
          <w:sz w:val="24"/>
        </w:rPr>
        <w:t xml:space="preserve"> </w:t>
      </w:r>
      <w:r>
        <w:rPr>
          <w:sz w:val="24"/>
        </w:rPr>
        <w:t>department</w:t>
      </w:r>
      <w:r>
        <w:rPr>
          <w:spacing w:val="-12"/>
          <w:sz w:val="24"/>
        </w:rPr>
        <w:t xml:space="preserve"> </w:t>
      </w:r>
      <w:r>
        <w:rPr>
          <w:sz w:val="24"/>
        </w:rPr>
        <w:t>is</w:t>
      </w:r>
      <w:r>
        <w:rPr>
          <w:spacing w:val="-14"/>
          <w:sz w:val="24"/>
        </w:rPr>
        <w:t xml:space="preserve"> </w:t>
      </w:r>
      <w:r>
        <w:rPr>
          <w:sz w:val="24"/>
        </w:rPr>
        <w:t>a</w:t>
      </w:r>
      <w:r>
        <w:rPr>
          <w:spacing w:val="-12"/>
          <w:sz w:val="24"/>
        </w:rPr>
        <w:t xml:space="preserve"> </w:t>
      </w:r>
      <w:r>
        <w:rPr>
          <w:sz w:val="24"/>
        </w:rPr>
        <w:t>customer</w:t>
      </w:r>
      <w:r>
        <w:rPr>
          <w:spacing w:val="-14"/>
          <w:sz w:val="24"/>
        </w:rPr>
        <w:t xml:space="preserve"> </w:t>
      </w:r>
      <w:r>
        <w:rPr>
          <w:sz w:val="24"/>
        </w:rPr>
        <w:t>of</w:t>
      </w:r>
      <w:r>
        <w:rPr>
          <w:spacing w:val="-11"/>
          <w:sz w:val="24"/>
        </w:rPr>
        <w:t xml:space="preserve"> </w:t>
      </w:r>
      <w:r>
        <w:rPr>
          <w:sz w:val="24"/>
        </w:rPr>
        <w:t>CSL.</w:t>
      </w:r>
    </w:p>
    <w:p w14:paraId="6CBDF53D" w14:textId="77777777" w:rsidR="001E4214" w:rsidRDefault="00474D9F">
      <w:pPr>
        <w:pStyle w:val="ListParagraph"/>
        <w:numPr>
          <w:ilvl w:val="0"/>
          <w:numId w:val="1"/>
        </w:numPr>
        <w:tabs>
          <w:tab w:val="left" w:pos="841"/>
        </w:tabs>
        <w:spacing w:before="24" w:line="261" w:lineRule="auto"/>
        <w:ind w:right="110"/>
        <w:jc w:val="both"/>
        <w:rPr>
          <w:sz w:val="24"/>
        </w:rPr>
      </w:pPr>
      <w:r>
        <w:rPr>
          <w:sz w:val="24"/>
        </w:rPr>
        <w:t>If</w:t>
      </w:r>
      <w:r>
        <w:rPr>
          <w:spacing w:val="-6"/>
          <w:sz w:val="24"/>
        </w:rPr>
        <w:t xml:space="preserve"> </w:t>
      </w:r>
      <w:r>
        <w:rPr>
          <w:sz w:val="24"/>
        </w:rPr>
        <w:t>so,</w:t>
      </w:r>
      <w:r>
        <w:rPr>
          <w:spacing w:val="-9"/>
          <w:sz w:val="24"/>
        </w:rPr>
        <w:t xml:space="preserve"> </w:t>
      </w:r>
      <w:r>
        <w:rPr>
          <w:sz w:val="24"/>
        </w:rPr>
        <w:t>check</w:t>
      </w:r>
      <w:r>
        <w:rPr>
          <w:spacing w:val="-8"/>
          <w:sz w:val="24"/>
        </w:rPr>
        <w:t xml:space="preserve"> </w:t>
      </w:r>
      <w:r>
        <w:rPr>
          <w:sz w:val="24"/>
        </w:rPr>
        <w:t>whether</w:t>
      </w:r>
      <w:r>
        <w:rPr>
          <w:spacing w:val="-7"/>
          <w:sz w:val="24"/>
        </w:rPr>
        <w:t xml:space="preserve"> </w:t>
      </w:r>
      <w:r>
        <w:rPr>
          <w:sz w:val="24"/>
        </w:rPr>
        <w:t>any</w:t>
      </w:r>
      <w:r>
        <w:rPr>
          <w:spacing w:val="-8"/>
          <w:sz w:val="24"/>
        </w:rPr>
        <w:t xml:space="preserve"> </w:t>
      </w:r>
      <w:r>
        <w:rPr>
          <w:sz w:val="24"/>
        </w:rPr>
        <w:t>training</w:t>
      </w:r>
      <w:r>
        <w:rPr>
          <w:spacing w:val="-8"/>
          <w:sz w:val="24"/>
        </w:rPr>
        <w:t xml:space="preserve"> </w:t>
      </w:r>
      <w:r>
        <w:rPr>
          <w:sz w:val="24"/>
        </w:rPr>
        <w:t>available</w:t>
      </w:r>
      <w:r>
        <w:rPr>
          <w:spacing w:val="-6"/>
          <w:sz w:val="24"/>
        </w:rPr>
        <w:t xml:space="preserve"> </w:t>
      </w:r>
      <w:r>
        <w:rPr>
          <w:sz w:val="24"/>
        </w:rPr>
        <w:t>through</w:t>
      </w:r>
      <w:r>
        <w:rPr>
          <w:spacing w:val="-5"/>
          <w:sz w:val="24"/>
        </w:rPr>
        <w:t xml:space="preserve"> </w:t>
      </w:r>
      <w:r>
        <w:rPr>
          <w:sz w:val="24"/>
        </w:rPr>
        <w:t>the</w:t>
      </w:r>
      <w:r>
        <w:rPr>
          <w:spacing w:val="-8"/>
          <w:sz w:val="24"/>
        </w:rPr>
        <w:t xml:space="preserve"> </w:t>
      </w:r>
      <w:r>
        <w:rPr>
          <w:sz w:val="24"/>
        </w:rPr>
        <w:t>CSL</w:t>
      </w:r>
      <w:r>
        <w:rPr>
          <w:spacing w:val="-7"/>
          <w:sz w:val="24"/>
        </w:rPr>
        <w:t xml:space="preserve"> </w:t>
      </w:r>
      <w:r>
        <w:rPr>
          <w:sz w:val="24"/>
        </w:rPr>
        <w:t>portal</w:t>
      </w:r>
      <w:r>
        <w:rPr>
          <w:spacing w:val="-7"/>
          <w:sz w:val="24"/>
        </w:rPr>
        <w:t xml:space="preserve"> </w:t>
      </w:r>
      <w:r>
        <w:rPr>
          <w:sz w:val="24"/>
        </w:rPr>
        <w:t>will</w:t>
      </w:r>
      <w:r>
        <w:rPr>
          <w:spacing w:val="-7"/>
          <w:sz w:val="24"/>
        </w:rPr>
        <w:t xml:space="preserve"> </w:t>
      </w:r>
      <w:r>
        <w:rPr>
          <w:sz w:val="24"/>
        </w:rPr>
        <w:t>fulfil</w:t>
      </w:r>
      <w:r>
        <w:rPr>
          <w:spacing w:val="-7"/>
          <w:sz w:val="24"/>
        </w:rPr>
        <w:t xml:space="preserve"> </w:t>
      </w:r>
      <w:r>
        <w:rPr>
          <w:sz w:val="24"/>
        </w:rPr>
        <w:t>your requirement.</w:t>
      </w:r>
    </w:p>
    <w:p w14:paraId="4E761195" w14:textId="77777777" w:rsidR="001E4214" w:rsidRDefault="00474D9F">
      <w:pPr>
        <w:pStyle w:val="ListParagraph"/>
        <w:numPr>
          <w:ilvl w:val="0"/>
          <w:numId w:val="1"/>
        </w:numPr>
        <w:tabs>
          <w:tab w:val="left" w:pos="841"/>
        </w:tabs>
        <w:spacing w:line="261" w:lineRule="auto"/>
        <w:ind w:right="101"/>
        <w:jc w:val="both"/>
        <w:rPr>
          <w:sz w:val="24"/>
        </w:rPr>
      </w:pPr>
      <w:r>
        <w:rPr>
          <w:sz w:val="24"/>
        </w:rPr>
        <w:t>If not, you will need to go through the CSL triage process. Begin by filling out a Triage Request Form (copies can be found</w:t>
      </w:r>
      <w:r>
        <w:rPr>
          <w:color w:val="0462C1"/>
          <w:spacing w:val="-4"/>
          <w:sz w:val="24"/>
        </w:rPr>
        <w:t xml:space="preserve"> </w:t>
      </w:r>
      <w:hyperlink r:id="rId6">
        <w:r>
          <w:rPr>
            <w:color w:val="0462C1"/>
            <w:sz w:val="24"/>
            <w:u w:val="single" w:color="0462C1"/>
          </w:rPr>
          <w:t>here</w:t>
        </w:r>
      </w:hyperlink>
      <w:hyperlink r:id="rId7">
        <w:r>
          <w:rPr>
            <w:sz w:val="24"/>
          </w:rPr>
          <w:t>)</w:t>
        </w:r>
      </w:hyperlink>
      <w:r>
        <w:rPr>
          <w:sz w:val="24"/>
        </w:rPr>
        <w:t>.</w:t>
      </w:r>
    </w:p>
    <w:p w14:paraId="228D54AD" w14:textId="77777777" w:rsidR="001E4214" w:rsidRDefault="00474D9F">
      <w:pPr>
        <w:pStyle w:val="ListParagraph"/>
        <w:numPr>
          <w:ilvl w:val="0"/>
          <w:numId w:val="1"/>
        </w:numPr>
        <w:tabs>
          <w:tab w:val="left" w:pos="841"/>
        </w:tabs>
        <w:spacing w:line="261" w:lineRule="auto"/>
        <w:ind w:right="105"/>
        <w:jc w:val="both"/>
        <w:rPr>
          <w:sz w:val="24"/>
        </w:rPr>
      </w:pPr>
      <w:r>
        <w:rPr>
          <w:sz w:val="24"/>
        </w:rPr>
        <w:t>CSL will determine which of their L&amp;D contracts is most suitable for your requirement, or whether it will be more appropriate for you to source your requirements</w:t>
      </w:r>
      <w:r>
        <w:rPr>
          <w:spacing w:val="-3"/>
          <w:sz w:val="24"/>
        </w:rPr>
        <w:t xml:space="preserve"> </w:t>
      </w:r>
      <w:r>
        <w:rPr>
          <w:sz w:val="24"/>
        </w:rPr>
        <w:t>locally.</w:t>
      </w:r>
    </w:p>
    <w:p w14:paraId="22F638A2" w14:textId="77777777" w:rsidR="001E4214" w:rsidRDefault="00474D9F">
      <w:pPr>
        <w:pStyle w:val="ListParagraph"/>
        <w:numPr>
          <w:ilvl w:val="0"/>
          <w:numId w:val="1"/>
        </w:numPr>
        <w:tabs>
          <w:tab w:val="left" w:pos="841"/>
        </w:tabs>
        <w:spacing w:line="261" w:lineRule="auto"/>
        <w:ind w:right="102"/>
        <w:jc w:val="both"/>
        <w:rPr>
          <w:sz w:val="24"/>
        </w:rPr>
      </w:pPr>
      <w:r>
        <w:rPr>
          <w:sz w:val="24"/>
        </w:rPr>
        <w:t>If one of the contracts is appropriate, you will be able to get in touch with that supplier directly. If the MLS contract is the most suitable, email</w:t>
      </w:r>
      <w:hyperlink r:id="rId8">
        <w:r>
          <w:rPr>
            <w:color w:val="0462C1"/>
            <w:sz w:val="24"/>
            <w:u w:val="single" w:color="0462C1"/>
          </w:rPr>
          <w:t xml:space="preserve"> help@knowledgepool.com</w:t>
        </w:r>
        <w:r>
          <w:rPr>
            <w:color w:val="0462C1"/>
            <w:sz w:val="24"/>
          </w:rPr>
          <w:t xml:space="preserve"> </w:t>
        </w:r>
      </w:hyperlink>
      <w:r>
        <w:rPr>
          <w:sz w:val="24"/>
        </w:rPr>
        <w:t>with your statement of</w:t>
      </w:r>
      <w:r>
        <w:rPr>
          <w:spacing w:val="-1"/>
          <w:sz w:val="24"/>
        </w:rPr>
        <w:t xml:space="preserve"> </w:t>
      </w:r>
      <w:r>
        <w:rPr>
          <w:sz w:val="24"/>
        </w:rPr>
        <w:t>requirements.</w:t>
      </w:r>
    </w:p>
    <w:p w14:paraId="5AE752C7" w14:textId="77777777" w:rsidR="001E4214" w:rsidRDefault="00474D9F">
      <w:pPr>
        <w:pStyle w:val="ListParagraph"/>
        <w:numPr>
          <w:ilvl w:val="0"/>
          <w:numId w:val="1"/>
        </w:numPr>
        <w:tabs>
          <w:tab w:val="left" w:pos="841"/>
        </w:tabs>
        <w:spacing w:line="259" w:lineRule="auto"/>
        <w:ind w:right="108"/>
        <w:jc w:val="both"/>
        <w:rPr>
          <w:sz w:val="24"/>
        </w:rPr>
      </w:pPr>
      <w:r>
        <w:rPr>
          <w:sz w:val="24"/>
        </w:rPr>
        <w:t>If none of the contracts suits your requirement, you will be advised to run your own</w:t>
      </w:r>
      <w:r>
        <w:rPr>
          <w:spacing w:val="-1"/>
          <w:sz w:val="24"/>
        </w:rPr>
        <w:t xml:space="preserve"> </w:t>
      </w:r>
      <w:r>
        <w:rPr>
          <w:sz w:val="24"/>
        </w:rPr>
        <w:t>procurement.</w:t>
      </w:r>
    </w:p>
    <w:p w14:paraId="775F7169" w14:textId="77777777" w:rsidR="001E4214" w:rsidRDefault="00474D9F">
      <w:pPr>
        <w:pStyle w:val="BodyText"/>
        <w:spacing w:before="154"/>
        <w:ind w:left="106"/>
        <w:jc w:val="both"/>
      </w:pPr>
      <w:r>
        <w:t xml:space="preserve">For more information on the CSL Triage Process click </w:t>
      </w:r>
      <w:hyperlink r:id="rId9">
        <w:r>
          <w:rPr>
            <w:color w:val="0462C1"/>
            <w:u w:val="single" w:color="0462C1"/>
          </w:rPr>
          <w:t>here</w:t>
        </w:r>
      </w:hyperlink>
      <w:hyperlink r:id="rId10">
        <w:r>
          <w:t>.</w:t>
        </w:r>
      </w:hyperlink>
    </w:p>
    <w:p w14:paraId="238EB02C" w14:textId="77777777" w:rsidR="001E4214" w:rsidRDefault="001E4214">
      <w:pPr>
        <w:jc w:val="both"/>
        <w:sectPr w:rsidR="001E4214">
          <w:pgSz w:w="11910" w:h="16840"/>
          <w:pgMar w:top="1340" w:right="1340" w:bottom="280" w:left="1320" w:header="720" w:footer="720" w:gutter="0"/>
          <w:cols w:space="720"/>
        </w:sectPr>
      </w:pPr>
    </w:p>
    <w:p w14:paraId="34095889" w14:textId="77777777" w:rsidR="001E4214" w:rsidRDefault="001E4214">
      <w:pPr>
        <w:pStyle w:val="BodyText"/>
        <w:spacing w:before="10"/>
        <w:rPr>
          <w:sz w:val="17"/>
        </w:rPr>
      </w:pPr>
    </w:p>
    <w:p w14:paraId="65963D5C" w14:textId="77777777" w:rsidR="001E4214" w:rsidRDefault="00474D9F">
      <w:pPr>
        <w:pStyle w:val="Heading1"/>
        <w:spacing w:before="93"/>
      </w:pPr>
      <w:r>
        <w:t>What is the process for Wider Public Sector</w:t>
      </w:r>
      <w:r>
        <w:rPr>
          <w:spacing w:val="-16"/>
        </w:rPr>
        <w:t xml:space="preserve"> </w:t>
      </w:r>
      <w:r>
        <w:t>organisations?</w:t>
      </w:r>
    </w:p>
    <w:p w14:paraId="4FBCD819" w14:textId="77777777" w:rsidR="001E4214" w:rsidRDefault="00474D9F">
      <w:pPr>
        <w:pStyle w:val="BodyText"/>
        <w:spacing w:before="182" w:line="259" w:lineRule="auto"/>
        <w:ind w:left="115" w:right="104" w:hanging="10"/>
        <w:jc w:val="both"/>
      </w:pPr>
      <w:r>
        <w:t>WPS</w:t>
      </w:r>
      <w:r>
        <w:rPr>
          <w:spacing w:val="-8"/>
        </w:rPr>
        <w:t xml:space="preserve"> </w:t>
      </w:r>
      <w:r>
        <w:t>organisations,</w:t>
      </w:r>
      <w:r>
        <w:rPr>
          <w:spacing w:val="-5"/>
        </w:rPr>
        <w:t xml:space="preserve"> </w:t>
      </w:r>
      <w:r>
        <w:t>and</w:t>
      </w:r>
      <w:r>
        <w:rPr>
          <w:spacing w:val="-6"/>
        </w:rPr>
        <w:t xml:space="preserve"> </w:t>
      </w:r>
      <w:r>
        <w:t>CG</w:t>
      </w:r>
      <w:r>
        <w:rPr>
          <w:spacing w:val="-6"/>
        </w:rPr>
        <w:t xml:space="preserve"> </w:t>
      </w:r>
      <w:r>
        <w:t>departments</w:t>
      </w:r>
      <w:r>
        <w:rPr>
          <w:spacing w:val="-6"/>
        </w:rPr>
        <w:t xml:space="preserve"> </w:t>
      </w:r>
      <w:r>
        <w:t>who</w:t>
      </w:r>
      <w:r>
        <w:rPr>
          <w:spacing w:val="-5"/>
        </w:rPr>
        <w:t xml:space="preserve"> </w:t>
      </w:r>
      <w:r>
        <w:t>are</w:t>
      </w:r>
      <w:r>
        <w:rPr>
          <w:spacing w:val="-7"/>
        </w:rPr>
        <w:t xml:space="preserve"> </w:t>
      </w:r>
      <w:r>
        <w:t>not</w:t>
      </w:r>
      <w:r>
        <w:rPr>
          <w:spacing w:val="-5"/>
        </w:rPr>
        <w:t xml:space="preserve"> </w:t>
      </w:r>
      <w:r>
        <w:t>customers</w:t>
      </w:r>
      <w:r>
        <w:rPr>
          <w:spacing w:val="-7"/>
        </w:rPr>
        <w:t xml:space="preserve"> </w:t>
      </w:r>
      <w:r>
        <w:t>of</w:t>
      </w:r>
      <w:r>
        <w:rPr>
          <w:spacing w:val="-6"/>
        </w:rPr>
        <w:t xml:space="preserve"> </w:t>
      </w:r>
      <w:r>
        <w:t>CSL,</w:t>
      </w:r>
      <w:r>
        <w:rPr>
          <w:spacing w:val="-6"/>
        </w:rPr>
        <w:t xml:space="preserve"> </w:t>
      </w:r>
      <w:r>
        <w:t>do</w:t>
      </w:r>
      <w:r>
        <w:rPr>
          <w:spacing w:val="-5"/>
        </w:rPr>
        <w:t xml:space="preserve"> </w:t>
      </w:r>
      <w:r>
        <w:t>not</w:t>
      </w:r>
      <w:r>
        <w:rPr>
          <w:spacing w:val="-6"/>
        </w:rPr>
        <w:t xml:space="preserve"> </w:t>
      </w:r>
      <w:r>
        <w:t xml:space="preserve">have to go through the triage process. You can contact the supplier directly at </w:t>
      </w:r>
      <w:hyperlink r:id="rId11">
        <w:r>
          <w:rPr>
            <w:color w:val="0462C1"/>
            <w:u w:val="single" w:color="0462C1"/>
          </w:rPr>
          <w:t>help@knowledgepool.com</w:t>
        </w:r>
        <w:r>
          <w:rPr>
            <w:color w:val="0462C1"/>
          </w:rPr>
          <w:t xml:space="preserve"> </w:t>
        </w:r>
      </w:hyperlink>
      <w:r>
        <w:t>with your statement of requirements.</w:t>
      </w:r>
    </w:p>
    <w:p w14:paraId="1ABB2395" w14:textId="77777777" w:rsidR="001E4214" w:rsidRDefault="001E4214">
      <w:pPr>
        <w:pStyle w:val="BodyText"/>
        <w:rPr>
          <w:sz w:val="20"/>
        </w:rPr>
      </w:pPr>
    </w:p>
    <w:p w14:paraId="1850BF35" w14:textId="77777777" w:rsidR="001E4214" w:rsidRDefault="001E4214">
      <w:pPr>
        <w:pStyle w:val="BodyText"/>
        <w:spacing w:before="11"/>
        <w:rPr>
          <w:sz w:val="25"/>
        </w:rPr>
      </w:pPr>
    </w:p>
    <w:p w14:paraId="6CC410F2" w14:textId="77777777" w:rsidR="001E4214" w:rsidRDefault="00474D9F">
      <w:pPr>
        <w:pStyle w:val="Heading1"/>
        <w:spacing w:before="92"/>
      </w:pPr>
      <w:r>
        <w:t>What is the specific management levy percentage charged to suppliers?</w:t>
      </w:r>
    </w:p>
    <w:p w14:paraId="38CAF2B3" w14:textId="77777777" w:rsidR="001E4214" w:rsidRDefault="00474D9F">
      <w:pPr>
        <w:pStyle w:val="BodyText"/>
        <w:spacing w:before="180"/>
        <w:ind w:left="106"/>
      </w:pPr>
      <w:r>
        <w:t>1% built into price.</w:t>
      </w:r>
    </w:p>
    <w:p w14:paraId="5CCD8E53" w14:textId="77777777" w:rsidR="001E4214" w:rsidRDefault="001E4214">
      <w:pPr>
        <w:pStyle w:val="BodyText"/>
        <w:rPr>
          <w:sz w:val="26"/>
        </w:rPr>
      </w:pPr>
    </w:p>
    <w:p w14:paraId="54D9E310" w14:textId="77777777" w:rsidR="001E4214" w:rsidRDefault="001E4214">
      <w:pPr>
        <w:pStyle w:val="BodyText"/>
        <w:spacing w:before="11"/>
        <w:rPr>
          <w:sz w:val="29"/>
        </w:rPr>
      </w:pPr>
    </w:p>
    <w:p w14:paraId="45E8BFA5" w14:textId="77777777" w:rsidR="001E4214" w:rsidRDefault="00474D9F">
      <w:pPr>
        <w:pStyle w:val="Heading1"/>
      </w:pPr>
      <w:r>
        <w:t>What was the evaluation criteria ratio?</w:t>
      </w:r>
    </w:p>
    <w:p w14:paraId="0D0CE6D3" w14:textId="77777777" w:rsidR="001E4214" w:rsidRDefault="00474D9F">
      <w:pPr>
        <w:pStyle w:val="BodyText"/>
        <w:spacing w:before="178"/>
        <w:ind w:left="106"/>
      </w:pPr>
      <w:r>
        <w:t>60% quality 40% price.</w:t>
      </w:r>
    </w:p>
    <w:p w14:paraId="42FFE3E0" w14:textId="77777777" w:rsidR="001E4214" w:rsidRDefault="001E4214">
      <w:pPr>
        <w:pStyle w:val="BodyText"/>
        <w:rPr>
          <w:sz w:val="26"/>
        </w:rPr>
      </w:pPr>
    </w:p>
    <w:p w14:paraId="6DD5DD31" w14:textId="77777777" w:rsidR="001E4214" w:rsidRDefault="001E4214">
      <w:pPr>
        <w:pStyle w:val="BodyText"/>
        <w:spacing w:before="11"/>
        <w:rPr>
          <w:sz w:val="29"/>
        </w:rPr>
      </w:pPr>
    </w:p>
    <w:p w14:paraId="40939251" w14:textId="77777777" w:rsidR="001E4214" w:rsidRDefault="00474D9F">
      <w:pPr>
        <w:pStyle w:val="Heading1"/>
      </w:pPr>
      <w:r>
        <w:t>What is the contract length?</w:t>
      </w:r>
    </w:p>
    <w:p w14:paraId="78610E74" w14:textId="77777777" w:rsidR="001E4214" w:rsidRDefault="00474D9F">
      <w:pPr>
        <w:pStyle w:val="BodyText"/>
        <w:spacing w:before="180" w:line="259" w:lineRule="auto"/>
        <w:ind w:left="115" w:right="101" w:hanging="10"/>
        <w:jc w:val="both"/>
      </w:pPr>
      <w:r>
        <w:t>The framework length is 4 years (3+</w:t>
      </w:r>
      <w:proofErr w:type="gramStart"/>
      <w:r>
        <w:t>1 year</w:t>
      </w:r>
      <w:proofErr w:type="gramEnd"/>
      <w:r>
        <w:t xml:space="preserve"> extension). Call-off contracts can have a duration of anything up to 4 years, including the extension. The last possible call-off date is 2/7/2020. A call-off contract can run up to 4 years (including extension) after the framework expiry date.</w:t>
      </w:r>
    </w:p>
    <w:p w14:paraId="3E7480F6" w14:textId="77777777" w:rsidR="001E4214" w:rsidRDefault="001E4214">
      <w:pPr>
        <w:pStyle w:val="BodyText"/>
        <w:rPr>
          <w:sz w:val="26"/>
        </w:rPr>
      </w:pPr>
    </w:p>
    <w:p w14:paraId="16842AEC" w14:textId="77777777" w:rsidR="001E4214" w:rsidRDefault="001E4214">
      <w:pPr>
        <w:pStyle w:val="BodyText"/>
        <w:spacing w:before="1"/>
        <w:rPr>
          <w:sz w:val="28"/>
        </w:rPr>
      </w:pPr>
    </w:p>
    <w:p w14:paraId="676F5322" w14:textId="77777777" w:rsidR="001E4214" w:rsidRDefault="00474D9F">
      <w:pPr>
        <w:pStyle w:val="Heading1"/>
      </w:pPr>
      <w:r>
        <w:t>Can I direct award?</w:t>
      </w:r>
    </w:p>
    <w:p w14:paraId="34D5306B" w14:textId="77777777" w:rsidR="001E4214" w:rsidRDefault="00474D9F">
      <w:pPr>
        <w:pStyle w:val="BodyText"/>
        <w:tabs>
          <w:tab w:val="left" w:pos="6913"/>
        </w:tabs>
        <w:spacing w:before="180" w:line="259" w:lineRule="auto"/>
        <w:ind w:left="115" w:right="100" w:hanging="10"/>
      </w:pPr>
      <w:proofErr w:type="gramStart"/>
      <w:r>
        <w:t>Yes,  the</w:t>
      </w:r>
      <w:proofErr w:type="gramEnd"/>
      <w:r>
        <w:t xml:space="preserve"> framework is single  supplier so  </w:t>
      </w:r>
      <w:r>
        <w:rPr>
          <w:spacing w:val="8"/>
        </w:rPr>
        <w:t xml:space="preserve"> </w:t>
      </w:r>
      <w:r>
        <w:t>direct  award</w:t>
      </w:r>
      <w:r>
        <w:rPr>
          <w:spacing w:val="42"/>
        </w:rPr>
        <w:t xml:space="preserve"> </w:t>
      </w:r>
      <w:r>
        <w:t>only.</w:t>
      </w:r>
      <w:r>
        <w:tab/>
        <w:t>Further competitions cannot be run through this</w:t>
      </w:r>
      <w:r>
        <w:rPr>
          <w:spacing w:val="-8"/>
        </w:rPr>
        <w:t xml:space="preserve"> </w:t>
      </w:r>
      <w:r>
        <w:t>framework.</w:t>
      </w:r>
    </w:p>
    <w:p w14:paraId="71AF5661" w14:textId="77777777" w:rsidR="001E4214" w:rsidRDefault="001E4214">
      <w:pPr>
        <w:pStyle w:val="BodyText"/>
        <w:rPr>
          <w:sz w:val="26"/>
        </w:rPr>
      </w:pPr>
    </w:p>
    <w:p w14:paraId="6E91BB73" w14:textId="77777777" w:rsidR="001E4214" w:rsidRDefault="001E4214">
      <w:pPr>
        <w:pStyle w:val="BodyText"/>
        <w:rPr>
          <w:sz w:val="28"/>
        </w:rPr>
      </w:pPr>
    </w:p>
    <w:p w14:paraId="67D1207D" w14:textId="77777777" w:rsidR="001E4214" w:rsidRDefault="00474D9F">
      <w:pPr>
        <w:pStyle w:val="Heading1"/>
      </w:pPr>
      <w:r>
        <w:t>How can pricing details be obtained?</w:t>
      </w:r>
    </w:p>
    <w:p w14:paraId="5CD84309" w14:textId="77777777" w:rsidR="001E4214" w:rsidRDefault="00474D9F">
      <w:pPr>
        <w:pStyle w:val="BodyText"/>
        <w:spacing w:before="180" w:line="259" w:lineRule="auto"/>
        <w:ind w:left="115" w:hanging="10"/>
      </w:pPr>
      <w:r>
        <w:t>Pricing can be found through the e-sourcing portal. There are instructions on the MLS web page for how to access this.</w:t>
      </w:r>
    </w:p>
    <w:p w14:paraId="6F909220" w14:textId="77777777" w:rsidR="001E4214" w:rsidRDefault="001E4214">
      <w:pPr>
        <w:pStyle w:val="BodyText"/>
        <w:rPr>
          <w:sz w:val="26"/>
        </w:rPr>
      </w:pPr>
    </w:p>
    <w:p w14:paraId="1842B802" w14:textId="77777777" w:rsidR="001E4214" w:rsidRDefault="001E4214">
      <w:pPr>
        <w:pStyle w:val="BodyText"/>
        <w:rPr>
          <w:sz w:val="28"/>
        </w:rPr>
      </w:pPr>
    </w:p>
    <w:p w14:paraId="5299EB3C" w14:textId="77777777" w:rsidR="001E4214" w:rsidRDefault="00474D9F">
      <w:pPr>
        <w:pStyle w:val="Heading1"/>
      </w:pPr>
      <w:r>
        <w:t>I am struggling to find the pricing on the e-sourcing suite?</w:t>
      </w:r>
    </w:p>
    <w:p w14:paraId="75E233B6" w14:textId="77777777" w:rsidR="001E4214" w:rsidRDefault="00474D9F">
      <w:pPr>
        <w:pStyle w:val="BodyText"/>
        <w:tabs>
          <w:tab w:val="left" w:pos="834"/>
          <w:tab w:val="left" w:pos="2139"/>
          <w:tab w:val="left" w:pos="2882"/>
          <w:tab w:val="left" w:pos="3532"/>
          <w:tab w:val="left" w:pos="4970"/>
          <w:tab w:val="left" w:pos="5795"/>
          <w:tab w:val="left" w:pos="6643"/>
          <w:tab w:val="left" w:pos="7159"/>
          <w:tab w:val="left" w:pos="7744"/>
          <w:tab w:val="left" w:pos="8713"/>
        </w:tabs>
        <w:spacing w:before="180" w:line="259" w:lineRule="auto"/>
        <w:ind w:left="115" w:right="106" w:hanging="10"/>
      </w:pPr>
      <w:r>
        <w:t>Any</w:t>
      </w:r>
      <w:r>
        <w:tab/>
        <w:t>problems</w:t>
      </w:r>
      <w:r>
        <w:tab/>
        <w:t>with</w:t>
      </w:r>
      <w:r>
        <w:tab/>
        <w:t>the</w:t>
      </w:r>
      <w:r>
        <w:tab/>
        <w:t>e-sourcing</w:t>
      </w:r>
      <w:r>
        <w:tab/>
        <w:t>suite</w:t>
      </w:r>
      <w:r>
        <w:tab/>
        <w:t>need</w:t>
      </w:r>
      <w:r>
        <w:tab/>
        <w:t>to</w:t>
      </w:r>
      <w:r>
        <w:tab/>
        <w:t>be</w:t>
      </w:r>
      <w:r>
        <w:tab/>
        <w:t>raised</w:t>
      </w:r>
      <w:r>
        <w:tab/>
      </w:r>
      <w:r>
        <w:rPr>
          <w:spacing w:val="-6"/>
        </w:rPr>
        <w:t xml:space="preserve">with </w:t>
      </w:r>
      <w:hyperlink r:id="rId12">
        <w:r>
          <w:rPr>
            <w:color w:val="0462C1"/>
            <w:u w:val="single" w:color="0462C1"/>
          </w:rPr>
          <w:t>eenablement@crowncommercial.gov.uk</w:t>
        </w:r>
      </w:hyperlink>
    </w:p>
    <w:p w14:paraId="01E6C1EF" w14:textId="77777777" w:rsidR="001E4214" w:rsidRDefault="001E4214">
      <w:pPr>
        <w:pStyle w:val="BodyText"/>
        <w:rPr>
          <w:sz w:val="20"/>
        </w:rPr>
      </w:pPr>
    </w:p>
    <w:p w14:paraId="0CAAA832" w14:textId="77777777" w:rsidR="001E4214" w:rsidRDefault="001E4214">
      <w:pPr>
        <w:pStyle w:val="BodyText"/>
        <w:spacing w:before="2"/>
        <w:rPr>
          <w:sz w:val="26"/>
        </w:rPr>
      </w:pPr>
    </w:p>
    <w:p w14:paraId="0A034CC1" w14:textId="77777777" w:rsidR="001E4214" w:rsidRDefault="00474D9F">
      <w:pPr>
        <w:pStyle w:val="Heading1"/>
        <w:spacing w:before="93"/>
      </w:pPr>
      <w:r>
        <w:t xml:space="preserve">Who are </w:t>
      </w:r>
      <w:proofErr w:type="spellStart"/>
      <w:r>
        <w:t>Knowledgepool’s</w:t>
      </w:r>
      <w:proofErr w:type="spellEnd"/>
      <w:r>
        <w:t xml:space="preserve"> key subcontractors?</w:t>
      </w:r>
    </w:p>
    <w:p w14:paraId="3BA43044" w14:textId="77777777" w:rsidR="001E4214" w:rsidRDefault="00474D9F">
      <w:pPr>
        <w:pStyle w:val="BodyText"/>
        <w:spacing w:before="180" w:line="261" w:lineRule="auto"/>
        <w:ind w:left="115" w:right="106" w:hanging="10"/>
        <w:jc w:val="both"/>
      </w:pPr>
      <w:proofErr w:type="spellStart"/>
      <w:r>
        <w:t>Knowledgepool</w:t>
      </w:r>
      <w:proofErr w:type="spellEnd"/>
      <w:r>
        <w:t xml:space="preserve"> has a very large, dynamic pool of suppliers who they have subcontracting</w:t>
      </w:r>
      <w:r>
        <w:rPr>
          <w:spacing w:val="-11"/>
        </w:rPr>
        <w:t xml:space="preserve"> </w:t>
      </w:r>
      <w:r>
        <w:t>relationships</w:t>
      </w:r>
      <w:r>
        <w:rPr>
          <w:spacing w:val="-9"/>
        </w:rPr>
        <w:t xml:space="preserve"> </w:t>
      </w:r>
      <w:r>
        <w:t>with,</w:t>
      </w:r>
      <w:r>
        <w:rPr>
          <w:spacing w:val="-8"/>
        </w:rPr>
        <w:t xml:space="preserve"> </w:t>
      </w:r>
      <w:r>
        <w:t>and</w:t>
      </w:r>
      <w:r>
        <w:rPr>
          <w:spacing w:val="-11"/>
        </w:rPr>
        <w:t xml:space="preserve"> </w:t>
      </w:r>
      <w:r>
        <w:t>so</w:t>
      </w:r>
      <w:r>
        <w:rPr>
          <w:spacing w:val="-7"/>
        </w:rPr>
        <w:t xml:space="preserve"> </w:t>
      </w:r>
      <w:r>
        <w:t>it</w:t>
      </w:r>
      <w:r>
        <w:rPr>
          <w:spacing w:val="-9"/>
        </w:rPr>
        <w:t xml:space="preserve"> </w:t>
      </w:r>
      <w:r>
        <w:t>is</w:t>
      </w:r>
      <w:r>
        <w:rPr>
          <w:spacing w:val="-11"/>
        </w:rPr>
        <w:t xml:space="preserve"> </w:t>
      </w:r>
      <w:r>
        <w:t>not</w:t>
      </w:r>
      <w:r>
        <w:rPr>
          <w:spacing w:val="-11"/>
        </w:rPr>
        <w:t xml:space="preserve"> </w:t>
      </w:r>
      <w:r>
        <w:t>possible</w:t>
      </w:r>
      <w:r>
        <w:rPr>
          <w:spacing w:val="-10"/>
        </w:rPr>
        <w:t xml:space="preserve"> </w:t>
      </w:r>
      <w:r>
        <w:t>to</w:t>
      </w:r>
      <w:r>
        <w:rPr>
          <w:spacing w:val="-10"/>
        </w:rPr>
        <w:t xml:space="preserve"> </w:t>
      </w:r>
      <w:r>
        <w:t>provide</w:t>
      </w:r>
      <w:r>
        <w:rPr>
          <w:spacing w:val="-8"/>
        </w:rPr>
        <w:t xml:space="preserve"> </w:t>
      </w:r>
      <w:r>
        <w:t>a</w:t>
      </w:r>
      <w:r>
        <w:rPr>
          <w:spacing w:val="-7"/>
        </w:rPr>
        <w:t xml:space="preserve"> </w:t>
      </w:r>
      <w:r>
        <w:t>comprehensive list.</w:t>
      </w:r>
      <w:r>
        <w:rPr>
          <w:spacing w:val="19"/>
        </w:rPr>
        <w:t xml:space="preserve"> </w:t>
      </w:r>
      <w:r>
        <w:t>If you have specific suppliers you would prefer to subcontract with, please</w:t>
      </w:r>
    </w:p>
    <w:p w14:paraId="24DC7913" w14:textId="77777777" w:rsidR="001E4214" w:rsidRDefault="001E4214">
      <w:pPr>
        <w:spacing w:line="261" w:lineRule="auto"/>
        <w:jc w:val="both"/>
        <w:sectPr w:rsidR="001E4214">
          <w:pgSz w:w="11910" w:h="16840"/>
          <w:pgMar w:top="1580" w:right="1340" w:bottom="280" w:left="1320" w:header="720" w:footer="720" w:gutter="0"/>
          <w:cols w:space="720"/>
        </w:sectPr>
      </w:pPr>
    </w:p>
    <w:p w14:paraId="391D8EB7" w14:textId="77777777" w:rsidR="001E4214" w:rsidRDefault="00474D9F">
      <w:pPr>
        <w:pStyle w:val="BodyText"/>
        <w:spacing w:before="79" w:line="259" w:lineRule="auto"/>
        <w:ind w:left="115" w:right="102"/>
        <w:jc w:val="both"/>
      </w:pPr>
      <w:r>
        <w:lastRenderedPageBreak/>
        <w:t>communicate this in your statement of requirements. Please be aware they may not be the cheapest or most suitable suppliers in the market.</w:t>
      </w:r>
    </w:p>
    <w:p w14:paraId="3DF8E0E4" w14:textId="77777777" w:rsidR="001E4214" w:rsidRDefault="001E4214">
      <w:pPr>
        <w:pStyle w:val="BodyText"/>
        <w:rPr>
          <w:sz w:val="26"/>
        </w:rPr>
      </w:pPr>
    </w:p>
    <w:p w14:paraId="0FD85F93" w14:textId="77777777" w:rsidR="001E4214" w:rsidRDefault="001E4214">
      <w:pPr>
        <w:pStyle w:val="BodyText"/>
        <w:rPr>
          <w:sz w:val="28"/>
        </w:rPr>
      </w:pPr>
    </w:p>
    <w:p w14:paraId="7AD74E95" w14:textId="77777777" w:rsidR="001E4214" w:rsidRDefault="00474D9F">
      <w:pPr>
        <w:pStyle w:val="Heading1"/>
        <w:spacing w:before="1"/>
      </w:pPr>
      <w:r>
        <w:t>Is this the only L&amp;D framework CCS have?</w:t>
      </w:r>
    </w:p>
    <w:p w14:paraId="30EEB592" w14:textId="77777777" w:rsidR="001E4214" w:rsidRDefault="00474D9F">
      <w:pPr>
        <w:pStyle w:val="BodyText"/>
        <w:spacing w:before="180" w:line="259" w:lineRule="auto"/>
        <w:ind w:left="115" w:right="106" w:hanging="10"/>
        <w:jc w:val="both"/>
      </w:pPr>
      <w:r>
        <w:t>This is the only L&amp;D framework CCS manages. CSL also have contracts with KPMG for Central Government core learning, and with Korn Ferry Hay Group for SCS learning. MLS covers wider learning for Central Government, and all learning for WPS.</w:t>
      </w:r>
    </w:p>
    <w:p w14:paraId="50B87D3A" w14:textId="77777777" w:rsidR="001E4214" w:rsidRDefault="001E4214">
      <w:pPr>
        <w:pStyle w:val="BodyText"/>
        <w:rPr>
          <w:sz w:val="26"/>
        </w:rPr>
      </w:pPr>
    </w:p>
    <w:p w14:paraId="50A8F615" w14:textId="77777777" w:rsidR="001E4214" w:rsidRDefault="001E4214">
      <w:pPr>
        <w:pStyle w:val="BodyText"/>
        <w:spacing w:before="3"/>
        <w:rPr>
          <w:sz w:val="28"/>
        </w:rPr>
      </w:pPr>
    </w:p>
    <w:p w14:paraId="7CF55F90" w14:textId="77777777" w:rsidR="001E4214" w:rsidRDefault="00474D9F">
      <w:pPr>
        <w:pStyle w:val="Heading1"/>
        <w:jc w:val="both"/>
      </w:pPr>
      <w:r>
        <w:t>Can you advise on how to bring existing call-off contracts in line with GDPR?</w:t>
      </w:r>
    </w:p>
    <w:p w14:paraId="6C6012A4" w14:textId="77777777" w:rsidR="001E4214" w:rsidRDefault="00474D9F">
      <w:pPr>
        <w:pStyle w:val="BodyText"/>
        <w:spacing w:before="180" w:line="259" w:lineRule="auto"/>
        <w:ind w:left="115" w:right="104" w:hanging="10"/>
        <w:jc w:val="both"/>
      </w:pPr>
      <w:r>
        <w:t>CCS cannot offer legal advice on GDPR. We will make variations to our frameworks, but as individual call-off contracts are between the supplier and the customer, CCS cannot advise. We suggest you seek your own legal advice in this matter.</w:t>
      </w:r>
    </w:p>
    <w:p w14:paraId="3CB81D2E" w14:textId="77777777" w:rsidR="001E4214" w:rsidRDefault="001E4214">
      <w:pPr>
        <w:pStyle w:val="BodyText"/>
        <w:rPr>
          <w:sz w:val="26"/>
        </w:rPr>
      </w:pPr>
    </w:p>
    <w:p w14:paraId="7E44546F" w14:textId="77777777" w:rsidR="001E4214" w:rsidRDefault="001E4214">
      <w:pPr>
        <w:pStyle w:val="BodyText"/>
        <w:spacing w:before="2"/>
        <w:rPr>
          <w:sz w:val="28"/>
        </w:rPr>
      </w:pPr>
    </w:p>
    <w:p w14:paraId="1E6827A7" w14:textId="77777777" w:rsidR="001E4214" w:rsidRDefault="00474D9F">
      <w:pPr>
        <w:pStyle w:val="Heading1"/>
        <w:spacing w:line="259" w:lineRule="auto"/>
        <w:ind w:left="115" w:right="99" w:hanging="10"/>
        <w:jc w:val="both"/>
      </w:pPr>
      <w:r>
        <w:t>I</w:t>
      </w:r>
      <w:r>
        <w:rPr>
          <w:spacing w:val="-6"/>
        </w:rPr>
        <w:t xml:space="preserve"> </w:t>
      </w:r>
      <w:r>
        <w:t>am</w:t>
      </w:r>
      <w:r>
        <w:rPr>
          <w:spacing w:val="-6"/>
        </w:rPr>
        <w:t xml:space="preserve"> </w:t>
      </w:r>
      <w:r>
        <w:t>having</w:t>
      </w:r>
      <w:r>
        <w:rPr>
          <w:spacing w:val="-6"/>
        </w:rPr>
        <w:t xml:space="preserve"> </w:t>
      </w:r>
      <w:r>
        <w:t>issues</w:t>
      </w:r>
      <w:r>
        <w:rPr>
          <w:spacing w:val="-7"/>
        </w:rPr>
        <w:t xml:space="preserve"> </w:t>
      </w:r>
      <w:r>
        <w:t>with</w:t>
      </w:r>
      <w:r>
        <w:rPr>
          <w:spacing w:val="-7"/>
        </w:rPr>
        <w:t xml:space="preserve"> </w:t>
      </w:r>
      <w:r>
        <w:t>the</w:t>
      </w:r>
      <w:r>
        <w:rPr>
          <w:spacing w:val="-5"/>
        </w:rPr>
        <w:t xml:space="preserve"> </w:t>
      </w:r>
      <w:r>
        <w:t>Contracting,</w:t>
      </w:r>
      <w:r>
        <w:rPr>
          <w:spacing w:val="-6"/>
        </w:rPr>
        <w:t xml:space="preserve"> </w:t>
      </w:r>
      <w:r>
        <w:t>Purchasing</w:t>
      </w:r>
      <w:r>
        <w:rPr>
          <w:spacing w:val="-8"/>
        </w:rPr>
        <w:t xml:space="preserve"> </w:t>
      </w:r>
      <w:r>
        <w:t>and</w:t>
      </w:r>
      <w:r>
        <w:rPr>
          <w:spacing w:val="-6"/>
        </w:rPr>
        <w:t xml:space="preserve"> </w:t>
      </w:r>
      <w:r>
        <w:t>Finance</w:t>
      </w:r>
      <w:r>
        <w:rPr>
          <w:spacing w:val="-5"/>
        </w:rPr>
        <w:t xml:space="preserve"> </w:t>
      </w:r>
      <w:r>
        <w:t>(CP&amp;F)</w:t>
      </w:r>
      <w:r>
        <w:rPr>
          <w:spacing w:val="-6"/>
        </w:rPr>
        <w:t xml:space="preserve"> </w:t>
      </w:r>
      <w:r>
        <w:t>tool</w:t>
      </w:r>
      <w:r>
        <w:rPr>
          <w:spacing w:val="-6"/>
        </w:rPr>
        <w:t xml:space="preserve"> </w:t>
      </w:r>
      <w:r>
        <w:t>at the</w:t>
      </w:r>
      <w:r>
        <w:rPr>
          <w:spacing w:val="-1"/>
        </w:rPr>
        <w:t xml:space="preserve"> </w:t>
      </w:r>
      <w:r>
        <w:t>MoD?</w:t>
      </w:r>
    </w:p>
    <w:p w14:paraId="1CC5F8ED" w14:textId="3B31ABED" w:rsidR="001E4214" w:rsidRDefault="00474D9F">
      <w:pPr>
        <w:pStyle w:val="BodyText"/>
        <w:spacing w:before="156"/>
        <w:ind w:left="120" w:right="102"/>
        <w:jc w:val="both"/>
      </w:pPr>
      <w:r>
        <w:t xml:space="preserve">This is an MOD tool, and as such neither CCS nor </w:t>
      </w:r>
      <w:proofErr w:type="spellStart"/>
      <w:r>
        <w:t>Knowledgepool</w:t>
      </w:r>
      <w:proofErr w:type="spellEnd"/>
      <w:r>
        <w:t xml:space="preserve"> are able to assist. The Defence Business Services (</w:t>
      </w:r>
      <w:r>
        <w:rPr>
          <w:color w:val="0462C1"/>
          <w:u w:val="single" w:color="0462C1"/>
        </w:rPr>
        <w:t>dbscs-ecfinanceteam@mod.uk</w:t>
      </w:r>
      <w:r>
        <w:t>) or your local Commercial Officer should be contacted to provide assistance.</w:t>
      </w:r>
    </w:p>
    <w:p w14:paraId="7B9D76DD" w14:textId="79DB3CC8" w:rsidR="00474D9F" w:rsidRDefault="00474D9F">
      <w:pPr>
        <w:pStyle w:val="BodyText"/>
        <w:spacing w:before="156"/>
        <w:ind w:left="120" w:right="102"/>
        <w:jc w:val="both"/>
      </w:pPr>
      <w:r>
        <w:t>All other general MoD enquiries to use the email below;</w:t>
      </w:r>
    </w:p>
    <w:p w14:paraId="6AB7BFB0" w14:textId="2FD5BF0F" w:rsidR="00474D9F" w:rsidRDefault="00F33C81">
      <w:pPr>
        <w:pStyle w:val="BodyText"/>
        <w:spacing w:before="156"/>
        <w:ind w:left="120" w:right="102"/>
        <w:jc w:val="both"/>
      </w:pPr>
      <w:hyperlink r:id="rId13" w:history="1">
        <w:r w:rsidRPr="003A4E26">
          <w:rPr>
            <w:rStyle w:val="Hyperlink"/>
          </w:rPr>
          <w:t>Defence.account@knowledgepool.com</w:t>
        </w:r>
      </w:hyperlink>
    </w:p>
    <w:p w14:paraId="0A9DD856" w14:textId="77777777" w:rsidR="00474D9F" w:rsidRDefault="00474D9F">
      <w:pPr>
        <w:pStyle w:val="BodyText"/>
        <w:spacing w:before="156"/>
        <w:ind w:left="120" w:right="102"/>
        <w:jc w:val="both"/>
      </w:pPr>
      <w:bookmarkStart w:id="0" w:name="_GoBack"/>
      <w:bookmarkEnd w:id="0"/>
    </w:p>
    <w:sectPr w:rsidR="00474D9F">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E42"/>
    <w:multiLevelType w:val="hybridMultilevel"/>
    <w:tmpl w:val="FC7A89AE"/>
    <w:lvl w:ilvl="0" w:tplc="47D04FB2">
      <w:start w:val="1"/>
      <w:numFmt w:val="decimal"/>
      <w:lvlText w:val="%1."/>
      <w:lvlJc w:val="left"/>
      <w:pPr>
        <w:ind w:left="840" w:hanging="360"/>
        <w:jc w:val="left"/>
      </w:pPr>
      <w:rPr>
        <w:rFonts w:ascii="Arial" w:eastAsia="Arial" w:hAnsi="Arial" w:cs="Arial" w:hint="default"/>
        <w:spacing w:val="-13"/>
        <w:w w:val="99"/>
        <w:sz w:val="24"/>
        <w:szCs w:val="24"/>
        <w:lang w:val="en-GB" w:eastAsia="en-GB" w:bidi="en-GB"/>
      </w:rPr>
    </w:lvl>
    <w:lvl w:ilvl="1" w:tplc="BC1035A6">
      <w:numFmt w:val="bullet"/>
      <w:lvlText w:val="•"/>
      <w:lvlJc w:val="left"/>
      <w:pPr>
        <w:ind w:left="1680" w:hanging="360"/>
      </w:pPr>
      <w:rPr>
        <w:rFonts w:hint="default"/>
        <w:lang w:val="en-GB" w:eastAsia="en-GB" w:bidi="en-GB"/>
      </w:rPr>
    </w:lvl>
    <w:lvl w:ilvl="2" w:tplc="93A22F1A">
      <w:numFmt w:val="bullet"/>
      <w:lvlText w:val="•"/>
      <w:lvlJc w:val="left"/>
      <w:pPr>
        <w:ind w:left="2521" w:hanging="360"/>
      </w:pPr>
      <w:rPr>
        <w:rFonts w:hint="default"/>
        <w:lang w:val="en-GB" w:eastAsia="en-GB" w:bidi="en-GB"/>
      </w:rPr>
    </w:lvl>
    <w:lvl w:ilvl="3" w:tplc="661E1A5C">
      <w:numFmt w:val="bullet"/>
      <w:lvlText w:val="•"/>
      <w:lvlJc w:val="left"/>
      <w:pPr>
        <w:ind w:left="3361" w:hanging="360"/>
      </w:pPr>
      <w:rPr>
        <w:rFonts w:hint="default"/>
        <w:lang w:val="en-GB" w:eastAsia="en-GB" w:bidi="en-GB"/>
      </w:rPr>
    </w:lvl>
    <w:lvl w:ilvl="4" w:tplc="B6067CD0">
      <w:numFmt w:val="bullet"/>
      <w:lvlText w:val="•"/>
      <w:lvlJc w:val="left"/>
      <w:pPr>
        <w:ind w:left="4202" w:hanging="360"/>
      </w:pPr>
      <w:rPr>
        <w:rFonts w:hint="default"/>
        <w:lang w:val="en-GB" w:eastAsia="en-GB" w:bidi="en-GB"/>
      </w:rPr>
    </w:lvl>
    <w:lvl w:ilvl="5" w:tplc="9ADE9E38">
      <w:numFmt w:val="bullet"/>
      <w:lvlText w:val="•"/>
      <w:lvlJc w:val="left"/>
      <w:pPr>
        <w:ind w:left="5043" w:hanging="360"/>
      </w:pPr>
      <w:rPr>
        <w:rFonts w:hint="default"/>
        <w:lang w:val="en-GB" w:eastAsia="en-GB" w:bidi="en-GB"/>
      </w:rPr>
    </w:lvl>
    <w:lvl w:ilvl="6" w:tplc="31A040AC">
      <w:numFmt w:val="bullet"/>
      <w:lvlText w:val="•"/>
      <w:lvlJc w:val="left"/>
      <w:pPr>
        <w:ind w:left="5883" w:hanging="360"/>
      </w:pPr>
      <w:rPr>
        <w:rFonts w:hint="default"/>
        <w:lang w:val="en-GB" w:eastAsia="en-GB" w:bidi="en-GB"/>
      </w:rPr>
    </w:lvl>
    <w:lvl w:ilvl="7" w:tplc="5F8008F6">
      <w:numFmt w:val="bullet"/>
      <w:lvlText w:val="•"/>
      <w:lvlJc w:val="left"/>
      <w:pPr>
        <w:ind w:left="6724" w:hanging="360"/>
      </w:pPr>
      <w:rPr>
        <w:rFonts w:hint="default"/>
        <w:lang w:val="en-GB" w:eastAsia="en-GB" w:bidi="en-GB"/>
      </w:rPr>
    </w:lvl>
    <w:lvl w:ilvl="8" w:tplc="2C84178E">
      <w:numFmt w:val="bullet"/>
      <w:lvlText w:val="•"/>
      <w:lvlJc w:val="left"/>
      <w:pPr>
        <w:ind w:left="756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14"/>
    <w:rsid w:val="001E4214"/>
    <w:rsid w:val="00474D9F"/>
    <w:rsid w:val="00CE7FD1"/>
    <w:rsid w:val="00F3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3E44"/>
  <w15:docId w15:val="{9BC3B6F2-BA83-0E46-A103-F7EE2B2F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4D9F"/>
    <w:rPr>
      <w:color w:val="0000FF" w:themeColor="hyperlink"/>
      <w:u w:val="single"/>
    </w:rPr>
  </w:style>
  <w:style w:type="character" w:customStyle="1" w:styleId="UnresolvedMention">
    <w:name w:val="Unresolved Mention"/>
    <w:basedOn w:val="DefaultParagraphFont"/>
    <w:uiPriority w:val="99"/>
    <w:semiHidden/>
    <w:unhideWhenUsed/>
    <w:rsid w:val="0047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knowledgepool.com" TargetMode="External"/><Relationship Id="rId13" Type="http://schemas.openxmlformats.org/officeDocument/2006/relationships/hyperlink" Target="mailto:Defence.account@knowledgepool.com" TargetMode="External"/><Relationship Id="rId3" Type="http://schemas.openxmlformats.org/officeDocument/2006/relationships/settings" Target="settings.xml"/><Relationship Id="rId7" Type="http://schemas.openxmlformats.org/officeDocument/2006/relationships/hyperlink" Target="https://www.gov.uk/guidance/learning-and-development-civil-service-learning-spend-controls" TargetMode="External"/><Relationship Id="rId12" Type="http://schemas.openxmlformats.org/officeDocument/2006/relationships/hyperlink" Target="mailto:eenablement@crowncommerci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learning-and-development-civil-service-learning-spend-controls" TargetMode="External"/><Relationship Id="rId11" Type="http://schemas.openxmlformats.org/officeDocument/2006/relationships/hyperlink" Target="mailto:help@knowledgepoo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v.uk/government/collections/cabinet-office-controls" TargetMode="External"/><Relationship Id="rId4" Type="http://schemas.openxmlformats.org/officeDocument/2006/relationships/webSettings" Target="webSettings.xml"/><Relationship Id="rId9" Type="http://schemas.openxmlformats.org/officeDocument/2006/relationships/hyperlink" Target="https://www.gov.uk/government/collections/cabinet-office-contr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Wilkins</dc:creator>
  <cp:lastModifiedBy>Tony Griffiths</cp:lastModifiedBy>
  <cp:revision>2</cp:revision>
  <dcterms:created xsi:type="dcterms:W3CDTF">2019-06-07T09:39:00Z</dcterms:created>
  <dcterms:modified xsi:type="dcterms:W3CDTF">2019-06-07T09:39:00Z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2013</vt:lpwstr>
  </property>
  <property fmtid="{D5CDD505-2E9C-101B-9397-08002B2CF9AE}" pid="4" name="LastSaved">
    <vt:filetime>2019-04-03T00:00:00Z</vt:filetime>
  </property>
</Properties>
</file>