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155F" w14:textId="77777777" w:rsidR="008A2C64" w:rsidRDefault="008A2C64">
      <w:pPr>
        <w:pBdr>
          <w:top w:val="nil"/>
          <w:left w:val="nil"/>
          <w:bottom w:val="nil"/>
          <w:right w:val="nil"/>
          <w:between w:val="nil"/>
        </w:pBdr>
        <w:spacing w:after="0" w:line="240" w:lineRule="auto"/>
        <w:rPr>
          <w:color w:val="000000"/>
        </w:rPr>
      </w:pPr>
    </w:p>
    <w:p w14:paraId="19799DA7" w14:textId="77777777" w:rsidR="008A2C64" w:rsidRDefault="00015F34">
      <w:pPr>
        <w:rPr>
          <w:b/>
          <w:sz w:val="32"/>
          <w:szCs w:val="32"/>
        </w:rPr>
      </w:pPr>
      <w:r>
        <w:rPr>
          <w:noProof/>
        </w:rPr>
        <w:drawing>
          <wp:anchor distT="0" distB="0" distL="114300" distR="114300" simplePos="0" relativeHeight="251658240" behindDoc="0" locked="0" layoutInCell="1" hidden="0" allowOverlap="1" wp14:anchorId="126E7A51" wp14:editId="33573989">
            <wp:simplePos x="0" y="0"/>
            <wp:positionH relativeFrom="column">
              <wp:posOffset>1</wp:posOffset>
            </wp:positionH>
            <wp:positionV relativeFrom="paragraph">
              <wp:posOffset>17780</wp:posOffset>
            </wp:positionV>
            <wp:extent cx="1247775" cy="1016000"/>
            <wp:effectExtent l="0" t="0" r="0" b="0"/>
            <wp:wrapSquare wrapText="bothSides" distT="0" distB="0" distL="114300" distR="114300"/>
            <wp:docPr id="5"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7"/>
                    <a:srcRect/>
                    <a:stretch>
                      <a:fillRect/>
                    </a:stretch>
                  </pic:blipFill>
                  <pic:spPr>
                    <a:xfrm>
                      <a:off x="0" y="0"/>
                      <a:ext cx="1247775" cy="1016000"/>
                    </a:xfrm>
                    <a:prstGeom prst="rect">
                      <a:avLst/>
                    </a:prstGeom>
                    <a:ln/>
                  </pic:spPr>
                </pic:pic>
              </a:graphicData>
            </a:graphic>
          </wp:anchor>
        </w:drawing>
      </w:r>
    </w:p>
    <w:p w14:paraId="69A1D5B9" w14:textId="77777777" w:rsidR="008A2C64" w:rsidRDefault="008A2C64">
      <w:pPr>
        <w:rPr>
          <w:b/>
          <w:sz w:val="32"/>
          <w:szCs w:val="32"/>
        </w:rPr>
      </w:pPr>
    </w:p>
    <w:p w14:paraId="0091140B" w14:textId="77777777" w:rsidR="008A2C64" w:rsidRDefault="008A2C64">
      <w:pPr>
        <w:rPr>
          <w:b/>
          <w:sz w:val="32"/>
          <w:szCs w:val="32"/>
        </w:rPr>
      </w:pPr>
    </w:p>
    <w:p w14:paraId="58BAAACF" w14:textId="77777777" w:rsidR="008A2C64" w:rsidRDefault="008A2C64">
      <w:pPr>
        <w:rPr>
          <w:b/>
          <w:sz w:val="32"/>
          <w:szCs w:val="32"/>
        </w:rPr>
      </w:pPr>
    </w:p>
    <w:p w14:paraId="0C37A59D" w14:textId="77777777" w:rsidR="008A2C64" w:rsidRDefault="00015F34" w:rsidP="00CB184D">
      <w:pPr>
        <w:rPr>
          <w:rFonts w:ascii="Arial" w:eastAsia="Arial" w:hAnsi="Arial" w:cs="Arial"/>
          <w:b/>
          <w:sz w:val="32"/>
          <w:szCs w:val="32"/>
        </w:rPr>
      </w:pPr>
      <w:r>
        <w:rPr>
          <w:rFonts w:ascii="Arial" w:eastAsia="Arial" w:hAnsi="Arial" w:cs="Arial"/>
          <w:b/>
          <w:sz w:val="32"/>
          <w:szCs w:val="32"/>
        </w:rPr>
        <w:t>RM6145 Learning and Development</w:t>
      </w:r>
    </w:p>
    <w:p w14:paraId="4DD931E1" w14:textId="419FCF23" w:rsidR="008A2C64" w:rsidRDefault="00015F34" w:rsidP="00CB184D">
      <w:pPr>
        <w:rPr>
          <w:rFonts w:ascii="Arial" w:eastAsia="Arial" w:hAnsi="Arial" w:cs="Arial"/>
          <w:b/>
          <w:sz w:val="24"/>
          <w:szCs w:val="24"/>
        </w:rPr>
      </w:pPr>
      <w:r>
        <w:rPr>
          <w:rFonts w:ascii="Arial" w:eastAsia="Arial" w:hAnsi="Arial" w:cs="Arial"/>
          <w:b/>
          <w:sz w:val="24"/>
          <w:szCs w:val="24"/>
        </w:rPr>
        <w:t>FREQUENTLY ASKED QUESTIONS V1.</w:t>
      </w:r>
      <w:r w:rsidR="00CB184D">
        <w:rPr>
          <w:rFonts w:ascii="Arial" w:eastAsia="Arial" w:hAnsi="Arial" w:cs="Arial"/>
          <w:b/>
          <w:sz w:val="24"/>
          <w:szCs w:val="24"/>
        </w:rPr>
        <w:t>2</w:t>
      </w:r>
    </w:p>
    <w:p w14:paraId="205B6745" w14:textId="77777777" w:rsidR="008A2C64" w:rsidRDefault="008A2C64" w:rsidP="00CB184D">
      <w:pPr>
        <w:rPr>
          <w:rFonts w:ascii="Arial" w:eastAsia="Arial" w:hAnsi="Arial" w:cs="Arial"/>
          <w:b/>
        </w:rPr>
      </w:pPr>
    </w:p>
    <w:p w14:paraId="6D95966F" w14:textId="77777777" w:rsidR="008A2C64" w:rsidRDefault="00015F34" w:rsidP="00CB184D">
      <w:pPr>
        <w:widowControl w:val="0"/>
        <w:spacing w:before="93" w:after="0" w:line="240" w:lineRule="auto"/>
        <w:rPr>
          <w:rFonts w:ascii="Arial" w:eastAsia="Arial" w:hAnsi="Arial" w:cs="Arial"/>
          <w:b/>
        </w:rPr>
      </w:pPr>
      <w:r>
        <w:rPr>
          <w:rFonts w:ascii="Arial" w:eastAsia="Arial" w:hAnsi="Arial" w:cs="Arial"/>
          <w:b/>
        </w:rPr>
        <w:t>General Information:</w:t>
      </w:r>
    </w:p>
    <w:p w14:paraId="1EB90E65" w14:textId="77777777" w:rsidR="008A2C64" w:rsidRDefault="008A2C64" w:rsidP="00CB184D">
      <w:pPr>
        <w:widowControl w:val="0"/>
        <w:spacing w:before="93" w:after="0" w:line="240" w:lineRule="auto"/>
        <w:rPr>
          <w:rFonts w:ascii="Arial" w:eastAsia="Arial" w:hAnsi="Arial" w:cs="Arial"/>
          <w:b/>
        </w:rPr>
      </w:pPr>
    </w:p>
    <w:p w14:paraId="3C6A0C16" w14:textId="77777777" w:rsidR="008A2C64" w:rsidRDefault="00015F34" w:rsidP="00CB184D">
      <w:pPr>
        <w:rPr>
          <w:rFonts w:ascii="Arial" w:eastAsia="Arial" w:hAnsi="Arial" w:cs="Arial"/>
        </w:rPr>
      </w:pPr>
      <w:r>
        <w:rPr>
          <w:rFonts w:ascii="Arial" w:eastAsia="Arial" w:hAnsi="Arial" w:cs="Arial"/>
        </w:rPr>
        <w:t>Start date - 17 April 2020</w:t>
      </w:r>
    </w:p>
    <w:p w14:paraId="4B5E8833" w14:textId="77777777" w:rsidR="008A2C64" w:rsidRDefault="00015F34" w:rsidP="00CB184D">
      <w:pPr>
        <w:rPr>
          <w:rFonts w:ascii="Arial" w:eastAsia="Arial" w:hAnsi="Arial" w:cs="Arial"/>
        </w:rPr>
      </w:pPr>
      <w:r>
        <w:rPr>
          <w:rFonts w:ascii="Arial" w:eastAsia="Arial" w:hAnsi="Arial" w:cs="Arial"/>
        </w:rPr>
        <w:t>End Date -16 April 2023</w:t>
      </w:r>
    </w:p>
    <w:p w14:paraId="049BEF10" w14:textId="77777777" w:rsidR="008A2C64" w:rsidRDefault="00015F34" w:rsidP="00CB184D">
      <w:pPr>
        <w:rPr>
          <w:rFonts w:ascii="Arial" w:eastAsia="Arial" w:hAnsi="Arial" w:cs="Arial"/>
        </w:rPr>
      </w:pPr>
      <w:r>
        <w:rPr>
          <w:rFonts w:ascii="Arial" w:eastAsia="Arial" w:hAnsi="Arial" w:cs="Arial"/>
        </w:rPr>
        <w:t>Option to extend – 12 months</w:t>
      </w:r>
    </w:p>
    <w:p w14:paraId="6D2EE6D1" w14:textId="77777777" w:rsidR="008A2C64" w:rsidRDefault="008A2C64" w:rsidP="00CB184D">
      <w:pPr>
        <w:rPr>
          <w:rFonts w:ascii="Arial" w:eastAsia="Arial" w:hAnsi="Arial" w:cs="Arial"/>
          <w:b/>
        </w:rPr>
      </w:pPr>
    </w:p>
    <w:p w14:paraId="3B59CDFF" w14:textId="77777777" w:rsidR="008A2C64" w:rsidRDefault="00015F34" w:rsidP="00CB184D">
      <w:pPr>
        <w:rPr>
          <w:rFonts w:ascii="Arial" w:eastAsia="Arial" w:hAnsi="Arial" w:cs="Arial"/>
          <w:b/>
        </w:rPr>
      </w:pPr>
      <w:r>
        <w:rPr>
          <w:rFonts w:ascii="Arial" w:eastAsia="Arial" w:hAnsi="Arial" w:cs="Arial"/>
          <w:b/>
        </w:rPr>
        <w:t>Who can use the framework agreement?</w:t>
      </w:r>
    </w:p>
    <w:p w14:paraId="7F408307" w14:textId="2904B22A" w:rsidR="008A2C64" w:rsidRDefault="00015F34" w:rsidP="00CB184D">
      <w:pPr>
        <w:rPr>
          <w:rFonts w:ascii="Arial" w:eastAsia="Arial" w:hAnsi="Arial" w:cs="Arial"/>
        </w:rPr>
      </w:pPr>
      <w:r>
        <w:rPr>
          <w:rFonts w:ascii="Arial" w:eastAsia="Arial" w:hAnsi="Arial" w:cs="Arial"/>
        </w:rPr>
        <w:t xml:space="preserve">All UK </w:t>
      </w:r>
      <w:r w:rsidR="00CB184D">
        <w:rPr>
          <w:rFonts w:ascii="Arial" w:eastAsia="Arial" w:hAnsi="Arial" w:cs="Arial"/>
        </w:rPr>
        <w:t xml:space="preserve">Public Sector </w:t>
      </w:r>
      <w:r>
        <w:rPr>
          <w:rFonts w:ascii="Arial" w:eastAsia="Arial" w:hAnsi="Arial" w:cs="Arial"/>
        </w:rPr>
        <w:t xml:space="preserve">bodies, </w:t>
      </w:r>
      <w:r w:rsidR="00CB184D">
        <w:rPr>
          <w:rFonts w:ascii="Arial" w:eastAsia="Arial" w:hAnsi="Arial" w:cs="Arial"/>
        </w:rPr>
        <w:t xml:space="preserve">Central Government </w:t>
      </w:r>
      <w:r>
        <w:rPr>
          <w:rFonts w:ascii="Arial" w:eastAsia="Arial" w:hAnsi="Arial" w:cs="Arial"/>
        </w:rPr>
        <w:t xml:space="preserve">and the </w:t>
      </w:r>
      <w:r w:rsidR="00CB184D">
        <w:rPr>
          <w:rFonts w:ascii="Arial" w:eastAsia="Arial" w:hAnsi="Arial" w:cs="Arial"/>
        </w:rPr>
        <w:t>Wider Public Sector.</w:t>
      </w:r>
    </w:p>
    <w:p w14:paraId="68EFAA1D" w14:textId="77777777" w:rsidR="008A2C64" w:rsidRDefault="00015F34" w:rsidP="00CB184D">
      <w:pPr>
        <w:rPr>
          <w:rFonts w:ascii="Arial" w:eastAsia="Arial" w:hAnsi="Arial" w:cs="Arial"/>
        </w:rPr>
      </w:pPr>
      <w:r>
        <w:rPr>
          <w:rFonts w:ascii="Arial" w:eastAsia="Arial" w:hAnsi="Arial" w:cs="Arial"/>
        </w:rPr>
        <w:t>**Please note the restrictions on Civil Service Core Curriculum on the further details on the Lots.</w:t>
      </w:r>
    </w:p>
    <w:p w14:paraId="4D5DFD11" w14:textId="77777777" w:rsidR="008A2C64" w:rsidRDefault="008A2C64" w:rsidP="00CB184D">
      <w:pPr>
        <w:rPr>
          <w:rFonts w:ascii="Arial" w:eastAsia="Arial" w:hAnsi="Arial" w:cs="Arial"/>
          <w:b/>
        </w:rPr>
      </w:pPr>
    </w:p>
    <w:p w14:paraId="29C2498C" w14:textId="77777777" w:rsidR="008A2C64" w:rsidRDefault="00015F34" w:rsidP="00CB184D">
      <w:pPr>
        <w:rPr>
          <w:rFonts w:ascii="Arial" w:eastAsia="Arial" w:hAnsi="Arial" w:cs="Arial"/>
          <w:b/>
        </w:rPr>
      </w:pPr>
      <w:r>
        <w:rPr>
          <w:rFonts w:ascii="Arial" w:eastAsia="Arial" w:hAnsi="Arial" w:cs="Arial"/>
          <w:b/>
        </w:rPr>
        <w:t>What is the framework term?</w:t>
      </w:r>
    </w:p>
    <w:p w14:paraId="1D8C4791" w14:textId="77777777" w:rsidR="008A2C64" w:rsidRDefault="00015F34" w:rsidP="00CB184D">
      <w:pPr>
        <w:rPr>
          <w:rFonts w:ascii="Arial" w:eastAsia="Arial" w:hAnsi="Arial" w:cs="Arial"/>
        </w:rPr>
      </w:pPr>
      <w:r>
        <w:rPr>
          <w:rFonts w:ascii="Arial" w:eastAsia="Arial" w:hAnsi="Arial" w:cs="Arial"/>
        </w:rPr>
        <w:t>The framework is for an original term of 3 years with an option to extend for 12 months</w:t>
      </w:r>
    </w:p>
    <w:p w14:paraId="29A258FF" w14:textId="77777777" w:rsidR="008A2C64" w:rsidRDefault="008A2C64" w:rsidP="00CB184D">
      <w:pPr>
        <w:rPr>
          <w:rFonts w:ascii="Arial" w:eastAsia="Arial" w:hAnsi="Arial" w:cs="Arial"/>
          <w:b/>
        </w:rPr>
      </w:pPr>
    </w:p>
    <w:p w14:paraId="543D07E0" w14:textId="77777777" w:rsidR="008A2C64" w:rsidRDefault="00015F34" w:rsidP="00CB184D">
      <w:pPr>
        <w:rPr>
          <w:rFonts w:ascii="Arial" w:eastAsia="Arial" w:hAnsi="Arial" w:cs="Arial"/>
          <w:b/>
        </w:rPr>
      </w:pPr>
      <w:r>
        <w:rPr>
          <w:rFonts w:ascii="Arial" w:eastAsia="Arial" w:hAnsi="Arial" w:cs="Arial"/>
          <w:b/>
        </w:rPr>
        <w:t>Where can I find the pricing?</w:t>
      </w:r>
    </w:p>
    <w:p w14:paraId="44640307" w14:textId="77777777" w:rsidR="008A2C64" w:rsidRDefault="00015F34" w:rsidP="00CB184D">
      <w:pPr>
        <w:rPr>
          <w:rFonts w:ascii="Arial" w:eastAsia="Arial" w:hAnsi="Arial" w:cs="Arial"/>
        </w:rPr>
      </w:pPr>
      <w:r>
        <w:rPr>
          <w:rFonts w:ascii="Arial" w:eastAsia="Arial" w:hAnsi="Arial" w:cs="Arial"/>
        </w:rPr>
        <w:t>Pricing can be obtained from CCS Customer Service Centre.</w:t>
      </w:r>
    </w:p>
    <w:p w14:paraId="4BD4F78A" w14:textId="77777777" w:rsidR="008A2C64" w:rsidRDefault="00015F34" w:rsidP="00CB184D">
      <w:pPr>
        <w:rPr>
          <w:rFonts w:ascii="Arial" w:eastAsia="Arial" w:hAnsi="Arial" w:cs="Arial"/>
        </w:rPr>
      </w:pPr>
      <w:r>
        <w:rPr>
          <w:rFonts w:ascii="Arial" w:eastAsia="Arial" w:hAnsi="Arial" w:cs="Arial"/>
        </w:rPr>
        <w:t xml:space="preserve">Email CCS: </w:t>
      </w:r>
      <w:hyperlink r:id="rId8">
        <w:r>
          <w:rPr>
            <w:rFonts w:ascii="Arial" w:eastAsia="Arial" w:hAnsi="Arial" w:cs="Arial"/>
            <w:color w:val="0563C1"/>
            <w:u w:val="single"/>
          </w:rPr>
          <w:t>info@crowncommercial.gov.uk</w:t>
        </w:r>
      </w:hyperlink>
      <w:r>
        <w:rPr>
          <w:rFonts w:ascii="Arial" w:eastAsia="Arial" w:hAnsi="Arial" w:cs="Arial"/>
        </w:rPr>
        <w:t xml:space="preserve"> </w:t>
      </w:r>
    </w:p>
    <w:p w14:paraId="4429345C" w14:textId="77777777" w:rsidR="008A2C64" w:rsidRDefault="00015F34" w:rsidP="00CB184D">
      <w:pPr>
        <w:rPr>
          <w:rFonts w:ascii="Arial" w:eastAsia="Arial" w:hAnsi="Arial" w:cs="Arial"/>
        </w:rPr>
      </w:pPr>
      <w:r>
        <w:rPr>
          <w:rFonts w:ascii="Arial" w:eastAsia="Arial" w:hAnsi="Arial" w:cs="Arial"/>
        </w:rPr>
        <w:t>Please name which Lot you wish to see the prices for.</w:t>
      </w:r>
    </w:p>
    <w:p w14:paraId="7BCA9558" w14:textId="77777777" w:rsidR="008A2C64" w:rsidRDefault="008A2C64" w:rsidP="00CB184D">
      <w:pPr>
        <w:rPr>
          <w:rFonts w:ascii="Arial" w:eastAsia="Arial" w:hAnsi="Arial" w:cs="Arial"/>
        </w:rPr>
      </w:pPr>
    </w:p>
    <w:p w14:paraId="25D04EB3" w14:textId="77777777" w:rsidR="008A2C64" w:rsidRDefault="00015F34" w:rsidP="00CB184D">
      <w:pPr>
        <w:widowControl w:val="0"/>
        <w:spacing w:after="0" w:line="240" w:lineRule="auto"/>
        <w:rPr>
          <w:rFonts w:ascii="Arial" w:eastAsia="Arial" w:hAnsi="Arial" w:cs="Arial"/>
          <w:b/>
        </w:rPr>
      </w:pPr>
      <w:r>
        <w:rPr>
          <w:rFonts w:ascii="Arial" w:eastAsia="Arial" w:hAnsi="Arial" w:cs="Arial"/>
          <w:b/>
        </w:rPr>
        <w:t>Who are the suppliers on the framework?</w:t>
      </w:r>
    </w:p>
    <w:p w14:paraId="4367FB13" w14:textId="77777777" w:rsidR="008A2C64" w:rsidRDefault="008A2C64" w:rsidP="00CB184D">
      <w:pPr>
        <w:widowControl w:val="0"/>
        <w:spacing w:after="0" w:line="240" w:lineRule="auto"/>
        <w:rPr>
          <w:rFonts w:ascii="Arial" w:eastAsia="Arial" w:hAnsi="Arial" w:cs="Arial"/>
          <w:b/>
        </w:rPr>
      </w:pPr>
    </w:p>
    <w:p w14:paraId="0717DDC6" w14:textId="77777777" w:rsidR="008A2C64" w:rsidRDefault="00015F34" w:rsidP="00CB184D">
      <w:pPr>
        <w:widowControl w:val="0"/>
        <w:spacing w:after="0" w:line="240" w:lineRule="auto"/>
        <w:rPr>
          <w:rFonts w:ascii="Arial" w:eastAsia="Arial" w:hAnsi="Arial" w:cs="Arial"/>
          <w:b/>
        </w:rPr>
      </w:pPr>
      <w:r>
        <w:rPr>
          <w:rFonts w:ascii="Arial" w:eastAsia="Arial" w:hAnsi="Arial" w:cs="Arial"/>
          <w:b/>
        </w:rPr>
        <w:t>Lot 3 –Single supplier, KPMG</w:t>
      </w:r>
    </w:p>
    <w:p w14:paraId="39A3AE8D" w14:textId="77777777" w:rsidR="008A2C64" w:rsidRDefault="00015F34" w:rsidP="00CB184D">
      <w:pPr>
        <w:widowControl w:val="0"/>
        <w:spacing w:after="0" w:line="240" w:lineRule="auto"/>
        <w:rPr>
          <w:rFonts w:ascii="Arial" w:eastAsia="Arial" w:hAnsi="Arial" w:cs="Arial"/>
          <w:b/>
        </w:rPr>
      </w:pPr>
      <w:r>
        <w:rPr>
          <w:rFonts w:ascii="Arial" w:eastAsia="Arial" w:hAnsi="Arial" w:cs="Arial"/>
          <w:b/>
        </w:rPr>
        <w:t>Lot 6 – Single supplier, Ernst &amp; Young</w:t>
      </w:r>
    </w:p>
    <w:p w14:paraId="576C24D9" w14:textId="77777777" w:rsidR="008A2C64" w:rsidRDefault="008A2C64" w:rsidP="00CB184D">
      <w:pPr>
        <w:widowControl w:val="0"/>
        <w:spacing w:before="10" w:after="0" w:line="240" w:lineRule="auto"/>
        <w:rPr>
          <w:rFonts w:ascii="Arial" w:eastAsia="Arial" w:hAnsi="Arial" w:cs="Arial"/>
        </w:rPr>
      </w:pPr>
    </w:p>
    <w:p w14:paraId="2CFA9E05" w14:textId="77777777" w:rsidR="008A2C64" w:rsidRDefault="008A2C64" w:rsidP="00CB184D">
      <w:pPr>
        <w:widowControl w:val="0"/>
        <w:spacing w:after="0" w:line="240" w:lineRule="auto"/>
        <w:rPr>
          <w:rFonts w:ascii="Arial" w:eastAsia="Arial" w:hAnsi="Arial" w:cs="Arial"/>
          <w:b/>
        </w:rPr>
      </w:pPr>
    </w:p>
    <w:p w14:paraId="258CE967" w14:textId="77777777" w:rsidR="008A2C64" w:rsidRDefault="00015F34" w:rsidP="00CB184D">
      <w:pPr>
        <w:widowControl w:val="0"/>
        <w:spacing w:after="0" w:line="240" w:lineRule="auto"/>
        <w:rPr>
          <w:rFonts w:ascii="Arial" w:eastAsia="Arial" w:hAnsi="Arial" w:cs="Arial"/>
          <w:b/>
        </w:rPr>
      </w:pPr>
      <w:r>
        <w:rPr>
          <w:rFonts w:ascii="Arial" w:eastAsia="Arial" w:hAnsi="Arial" w:cs="Arial"/>
          <w:b/>
        </w:rPr>
        <w:t>What is the framework structure?</w:t>
      </w:r>
    </w:p>
    <w:p w14:paraId="29E2E81D" w14:textId="77777777" w:rsidR="008A2C64" w:rsidRDefault="008A2C64" w:rsidP="00CB184D">
      <w:pPr>
        <w:widowControl w:val="0"/>
        <w:spacing w:after="0" w:line="240" w:lineRule="auto"/>
        <w:rPr>
          <w:rFonts w:ascii="Arial" w:eastAsia="Arial" w:hAnsi="Arial" w:cs="Arial"/>
          <w:b/>
        </w:rPr>
      </w:pPr>
    </w:p>
    <w:p w14:paraId="00EF7642" w14:textId="77777777" w:rsidR="008A2C64" w:rsidRDefault="00015F34" w:rsidP="00CB184D">
      <w:pPr>
        <w:spacing w:after="0" w:line="240" w:lineRule="auto"/>
        <w:ind w:right="-320"/>
        <w:rPr>
          <w:rFonts w:ascii="Arial" w:eastAsia="Arial" w:hAnsi="Arial" w:cs="Arial"/>
        </w:rPr>
      </w:pPr>
      <w:r>
        <w:rPr>
          <w:rFonts w:ascii="Arial" w:eastAsia="Arial" w:hAnsi="Arial" w:cs="Arial"/>
          <w:color w:val="000000"/>
        </w:rPr>
        <w:t>This Procurement was awarded to Lot 3 and Lot 6.</w:t>
      </w:r>
    </w:p>
    <w:p w14:paraId="7D986DA8" w14:textId="77777777" w:rsidR="008A2C64" w:rsidRDefault="008A2C64" w:rsidP="00CB184D">
      <w:pPr>
        <w:spacing w:after="0" w:line="240" w:lineRule="auto"/>
        <w:jc w:val="both"/>
        <w:rPr>
          <w:rFonts w:ascii="Arial" w:eastAsia="Arial" w:hAnsi="Arial" w:cs="Arial"/>
        </w:rPr>
      </w:pPr>
    </w:p>
    <w:p w14:paraId="5BB3C243" w14:textId="77777777" w:rsidR="008A2C64" w:rsidRDefault="00015F34" w:rsidP="00CB184D">
      <w:pPr>
        <w:spacing w:after="0" w:line="240" w:lineRule="auto"/>
        <w:ind w:right="-320"/>
        <w:rPr>
          <w:rFonts w:ascii="Arial" w:eastAsia="Arial" w:hAnsi="Arial" w:cs="Arial"/>
          <w:color w:val="000000"/>
        </w:rPr>
      </w:pPr>
      <w:r>
        <w:rPr>
          <w:rFonts w:ascii="Arial" w:eastAsia="Arial" w:hAnsi="Arial" w:cs="Arial"/>
          <w:b/>
          <w:color w:val="000000"/>
        </w:rPr>
        <w:t xml:space="preserve">Lot 3 </w:t>
      </w:r>
      <w:r>
        <w:rPr>
          <w:rFonts w:ascii="Arial" w:eastAsia="Arial" w:hAnsi="Arial" w:cs="Arial"/>
          <w:color w:val="000000"/>
        </w:rPr>
        <w:t>- Service Integration, Cross Civil Service Curriculum and Commodity Learning</w:t>
      </w:r>
    </w:p>
    <w:p w14:paraId="1A306FDD" w14:textId="77777777" w:rsidR="008A2C64" w:rsidRDefault="008A2C64" w:rsidP="00CB184D">
      <w:pPr>
        <w:spacing w:after="0" w:line="240" w:lineRule="auto"/>
        <w:ind w:right="-320"/>
        <w:rPr>
          <w:rFonts w:ascii="Arial" w:eastAsia="Arial" w:hAnsi="Arial" w:cs="Arial"/>
          <w:color w:val="000000"/>
        </w:rPr>
      </w:pPr>
    </w:p>
    <w:p w14:paraId="4F403DDC" w14:textId="77777777" w:rsidR="008A2C64" w:rsidRDefault="00015F34" w:rsidP="00CB184D">
      <w:pPr>
        <w:spacing w:after="0" w:line="240" w:lineRule="auto"/>
        <w:ind w:right="-320"/>
        <w:rPr>
          <w:rFonts w:ascii="Arial" w:eastAsia="Arial" w:hAnsi="Arial" w:cs="Arial"/>
          <w:color w:val="000000"/>
        </w:rPr>
      </w:pPr>
      <w:r>
        <w:rPr>
          <w:rFonts w:ascii="Arial" w:eastAsia="Arial" w:hAnsi="Arial" w:cs="Arial"/>
          <w:b/>
          <w:color w:val="000000"/>
        </w:rPr>
        <w:t>Lot 6</w:t>
      </w:r>
      <w:r>
        <w:rPr>
          <w:rFonts w:ascii="Arial" w:eastAsia="Arial" w:hAnsi="Arial" w:cs="Arial"/>
          <w:color w:val="000000"/>
        </w:rPr>
        <w:t xml:space="preserve"> - Learning Design and Delivery, and Subject Matter Expertise and Coaching.</w:t>
      </w:r>
    </w:p>
    <w:p w14:paraId="6E92132F" w14:textId="77777777" w:rsidR="008A2C64" w:rsidRDefault="008A2C64" w:rsidP="00CB184D">
      <w:pPr>
        <w:spacing w:after="0" w:line="240" w:lineRule="auto"/>
        <w:ind w:right="-320"/>
        <w:rPr>
          <w:rFonts w:ascii="Arial" w:eastAsia="Arial" w:hAnsi="Arial" w:cs="Arial"/>
          <w:color w:val="000000"/>
        </w:rPr>
      </w:pPr>
    </w:p>
    <w:p w14:paraId="74F6F259" w14:textId="77777777" w:rsidR="008A2C64" w:rsidRDefault="008A2C64" w:rsidP="00CB184D">
      <w:pPr>
        <w:spacing w:after="0" w:line="240" w:lineRule="auto"/>
        <w:ind w:right="-320"/>
        <w:rPr>
          <w:rFonts w:ascii="Arial" w:eastAsia="Arial" w:hAnsi="Arial" w:cs="Arial"/>
          <w:color w:val="000000"/>
        </w:rPr>
      </w:pPr>
    </w:p>
    <w:p w14:paraId="40BC3F56" w14:textId="77777777" w:rsidR="008A2C64" w:rsidRDefault="00015F34" w:rsidP="00CB184D">
      <w:pPr>
        <w:spacing w:after="120" w:line="240" w:lineRule="auto"/>
        <w:ind w:right="-320"/>
        <w:rPr>
          <w:rFonts w:ascii="Arial" w:eastAsia="Arial" w:hAnsi="Arial" w:cs="Arial"/>
        </w:rPr>
      </w:pPr>
      <w:r>
        <w:rPr>
          <w:rFonts w:ascii="Arial" w:eastAsia="Arial" w:hAnsi="Arial" w:cs="Arial"/>
          <w:color w:val="000000"/>
        </w:rPr>
        <w:t>Lot 3 - is a single supplier agreement delivering against Lot 1 and Lot 2 of the OJEU contract Notice</w:t>
      </w:r>
    </w:p>
    <w:p w14:paraId="10D69B97" w14:textId="77777777" w:rsidR="008A2C64" w:rsidRDefault="00015F34" w:rsidP="00CB184D">
      <w:pPr>
        <w:spacing w:after="120" w:line="240" w:lineRule="auto"/>
        <w:ind w:right="-320"/>
        <w:rPr>
          <w:rFonts w:ascii="Arial" w:eastAsia="Arial" w:hAnsi="Arial" w:cs="Arial"/>
        </w:rPr>
      </w:pPr>
      <w:r>
        <w:rPr>
          <w:rFonts w:ascii="Arial" w:eastAsia="Arial" w:hAnsi="Arial" w:cs="Arial"/>
          <w:color w:val="000000"/>
        </w:rPr>
        <w:t>Lot 6 - is a single supplier agreement delivering against Lot 4 and Lot 5 of the OJEU contract Notice</w:t>
      </w:r>
    </w:p>
    <w:p w14:paraId="141B9F10" w14:textId="77777777" w:rsidR="008A2C64" w:rsidRDefault="008A2C64" w:rsidP="00CB184D">
      <w:pPr>
        <w:spacing w:after="120" w:line="240" w:lineRule="auto"/>
        <w:rPr>
          <w:rFonts w:ascii="Arial" w:eastAsia="Arial" w:hAnsi="Arial" w:cs="Arial"/>
        </w:rPr>
      </w:pPr>
    </w:p>
    <w:p w14:paraId="02B1ECED" w14:textId="77777777" w:rsidR="008A2C64" w:rsidRDefault="00015F34" w:rsidP="00CB184D">
      <w:pPr>
        <w:spacing w:after="120" w:line="240" w:lineRule="auto"/>
        <w:ind w:right="-320"/>
        <w:rPr>
          <w:rFonts w:ascii="Arial" w:eastAsia="Arial" w:hAnsi="Arial" w:cs="Arial"/>
          <w:color w:val="000000"/>
        </w:rPr>
      </w:pPr>
      <w:r>
        <w:rPr>
          <w:rFonts w:ascii="Arial" w:eastAsia="Arial" w:hAnsi="Arial" w:cs="Arial"/>
          <w:color w:val="000000"/>
        </w:rPr>
        <w:t xml:space="preserve">Please use Lot 3 and Lot 6 when awarding contracts. Further </w:t>
      </w:r>
      <w:r>
        <w:rPr>
          <w:rFonts w:ascii="Arial" w:eastAsia="Arial" w:hAnsi="Arial" w:cs="Arial"/>
        </w:rPr>
        <w:t>details</w:t>
      </w:r>
      <w:r>
        <w:rPr>
          <w:rFonts w:ascii="Arial" w:eastAsia="Arial" w:hAnsi="Arial" w:cs="Arial"/>
          <w:color w:val="000000"/>
        </w:rPr>
        <w:t xml:space="preserve"> on the Lots can be found in the Customer guidance notes.</w:t>
      </w:r>
    </w:p>
    <w:p w14:paraId="7EDAF7D7" w14:textId="77777777" w:rsidR="008A2C64" w:rsidRDefault="008A2C64" w:rsidP="00CB184D">
      <w:pPr>
        <w:spacing w:after="120" w:line="240" w:lineRule="auto"/>
        <w:ind w:right="-320"/>
        <w:rPr>
          <w:rFonts w:ascii="Arial" w:eastAsia="Arial" w:hAnsi="Arial" w:cs="Arial"/>
          <w:color w:val="000000"/>
        </w:rPr>
      </w:pPr>
    </w:p>
    <w:p w14:paraId="3162F8B5" w14:textId="77777777" w:rsidR="008A2C64" w:rsidRDefault="00015F34" w:rsidP="00CB184D">
      <w:pPr>
        <w:spacing w:after="120" w:line="240" w:lineRule="auto"/>
        <w:ind w:right="-320"/>
        <w:rPr>
          <w:rFonts w:ascii="Arial" w:eastAsia="Arial" w:hAnsi="Arial" w:cs="Arial"/>
        </w:rPr>
      </w:pPr>
      <w:r>
        <w:rPr>
          <w:rFonts w:ascii="Arial" w:eastAsia="Arial" w:hAnsi="Arial" w:cs="Arial"/>
          <w:b/>
        </w:rPr>
        <w:t>**Please note:</w:t>
      </w:r>
      <w:r>
        <w:rPr>
          <w:rFonts w:ascii="Arial" w:eastAsia="Arial" w:hAnsi="Arial" w:cs="Arial"/>
        </w:rPr>
        <w:t xml:space="preserve"> The Service Integrator service in this Lot is for CSHR/CSL only and not for bodies outside of the departments they represent. Core curriculum training is owned by the Crown Intellectual Property Rights (IPR) and governed by CSHR, however, it can be utilised by all public sector bodies but needs prior permission to do so from CSHR.</w:t>
      </w:r>
    </w:p>
    <w:p w14:paraId="3CEBFD10" w14:textId="77777777" w:rsidR="008A2C64" w:rsidRDefault="00015F34" w:rsidP="00CB184D">
      <w:pPr>
        <w:spacing w:after="120" w:line="240" w:lineRule="auto"/>
        <w:ind w:right="-320"/>
        <w:rPr>
          <w:rFonts w:ascii="Arial" w:eastAsia="Arial" w:hAnsi="Arial" w:cs="Arial"/>
          <w:b/>
        </w:rPr>
      </w:pPr>
      <w:r>
        <w:rPr>
          <w:rFonts w:ascii="Arial" w:eastAsia="Arial" w:hAnsi="Arial" w:cs="Arial"/>
        </w:rPr>
        <w:t xml:space="preserve">For permission to use Core curriculum please contact </w:t>
      </w:r>
    </w:p>
    <w:p w14:paraId="44582953" w14:textId="77777777" w:rsidR="008A2C64" w:rsidRDefault="008A2C64" w:rsidP="00CB184D">
      <w:pPr>
        <w:rPr>
          <w:rFonts w:ascii="Arial" w:eastAsia="Arial" w:hAnsi="Arial" w:cs="Arial"/>
        </w:rPr>
      </w:pPr>
    </w:p>
    <w:p w14:paraId="05363F2E" w14:textId="77777777" w:rsidR="008A2C64" w:rsidRDefault="00015F34" w:rsidP="00CB184D">
      <w:pPr>
        <w:rPr>
          <w:rFonts w:ascii="Arial" w:eastAsia="Arial" w:hAnsi="Arial" w:cs="Arial"/>
          <w:b/>
        </w:rPr>
      </w:pPr>
      <w:r>
        <w:rPr>
          <w:rFonts w:ascii="Arial" w:eastAsia="Arial" w:hAnsi="Arial" w:cs="Arial"/>
          <w:b/>
        </w:rPr>
        <w:t>Do I need to undertake a further competition?</w:t>
      </w:r>
    </w:p>
    <w:p w14:paraId="7FF471F1" w14:textId="1F9C5426" w:rsidR="008A2C64" w:rsidRDefault="00015F34" w:rsidP="00F30293">
      <w:pPr>
        <w:rPr>
          <w:rFonts w:ascii="Arial" w:eastAsia="Arial" w:hAnsi="Arial" w:cs="Arial"/>
        </w:rPr>
      </w:pPr>
      <w:r>
        <w:rPr>
          <w:rFonts w:ascii="Arial" w:eastAsia="Arial" w:hAnsi="Arial" w:cs="Arial"/>
        </w:rPr>
        <w:t xml:space="preserve">No this is a </w:t>
      </w:r>
      <w:r w:rsidR="00CB184D">
        <w:rPr>
          <w:rFonts w:ascii="Arial" w:eastAsia="Arial" w:hAnsi="Arial" w:cs="Arial"/>
        </w:rPr>
        <w:t>two-lot</w:t>
      </w:r>
      <w:r>
        <w:rPr>
          <w:rFonts w:ascii="Arial" w:eastAsia="Arial" w:hAnsi="Arial" w:cs="Arial"/>
        </w:rPr>
        <w:t xml:space="preserve"> single supplier framework therefore you direct award against Lot 3 and Lot 6.</w:t>
      </w:r>
      <w:bookmarkStart w:id="0" w:name="_heading=h.gjdgxs" w:colFirst="0" w:colLast="0"/>
      <w:bookmarkEnd w:id="0"/>
    </w:p>
    <w:p w14:paraId="5FC42090" w14:textId="77777777" w:rsidR="008A2C64" w:rsidRDefault="008A2C64" w:rsidP="00CB184D">
      <w:pPr>
        <w:widowControl w:val="0"/>
        <w:spacing w:before="8" w:after="0" w:line="240" w:lineRule="auto"/>
        <w:rPr>
          <w:rFonts w:ascii="Arial" w:eastAsia="Arial" w:hAnsi="Arial" w:cs="Arial"/>
        </w:rPr>
      </w:pPr>
    </w:p>
    <w:p w14:paraId="02221174" w14:textId="77777777" w:rsidR="008A2C64" w:rsidRDefault="00015F34" w:rsidP="00CB184D">
      <w:pPr>
        <w:widowControl w:val="0"/>
        <w:spacing w:before="1" w:after="0" w:line="240" w:lineRule="auto"/>
        <w:rPr>
          <w:rFonts w:ascii="Arial" w:eastAsia="Arial" w:hAnsi="Arial" w:cs="Arial"/>
          <w:b/>
        </w:rPr>
      </w:pPr>
      <w:r>
        <w:rPr>
          <w:rFonts w:ascii="Arial" w:eastAsia="Arial" w:hAnsi="Arial" w:cs="Arial"/>
          <w:b/>
        </w:rPr>
        <w:t>What category does this framework belong to?</w:t>
      </w:r>
    </w:p>
    <w:p w14:paraId="70043A26" w14:textId="77777777" w:rsidR="008A2C64" w:rsidRDefault="00015F34" w:rsidP="00CB184D">
      <w:pPr>
        <w:widowControl w:val="0"/>
        <w:spacing w:before="1" w:after="0" w:line="240" w:lineRule="auto"/>
        <w:rPr>
          <w:rFonts w:ascii="Arial" w:eastAsia="Arial" w:hAnsi="Arial" w:cs="Arial"/>
          <w:b/>
        </w:rPr>
      </w:pPr>
      <w:r>
        <w:rPr>
          <w:rFonts w:ascii="Arial" w:eastAsia="Arial" w:hAnsi="Arial" w:cs="Arial"/>
        </w:rPr>
        <w:t>Learning and Development, People Services</w:t>
      </w:r>
      <w:r>
        <w:rPr>
          <w:rFonts w:ascii="Arial" w:eastAsia="Arial" w:hAnsi="Arial" w:cs="Arial"/>
          <w:b/>
        </w:rPr>
        <w:t>.</w:t>
      </w:r>
    </w:p>
    <w:p w14:paraId="6D37A7AF" w14:textId="77777777" w:rsidR="008A2C64" w:rsidRDefault="008A2C64" w:rsidP="00CB184D">
      <w:pPr>
        <w:widowControl w:val="0"/>
        <w:spacing w:before="5" w:after="0" w:line="240" w:lineRule="auto"/>
        <w:rPr>
          <w:rFonts w:ascii="Arial" w:eastAsia="Arial" w:hAnsi="Arial" w:cs="Arial"/>
        </w:rPr>
      </w:pPr>
    </w:p>
    <w:p w14:paraId="0B28DA4A" w14:textId="77777777" w:rsidR="008A2C64" w:rsidRDefault="00015F34" w:rsidP="00CB184D">
      <w:pPr>
        <w:widowControl w:val="0"/>
        <w:spacing w:before="1" w:after="0" w:line="240" w:lineRule="auto"/>
        <w:rPr>
          <w:rFonts w:ascii="Arial" w:eastAsia="Arial" w:hAnsi="Arial" w:cs="Arial"/>
          <w:b/>
        </w:rPr>
      </w:pPr>
      <w:r>
        <w:rPr>
          <w:rFonts w:ascii="Arial" w:eastAsia="Arial" w:hAnsi="Arial" w:cs="Arial"/>
          <w:b/>
        </w:rPr>
        <w:t>Who are the key customers?</w:t>
      </w:r>
    </w:p>
    <w:p w14:paraId="394B0A25" w14:textId="77777777" w:rsidR="008A2C64" w:rsidRDefault="008A2C64" w:rsidP="00CB184D">
      <w:pPr>
        <w:widowControl w:val="0"/>
        <w:spacing w:before="1" w:after="0" w:line="240" w:lineRule="auto"/>
        <w:rPr>
          <w:rFonts w:ascii="Arial" w:eastAsia="Arial" w:hAnsi="Arial" w:cs="Arial"/>
          <w:b/>
        </w:rPr>
      </w:pPr>
    </w:p>
    <w:p w14:paraId="0ED10F4D" w14:textId="19C1E3FC" w:rsidR="008A2C64" w:rsidRDefault="00015F34" w:rsidP="00CB184D">
      <w:pPr>
        <w:widowControl w:val="0"/>
        <w:spacing w:before="1" w:after="0" w:line="240" w:lineRule="auto"/>
        <w:rPr>
          <w:rFonts w:ascii="Arial" w:eastAsia="Arial" w:hAnsi="Arial" w:cs="Arial"/>
        </w:rPr>
      </w:pPr>
      <w:r>
        <w:rPr>
          <w:rFonts w:ascii="Arial" w:eastAsia="Arial" w:hAnsi="Arial" w:cs="Arial"/>
        </w:rPr>
        <w:t xml:space="preserve">Central Government departments, UK public bodies and the </w:t>
      </w:r>
      <w:r w:rsidR="00CB184D">
        <w:rPr>
          <w:rFonts w:ascii="Arial" w:eastAsia="Arial" w:hAnsi="Arial" w:cs="Arial"/>
        </w:rPr>
        <w:t>Wider Public Sector</w:t>
      </w:r>
      <w:r>
        <w:rPr>
          <w:rFonts w:ascii="Arial" w:eastAsia="Arial" w:hAnsi="Arial" w:cs="Arial"/>
        </w:rPr>
        <w:t>.</w:t>
      </w:r>
    </w:p>
    <w:p w14:paraId="0544B8FE" w14:textId="77777777" w:rsidR="008A2C64" w:rsidRDefault="008A2C64" w:rsidP="00CB184D">
      <w:pPr>
        <w:widowControl w:val="0"/>
        <w:spacing w:before="2" w:after="0" w:line="240" w:lineRule="auto"/>
        <w:rPr>
          <w:rFonts w:ascii="Arial" w:eastAsia="Arial" w:hAnsi="Arial" w:cs="Arial"/>
          <w:b/>
        </w:rPr>
      </w:pPr>
    </w:p>
    <w:p w14:paraId="3879AEB5" w14:textId="77777777" w:rsidR="008A2C64" w:rsidRDefault="008A2C64" w:rsidP="00CB184D">
      <w:pPr>
        <w:widowControl w:val="0"/>
        <w:spacing w:before="2" w:after="0" w:line="240" w:lineRule="auto"/>
        <w:rPr>
          <w:rFonts w:ascii="Arial" w:eastAsia="Arial" w:hAnsi="Arial" w:cs="Arial"/>
        </w:rPr>
      </w:pPr>
    </w:p>
    <w:p w14:paraId="2F3025B4" w14:textId="77777777" w:rsidR="008A2C64" w:rsidRDefault="00015F34" w:rsidP="00CB184D">
      <w:pPr>
        <w:widowControl w:val="0"/>
        <w:spacing w:after="0" w:line="240" w:lineRule="auto"/>
        <w:rPr>
          <w:rFonts w:ascii="Arial" w:eastAsia="Arial" w:hAnsi="Arial" w:cs="Arial"/>
          <w:b/>
        </w:rPr>
      </w:pPr>
      <w:r>
        <w:rPr>
          <w:rFonts w:ascii="Arial" w:eastAsia="Arial" w:hAnsi="Arial" w:cs="Arial"/>
          <w:b/>
        </w:rPr>
        <w:t>Central Government has a ‘sign off’ process, what is this?</w:t>
      </w:r>
    </w:p>
    <w:p w14:paraId="5F6D81C6" w14:textId="77777777" w:rsidR="00F30293" w:rsidRDefault="00F30293" w:rsidP="00F30293">
      <w:pPr>
        <w:pStyle w:val="NormalWeb"/>
        <w:spacing w:before="0" w:beforeAutospacing="0" w:after="160" w:afterAutospacing="0"/>
        <w:jc w:val="both"/>
        <w:rPr>
          <w:rFonts w:ascii="Arial" w:hAnsi="Arial" w:cs="Arial"/>
          <w:color w:val="000000"/>
        </w:rPr>
      </w:pPr>
    </w:p>
    <w:p w14:paraId="364728F7" w14:textId="729D1A3B" w:rsidR="00F30293" w:rsidRPr="00F30293" w:rsidRDefault="00F30293" w:rsidP="00F30293">
      <w:pPr>
        <w:widowControl w:val="0"/>
        <w:spacing w:before="1" w:after="0" w:line="240" w:lineRule="auto"/>
        <w:rPr>
          <w:rFonts w:ascii="Arial" w:eastAsia="Arial" w:hAnsi="Arial" w:cs="Arial"/>
        </w:rPr>
      </w:pPr>
      <w:r w:rsidRPr="00F30293">
        <w:rPr>
          <w:rFonts w:ascii="Arial" w:eastAsia="Arial" w:hAnsi="Arial" w:cs="Arial"/>
        </w:rPr>
        <w:t>Central Government departments are subject to CO Learning and Development (L&amp;D) Spend Controls. The central CSHR Call-off Contracts under RM6145 provide</w:t>
      </w:r>
      <w:r>
        <w:rPr>
          <w:rFonts w:ascii="Arial" w:eastAsia="Arial" w:hAnsi="Arial" w:cs="Arial"/>
        </w:rPr>
        <w:t>s</w:t>
      </w:r>
      <w:r w:rsidRPr="00F30293">
        <w:rPr>
          <w:rFonts w:ascii="Arial" w:eastAsia="Arial" w:hAnsi="Arial" w:cs="Arial"/>
        </w:rPr>
        <w:t xml:space="preserve"> an approved procurement route to enable high quality, bespoke learning needs, facilitating collaborative procurement wherever this derives best value for the Government.</w:t>
      </w:r>
    </w:p>
    <w:p w14:paraId="0DEBD697" w14:textId="77777777" w:rsidR="00F30293" w:rsidRDefault="00F30293" w:rsidP="00F30293">
      <w:pPr>
        <w:widowControl w:val="0"/>
        <w:spacing w:before="1" w:after="0" w:line="240" w:lineRule="auto"/>
        <w:rPr>
          <w:rFonts w:ascii="Arial" w:eastAsia="Arial" w:hAnsi="Arial" w:cs="Arial"/>
        </w:rPr>
      </w:pPr>
    </w:p>
    <w:p w14:paraId="642AE5CE" w14:textId="10043ED9" w:rsidR="00F30293" w:rsidRDefault="00F30293" w:rsidP="00F30293">
      <w:pPr>
        <w:widowControl w:val="0"/>
        <w:spacing w:before="1" w:after="0" w:line="240" w:lineRule="auto"/>
        <w:rPr>
          <w:rFonts w:ascii="Arial" w:eastAsia="Arial" w:hAnsi="Arial" w:cs="Arial"/>
        </w:rPr>
      </w:pPr>
      <w:r w:rsidRPr="00F30293">
        <w:rPr>
          <w:rFonts w:ascii="Arial" w:eastAsia="Arial" w:hAnsi="Arial" w:cs="Arial"/>
        </w:rPr>
        <w:t>Where departments are subject to the CO L&amp;D Spend Control process, they must ensure that they follow the CO spend controls; available at:</w:t>
      </w:r>
    </w:p>
    <w:p w14:paraId="259E266C" w14:textId="77777777" w:rsidR="00F30293" w:rsidRDefault="00F30293" w:rsidP="00F30293">
      <w:pPr>
        <w:widowControl w:val="0"/>
        <w:spacing w:before="1" w:after="0" w:line="240" w:lineRule="auto"/>
        <w:rPr>
          <w:rFonts w:ascii="Arial" w:hAnsi="Arial" w:cs="Arial"/>
          <w:color w:val="000000"/>
        </w:rPr>
      </w:pPr>
    </w:p>
    <w:p w14:paraId="62FB6378" w14:textId="5DADE0FC" w:rsidR="00F30293" w:rsidRDefault="00F30293" w:rsidP="00F30293">
      <w:pPr>
        <w:widowControl w:val="0"/>
        <w:spacing w:before="1" w:after="0" w:line="240" w:lineRule="auto"/>
      </w:pPr>
      <w:hyperlink r:id="rId9" w:history="1">
        <w:r w:rsidRPr="002B4871">
          <w:rPr>
            <w:rStyle w:val="Hyperlink"/>
            <w:rFonts w:ascii="Arial" w:hAnsi="Arial" w:cs="Arial"/>
          </w:rPr>
          <w:t>https://www.gov.uk/guidance/learning-and-development-civil-service-learning-spend-controls</w:t>
        </w:r>
      </w:hyperlink>
    </w:p>
    <w:p w14:paraId="277275B5" w14:textId="77777777" w:rsidR="008A2C64" w:rsidRDefault="008A2C64" w:rsidP="00CB184D">
      <w:pPr>
        <w:widowControl w:val="0"/>
        <w:spacing w:after="120" w:line="240" w:lineRule="auto"/>
        <w:jc w:val="both"/>
        <w:rPr>
          <w:rFonts w:ascii="Arial" w:eastAsia="Arial" w:hAnsi="Arial" w:cs="Arial"/>
          <w:b/>
        </w:rPr>
      </w:pPr>
    </w:p>
    <w:p w14:paraId="1B222C91" w14:textId="06EF40C1" w:rsidR="00F30293" w:rsidRPr="00F30293" w:rsidRDefault="00015F34" w:rsidP="00F30293">
      <w:pPr>
        <w:widowControl w:val="0"/>
        <w:spacing w:after="120" w:line="240" w:lineRule="auto"/>
        <w:jc w:val="both"/>
        <w:rPr>
          <w:rFonts w:ascii="Arial" w:eastAsia="Arial" w:hAnsi="Arial" w:cs="Arial"/>
        </w:rPr>
      </w:pPr>
      <w:r>
        <w:rPr>
          <w:rFonts w:ascii="Arial" w:eastAsia="Arial" w:hAnsi="Arial" w:cs="Arial"/>
          <w:b/>
        </w:rPr>
        <w:t>General enquiries from Central Government;</w:t>
      </w:r>
    </w:p>
    <w:p w14:paraId="27E9F29B" w14:textId="40D27EF4" w:rsidR="00F30293" w:rsidRDefault="00F30293" w:rsidP="00F30293">
      <w:pPr>
        <w:pStyle w:val="NormalWeb"/>
        <w:spacing w:before="0" w:beforeAutospacing="0" w:after="160" w:afterAutospacing="0"/>
        <w:jc w:val="both"/>
      </w:pPr>
      <w:r w:rsidRPr="00F30293">
        <w:rPr>
          <w:rFonts w:ascii="Arial" w:eastAsia="Arial" w:hAnsi="Arial" w:cs="Arial"/>
          <w:sz w:val="22"/>
          <w:szCs w:val="22"/>
        </w:rPr>
        <w:t xml:space="preserve">For Central Government (CG) departments that subscribe to Civil Service Learning (CSL) for its training provisions, please contact your individual department L&amp;D team/SPOC, or email </w:t>
      </w:r>
      <w:hyperlink r:id="rId10" w:history="1">
        <w:r w:rsidRPr="00F30293">
          <w:rPr>
            <w:rStyle w:val="Hyperlink"/>
            <w:rFonts w:ascii="Arial" w:hAnsi="Arial" w:cs="Arial"/>
            <w:color w:val="1155CC"/>
            <w:sz w:val="22"/>
            <w:szCs w:val="22"/>
          </w:rPr>
          <w:t>support@civilservicelearning.uk</w:t>
        </w:r>
      </w:hyperlink>
    </w:p>
    <w:p w14:paraId="27718E84" w14:textId="665D3187" w:rsidR="008A2C64" w:rsidRDefault="008A2C64" w:rsidP="00CB184D">
      <w:pPr>
        <w:widowControl w:val="0"/>
        <w:spacing w:after="120" w:line="240" w:lineRule="auto"/>
        <w:jc w:val="both"/>
        <w:rPr>
          <w:rFonts w:ascii="Arial" w:eastAsia="Arial" w:hAnsi="Arial" w:cs="Arial"/>
        </w:rPr>
      </w:pPr>
    </w:p>
    <w:p w14:paraId="4A7530F9" w14:textId="77777777" w:rsidR="008A2C64" w:rsidRDefault="00015F34" w:rsidP="00CB184D">
      <w:pPr>
        <w:widowControl w:val="0"/>
        <w:spacing w:after="120" w:line="240" w:lineRule="auto"/>
        <w:jc w:val="both"/>
        <w:rPr>
          <w:rFonts w:ascii="Arial" w:eastAsia="Arial" w:hAnsi="Arial" w:cs="Arial"/>
        </w:rPr>
      </w:pPr>
      <w:r>
        <w:rPr>
          <w:rFonts w:ascii="Arial" w:eastAsia="Arial" w:hAnsi="Arial" w:cs="Arial"/>
          <w:b/>
          <w:u w:val="single"/>
        </w:rPr>
        <w:t>For all other departments and Wider Public Sector please use these contact details</w:t>
      </w:r>
      <w:r>
        <w:rPr>
          <w:rFonts w:ascii="Arial" w:eastAsia="Arial" w:hAnsi="Arial" w:cs="Arial"/>
        </w:rPr>
        <w:t>;</w:t>
      </w:r>
    </w:p>
    <w:p w14:paraId="0CE4A431" w14:textId="30884527" w:rsidR="008A2C64" w:rsidRDefault="00015F34" w:rsidP="00CB184D">
      <w:pPr>
        <w:widowControl w:val="0"/>
        <w:spacing w:after="120" w:line="240" w:lineRule="auto"/>
        <w:jc w:val="both"/>
        <w:rPr>
          <w:rFonts w:ascii="Arial" w:eastAsia="Arial" w:hAnsi="Arial" w:cs="Arial"/>
        </w:rPr>
      </w:pPr>
      <w:r>
        <w:rPr>
          <w:rFonts w:ascii="Arial" w:eastAsia="Arial" w:hAnsi="Arial" w:cs="Arial"/>
          <w:b/>
        </w:rPr>
        <w:t xml:space="preserve">For </w:t>
      </w:r>
      <w:r w:rsidR="00CB184D">
        <w:rPr>
          <w:rFonts w:ascii="Arial" w:eastAsia="Arial" w:hAnsi="Arial" w:cs="Arial"/>
          <w:b/>
        </w:rPr>
        <w:t>Lot 3</w:t>
      </w:r>
      <w:r w:rsidR="00CB184D">
        <w:rPr>
          <w:rFonts w:ascii="Arial" w:eastAsia="Arial" w:hAnsi="Arial" w:cs="Arial"/>
        </w:rPr>
        <w:t> -</w:t>
      </w:r>
      <w:r>
        <w:rPr>
          <w:rFonts w:ascii="Arial" w:eastAsia="Arial" w:hAnsi="Arial" w:cs="Arial"/>
        </w:rPr>
        <w:t xml:space="preserve"> </w:t>
      </w:r>
      <w:r w:rsidR="00CB184D">
        <w:rPr>
          <w:rFonts w:ascii="Arial" w:eastAsia="Arial" w:hAnsi="Arial" w:cs="Arial"/>
        </w:rPr>
        <w:t>KPMG, please</w:t>
      </w:r>
      <w:r>
        <w:rPr>
          <w:rFonts w:ascii="Arial" w:eastAsia="Arial" w:hAnsi="Arial" w:cs="Arial"/>
        </w:rPr>
        <w:t xml:space="preserve"> </w:t>
      </w:r>
      <w:r w:rsidR="00CB184D">
        <w:rPr>
          <w:rFonts w:ascii="Arial" w:eastAsia="Arial" w:hAnsi="Arial" w:cs="Arial"/>
        </w:rPr>
        <w:t>contact:</w:t>
      </w:r>
      <w:hyperlink r:id="rId11">
        <w:r>
          <w:rPr>
            <w:rFonts w:ascii="Arial" w:eastAsia="Arial" w:hAnsi="Arial" w:cs="Arial"/>
            <w:color w:val="0563C1"/>
            <w:u w:val="single"/>
          </w:rPr>
          <w:t>info@kpmgpublicsectorlearning.co.uk</w:t>
        </w:r>
      </w:hyperlink>
    </w:p>
    <w:p w14:paraId="3A7B9636" w14:textId="2A1CD374" w:rsidR="008A2C64" w:rsidRDefault="00015F34" w:rsidP="00CB184D">
      <w:pPr>
        <w:widowControl w:val="0"/>
        <w:spacing w:after="120" w:line="240" w:lineRule="auto"/>
        <w:jc w:val="both"/>
        <w:rPr>
          <w:rFonts w:ascii="Arial" w:eastAsia="Arial" w:hAnsi="Arial" w:cs="Arial"/>
          <w:color w:val="2E75B5"/>
          <w:u w:val="single"/>
        </w:rPr>
      </w:pPr>
      <w:r>
        <w:rPr>
          <w:rFonts w:ascii="Arial" w:eastAsia="Arial" w:hAnsi="Arial" w:cs="Arial"/>
          <w:b/>
        </w:rPr>
        <w:t xml:space="preserve">For Lot </w:t>
      </w:r>
      <w:r w:rsidR="00CB184D">
        <w:rPr>
          <w:rFonts w:ascii="Arial" w:eastAsia="Arial" w:hAnsi="Arial" w:cs="Arial"/>
          <w:b/>
        </w:rPr>
        <w:t xml:space="preserve">6 </w:t>
      </w:r>
      <w:r w:rsidR="00CB184D">
        <w:rPr>
          <w:rFonts w:ascii="Arial" w:eastAsia="Arial" w:hAnsi="Arial" w:cs="Arial"/>
        </w:rPr>
        <w:t>-</w:t>
      </w:r>
      <w:r>
        <w:rPr>
          <w:rFonts w:ascii="Arial" w:eastAsia="Arial" w:hAnsi="Arial" w:cs="Arial"/>
        </w:rPr>
        <w:t xml:space="preserve"> Ernst &amp; </w:t>
      </w:r>
      <w:r w:rsidR="00CB184D">
        <w:rPr>
          <w:rFonts w:ascii="Arial" w:eastAsia="Arial" w:hAnsi="Arial" w:cs="Arial"/>
        </w:rPr>
        <w:t>Young, please</w:t>
      </w:r>
      <w:r>
        <w:rPr>
          <w:rFonts w:ascii="Arial" w:eastAsia="Arial" w:hAnsi="Arial" w:cs="Arial"/>
        </w:rPr>
        <w:t xml:space="preserve"> contact  </w:t>
      </w:r>
      <w:hyperlink r:id="rId12">
        <w:r>
          <w:rPr>
            <w:rFonts w:ascii="Arial" w:eastAsia="Arial" w:hAnsi="Arial" w:cs="Arial"/>
            <w:color w:val="1155CC"/>
            <w:highlight w:val="white"/>
            <w:u w:val="single"/>
          </w:rPr>
          <w:t>eytenders@uk.ey.com</w:t>
        </w:r>
      </w:hyperlink>
    </w:p>
    <w:p w14:paraId="1F2CF9DA" w14:textId="77777777" w:rsidR="008A2C64" w:rsidRDefault="008A2C64" w:rsidP="00CB184D">
      <w:pPr>
        <w:widowControl w:val="0"/>
        <w:spacing w:after="120" w:line="240" w:lineRule="auto"/>
        <w:jc w:val="both"/>
        <w:rPr>
          <w:rFonts w:ascii="Arial" w:eastAsia="Arial" w:hAnsi="Arial" w:cs="Arial"/>
        </w:rPr>
      </w:pPr>
      <w:bookmarkStart w:id="1" w:name="_heading=h.30j0zll" w:colFirst="0" w:colLast="0"/>
      <w:bookmarkEnd w:id="1"/>
    </w:p>
    <w:p w14:paraId="1B79E774" w14:textId="77777777" w:rsidR="008A2C64" w:rsidRDefault="00015F34" w:rsidP="00CB184D">
      <w:pPr>
        <w:widowControl w:val="0"/>
        <w:spacing w:after="120" w:line="240" w:lineRule="auto"/>
        <w:jc w:val="both"/>
        <w:rPr>
          <w:rFonts w:ascii="Arial" w:eastAsia="Arial" w:hAnsi="Arial" w:cs="Arial"/>
          <w:b/>
        </w:rPr>
      </w:pPr>
      <w:r>
        <w:rPr>
          <w:rFonts w:ascii="Arial" w:eastAsia="Arial" w:hAnsi="Arial" w:cs="Arial"/>
          <w:b/>
        </w:rPr>
        <w:t>What is the specific management levy percentage charged to suppliers?</w:t>
      </w:r>
    </w:p>
    <w:p w14:paraId="2EB11D04" w14:textId="77777777" w:rsidR="008A2C64" w:rsidRDefault="00015F34" w:rsidP="00CB184D">
      <w:pPr>
        <w:widowControl w:val="0"/>
        <w:spacing w:after="120" w:line="240" w:lineRule="auto"/>
        <w:jc w:val="both"/>
        <w:rPr>
          <w:rFonts w:ascii="Arial" w:eastAsia="Arial" w:hAnsi="Arial" w:cs="Arial"/>
        </w:rPr>
      </w:pPr>
      <w:r>
        <w:rPr>
          <w:rFonts w:ascii="Arial" w:eastAsia="Arial" w:hAnsi="Arial" w:cs="Arial"/>
        </w:rPr>
        <w:t>1% built into price.</w:t>
      </w:r>
    </w:p>
    <w:p w14:paraId="5BB2EE0E" w14:textId="77777777" w:rsidR="008A2C64" w:rsidRDefault="008A2C64" w:rsidP="00CB184D">
      <w:pPr>
        <w:widowControl w:val="0"/>
        <w:spacing w:after="120" w:line="240" w:lineRule="auto"/>
        <w:jc w:val="both"/>
        <w:rPr>
          <w:rFonts w:ascii="Arial" w:eastAsia="Arial" w:hAnsi="Arial" w:cs="Arial"/>
        </w:rPr>
      </w:pPr>
    </w:p>
    <w:p w14:paraId="7A63737D" w14:textId="77777777" w:rsidR="008A2C64" w:rsidRDefault="00015F34" w:rsidP="00CB184D">
      <w:pPr>
        <w:widowControl w:val="0"/>
        <w:spacing w:after="120" w:line="240" w:lineRule="auto"/>
        <w:jc w:val="both"/>
        <w:rPr>
          <w:rFonts w:ascii="Arial" w:eastAsia="Arial" w:hAnsi="Arial" w:cs="Arial"/>
          <w:b/>
        </w:rPr>
      </w:pPr>
      <w:r>
        <w:rPr>
          <w:rFonts w:ascii="Arial" w:eastAsia="Arial" w:hAnsi="Arial" w:cs="Arial"/>
          <w:b/>
        </w:rPr>
        <w:t>What is the contract length?</w:t>
      </w:r>
    </w:p>
    <w:p w14:paraId="54526B89" w14:textId="77777777" w:rsidR="008A2C64" w:rsidRDefault="00015F34" w:rsidP="00CB184D">
      <w:pPr>
        <w:widowControl w:val="0"/>
        <w:spacing w:after="120" w:line="240" w:lineRule="auto"/>
        <w:jc w:val="both"/>
        <w:rPr>
          <w:rFonts w:ascii="Arial" w:eastAsia="Arial" w:hAnsi="Arial" w:cs="Arial"/>
        </w:rPr>
      </w:pPr>
      <w:r>
        <w:rPr>
          <w:rFonts w:ascii="Arial" w:eastAsia="Arial" w:hAnsi="Arial" w:cs="Arial"/>
        </w:rPr>
        <w:t>The framework length is 3 years with an option to extend for 12 months. Call-off contracts can have a duration of anything up to 4 years.</w:t>
      </w:r>
    </w:p>
    <w:p w14:paraId="78F43A9C" w14:textId="77777777" w:rsidR="008A2C64" w:rsidRDefault="008A2C64" w:rsidP="00CB184D">
      <w:pPr>
        <w:widowControl w:val="0"/>
        <w:spacing w:after="120" w:line="240" w:lineRule="auto"/>
        <w:jc w:val="both"/>
        <w:rPr>
          <w:rFonts w:ascii="Arial" w:eastAsia="Arial" w:hAnsi="Arial" w:cs="Arial"/>
        </w:rPr>
      </w:pPr>
    </w:p>
    <w:p w14:paraId="4C797CB0" w14:textId="77777777" w:rsidR="008A2C64" w:rsidRDefault="00015F34" w:rsidP="00CB184D">
      <w:pPr>
        <w:widowControl w:val="0"/>
        <w:spacing w:after="120" w:line="240" w:lineRule="auto"/>
        <w:jc w:val="both"/>
        <w:rPr>
          <w:rFonts w:ascii="Arial" w:eastAsia="Arial" w:hAnsi="Arial" w:cs="Arial"/>
          <w:b/>
        </w:rPr>
      </w:pPr>
      <w:r>
        <w:rPr>
          <w:rFonts w:ascii="Arial" w:eastAsia="Arial" w:hAnsi="Arial" w:cs="Arial"/>
          <w:b/>
        </w:rPr>
        <w:t>Can I direct award?</w:t>
      </w:r>
    </w:p>
    <w:p w14:paraId="6BB15C41" w14:textId="1E6EDD24" w:rsidR="008A2C64" w:rsidRDefault="00015F34" w:rsidP="00CB184D">
      <w:pPr>
        <w:widowControl w:val="0"/>
        <w:spacing w:after="120" w:line="240" w:lineRule="auto"/>
        <w:jc w:val="both"/>
        <w:rPr>
          <w:rFonts w:ascii="Arial" w:eastAsia="Arial" w:hAnsi="Arial" w:cs="Arial"/>
        </w:rPr>
      </w:pPr>
      <w:r>
        <w:rPr>
          <w:rFonts w:ascii="Arial" w:eastAsia="Arial" w:hAnsi="Arial" w:cs="Arial"/>
        </w:rPr>
        <w:t xml:space="preserve">Yes, the framework is 2 single suppliers for Lot 3 and Lot </w:t>
      </w:r>
      <w:r w:rsidR="00CB184D">
        <w:rPr>
          <w:rFonts w:ascii="Arial" w:eastAsia="Arial" w:hAnsi="Arial" w:cs="Arial"/>
        </w:rPr>
        <w:t>6, so</w:t>
      </w:r>
      <w:r>
        <w:rPr>
          <w:rFonts w:ascii="Arial" w:eastAsia="Arial" w:hAnsi="Arial" w:cs="Arial"/>
        </w:rPr>
        <w:t xml:space="preserve"> </w:t>
      </w:r>
      <w:r w:rsidR="00CB184D">
        <w:rPr>
          <w:rFonts w:ascii="Arial" w:eastAsia="Arial" w:hAnsi="Arial" w:cs="Arial"/>
        </w:rPr>
        <w:t>direct award</w:t>
      </w:r>
      <w:r>
        <w:rPr>
          <w:rFonts w:ascii="Arial" w:eastAsia="Arial" w:hAnsi="Arial" w:cs="Arial"/>
        </w:rPr>
        <w:t xml:space="preserve"> only. Further competitions cannot be run through this framework.</w:t>
      </w:r>
    </w:p>
    <w:p w14:paraId="0E2D0E2C" w14:textId="77777777" w:rsidR="008A2C64" w:rsidRDefault="008A2C64" w:rsidP="00CB184D">
      <w:pPr>
        <w:widowControl w:val="0"/>
        <w:spacing w:after="120" w:line="240" w:lineRule="auto"/>
        <w:jc w:val="both"/>
        <w:rPr>
          <w:rFonts w:ascii="Arial" w:eastAsia="Arial" w:hAnsi="Arial" w:cs="Arial"/>
        </w:rPr>
      </w:pPr>
    </w:p>
    <w:p w14:paraId="71855877" w14:textId="01FD5DE2" w:rsidR="008A2C64" w:rsidRDefault="00015F34" w:rsidP="00CB184D">
      <w:pPr>
        <w:widowControl w:val="0"/>
        <w:spacing w:after="120" w:line="240" w:lineRule="auto"/>
        <w:jc w:val="both"/>
        <w:rPr>
          <w:rFonts w:ascii="Arial" w:eastAsia="Arial" w:hAnsi="Arial" w:cs="Arial"/>
          <w:b/>
        </w:rPr>
      </w:pPr>
      <w:r>
        <w:rPr>
          <w:rFonts w:ascii="Arial" w:eastAsia="Arial" w:hAnsi="Arial" w:cs="Arial"/>
          <w:b/>
        </w:rPr>
        <w:t xml:space="preserve">Who are the </w:t>
      </w:r>
      <w:r w:rsidR="00CB184D">
        <w:rPr>
          <w:rFonts w:ascii="Arial" w:eastAsia="Arial" w:hAnsi="Arial" w:cs="Arial"/>
          <w:b/>
        </w:rPr>
        <w:t>supplier’s</w:t>
      </w:r>
      <w:r>
        <w:rPr>
          <w:rFonts w:ascii="Arial" w:eastAsia="Arial" w:hAnsi="Arial" w:cs="Arial"/>
          <w:b/>
        </w:rPr>
        <w:t xml:space="preserve"> key subcontractors?</w:t>
      </w:r>
    </w:p>
    <w:p w14:paraId="239FCD0F" w14:textId="515A366B" w:rsidR="008A2C64" w:rsidRDefault="00015F34" w:rsidP="00CB184D">
      <w:pPr>
        <w:widowControl w:val="0"/>
        <w:spacing w:after="120" w:line="240" w:lineRule="auto"/>
        <w:jc w:val="both"/>
        <w:rPr>
          <w:rFonts w:ascii="Arial" w:eastAsia="Arial" w:hAnsi="Arial" w:cs="Arial"/>
        </w:rPr>
        <w:sectPr w:rsidR="008A2C64">
          <w:pgSz w:w="11910" w:h="16840"/>
          <w:pgMar w:top="1340" w:right="1340" w:bottom="280" w:left="1320" w:header="720" w:footer="720" w:gutter="0"/>
          <w:pgNumType w:start="1"/>
          <w:cols w:space="720" w:equalWidth="0">
            <w:col w:w="9360"/>
          </w:cols>
        </w:sectPr>
      </w:pPr>
      <w:r>
        <w:rPr>
          <w:rFonts w:ascii="Arial" w:eastAsia="Arial" w:hAnsi="Arial" w:cs="Arial"/>
        </w:rPr>
        <w:t xml:space="preserve">The </w:t>
      </w:r>
      <w:r w:rsidR="00CB184D">
        <w:rPr>
          <w:rFonts w:ascii="Arial" w:eastAsia="Arial" w:hAnsi="Arial" w:cs="Arial"/>
        </w:rPr>
        <w:t xml:space="preserve">appointed </w:t>
      </w:r>
      <w:r>
        <w:rPr>
          <w:rFonts w:ascii="Arial" w:eastAsia="Arial" w:hAnsi="Arial" w:cs="Arial"/>
        </w:rPr>
        <w:t xml:space="preserve">suppliers have a very large, dynamic pool of </w:t>
      </w:r>
      <w:r w:rsidR="00CB184D">
        <w:rPr>
          <w:rFonts w:ascii="Arial" w:eastAsia="Arial" w:hAnsi="Arial" w:cs="Arial"/>
        </w:rPr>
        <w:t>training providers</w:t>
      </w:r>
      <w:r>
        <w:rPr>
          <w:rFonts w:ascii="Arial" w:eastAsia="Arial" w:hAnsi="Arial" w:cs="Arial"/>
        </w:rPr>
        <w:t xml:space="preserve"> who they have subcontracting relationships with, so it is not possible to provide a comprehensive lis</w:t>
      </w:r>
      <w:r w:rsidR="00F30293">
        <w:rPr>
          <w:rFonts w:ascii="Arial" w:eastAsia="Arial" w:hAnsi="Arial" w:cs="Arial"/>
        </w:rPr>
        <w:t>t.</w:t>
      </w:r>
      <w:bookmarkStart w:id="2" w:name="_GoBack"/>
      <w:bookmarkEnd w:id="2"/>
    </w:p>
    <w:p w14:paraId="448A8DCB" w14:textId="77777777" w:rsidR="008A2C64" w:rsidRDefault="008A2C64"/>
    <w:sectPr w:rsidR="008A2C64">
      <w:footerReference w:type="default" r:id="rId13"/>
      <w:pgSz w:w="11910" w:h="16840"/>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1F99" w14:textId="77777777" w:rsidR="0027580E" w:rsidRDefault="0027580E">
      <w:pPr>
        <w:spacing w:after="0" w:line="240" w:lineRule="auto"/>
      </w:pPr>
      <w:r>
        <w:separator/>
      </w:r>
    </w:p>
  </w:endnote>
  <w:endnote w:type="continuationSeparator" w:id="0">
    <w:p w14:paraId="33CF80A7" w14:textId="77777777" w:rsidR="0027580E" w:rsidRDefault="0027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C715" w14:textId="77777777" w:rsidR="008A2C64" w:rsidRDefault="00015F34">
    <w:pPr>
      <w:pBdr>
        <w:top w:val="nil"/>
        <w:left w:val="nil"/>
        <w:bottom w:val="nil"/>
        <w:right w:val="nil"/>
        <w:between w:val="nil"/>
      </w:pBdr>
      <w:tabs>
        <w:tab w:val="center" w:pos="4513"/>
        <w:tab w:val="right" w:pos="9026"/>
      </w:tabs>
      <w:spacing w:after="0" w:line="240" w:lineRule="auto"/>
      <w:rPr>
        <w:color w:val="000000"/>
      </w:rPr>
    </w:pPr>
    <w:r>
      <w:rPr>
        <w:color w:val="000000"/>
      </w:rPr>
      <w:t>RM6145 Learning and Development</w:t>
    </w:r>
  </w:p>
  <w:p w14:paraId="0FE865D2" w14:textId="77777777" w:rsidR="008A2C64" w:rsidRDefault="00015F34">
    <w:pPr>
      <w:pBdr>
        <w:top w:val="nil"/>
        <w:left w:val="nil"/>
        <w:bottom w:val="nil"/>
        <w:right w:val="nil"/>
        <w:between w:val="nil"/>
      </w:pBdr>
      <w:tabs>
        <w:tab w:val="center" w:pos="4513"/>
        <w:tab w:val="right" w:pos="9026"/>
      </w:tabs>
      <w:spacing w:after="0" w:line="240" w:lineRule="auto"/>
      <w:rPr>
        <w:color w:val="000000"/>
      </w:rPr>
    </w:pPr>
    <w:r>
      <w:rPr>
        <w:color w:val="000000"/>
      </w:rPr>
      <w:t>FAQs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DC76" w14:textId="77777777" w:rsidR="0027580E" w:rsidRDefault="0027580E">
      <w:pPr>
        <w:spacing w:after="0" w:line="240" w:lineRule="auto"/>
      </w:pPr>
      <w:r>
        <w:separator/>
      </w:r>
    </w:p>
  </w:footnote>
  <w:footnote w:type="continuationSeparator" w:id="0">
    <w:p w14:paraId="09CD73CE" w14:textId="77777777" w:rsidR="0027580E" w:rsidRDefault="00275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64"/>
    <w:rsid w:val="00015F34"/>
    <w:rsid w:val="0027580E"/>
    <w:rsid w:val="008A2C64"/>
    <w:rsid w:val="00CB184D"/>
    <w:rsid w:val="00F3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42746D"/>
  <w15:docId w15:val="{FBDCF96A-4626-114C-9226-D5F2AC40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E9D"/>
    <w:pPr>
      <w:ind w:left="720"/>
      <w:contextualSpacing/>
    </w:pPr>
  </w:style>
  <w:style w:type="character" w:styleId="Hyperlink">
    <w:name w:val="Hyperlink"/>
    <w:basedOn w:val="DefaultParagraphFont"/>
    <w:uiPriority w:val="99"/>
    <w:unhideWhenUsed/>
    <w:rsid w:val="007B5E9D"/>
    <w:rPr>
      <w:color w:val="0563C1" w:themeColor="hyperlink"/>
      <w:u w:val="single"/>
    </w:rPr>
  </w:style>
  <w:style w:type="paragraph" w:styleId="Header">
    <w:name w:val="header"/>
    <w:basedOn w:val="Normal"/>
    <w:link w:val="HeaderChar"/>
    <w:uiPriority w:val="99"/>
    <w:unhideWhenUsed/>
    <w:rsid w:val="0098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19"/>
  </w:style>
  <w:style w:type="paragraph" w:styleId="Footer">
    <w:name w:val="footer"/>
    <w:basedOn w:val="Normal"/>
    <w:link w:val="FooterChar"/>
    <w:uiPriority w:val="99"/>
    <w:unhideWhenUsed/>
    <w:rsid w:val="0098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19"/>
  </w:style>
  <w:style w:type="character" w:styleId="FollowedHyperlink">
    <w:name w:val="FollowedHyperlink"/>
    <w:basedOn w:val="DefaultParagraphFont"/>
    <w:uiPriority w:val="99"/>
    <w:semiHidden/>
    <w:unhideWhenUsed/>
    <w:rsid w:val="00F976FE"/>
    <w:rPr>
      <w:color w:val="954F72" w:themeColor="followedHyperlink"/>
      <w:u w:val="single"/>
    </w:rPr>
  </w:style>
  <w:style w:type="paragraph" w:styleId="NoSpacing">
    <w:name w:val="No Spacing"/>
    <w:uiPriority w:val="1"/>
    <w:qFormat/>
    <w:rsid w:val="00177DA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3029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5501">
      <w:bodyDiv w:val="1"/>
      <w:marLeft w:val="0"/>
      <w:marRight w:val="0"/>
      <w:marTop w:val="0"/>
      <w:marBottom w:val="0"/>
      <w:divBdr>
        <w:top w:val="none" w:sz="0" w:space="0" w:color="auto"/>
        <w:left w:val="none" w:sz="0" w:space="0" w:color="auto"/>
        <w:bottom w:val="none" w:sz="0" w:space="0" w:color="auto"/>
        <w:right w:val="none" w:sz="0" w:space="0" w:color="auto"/>
      </w:divBdr>
    </w:div>
    <w:div w:id="110102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rowncommercial.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ytenders@uk.e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pmgpublicsectorlearning.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port@civilservicelearning.uk" TargetMode="External"/><Relationship Id="rId4" Type="http://schemas.openxmlformats.org/officeDocument/2006/relationships/webSettings" Target="webSettings.xml"/><Relationship Id="rId9" Type="http://schemas.openxmlformats.org/officeDocument/2006/relationships/hyperlink" Target="https://www.gov.uk/guidance/learning-and-development-civil-service-learning-spend-contr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xVf80cl1jkgBq7jZjRzi8T5hQ==">AMUW2mWP6gu8CWvZZgthR8PQA1ow18CT+W6p681MSDzTBXYdioJulISDsDJVx/fxXTqteaiWB14porfka+PrjJkQnCrmq96PB9bZGmcmNgxKabFYQzNtZPYkVa/Usa3Q9JzfrM0ikesZ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Groves</dc:creator>
  <cp:lastModifiedBy>Microsoft Office User</cp:lastModifiedBy>
  <cp:revision>2</cp:revision>
  <dcterms:created xsi:type="dcterms:W3CDTF">2020-10-23T15:15:00Z</dcterms:created>
  <dcterms:modified xsi:type="dcterms:W3CDTF">2020-10-23T15:15:00Z</dcterms:modified>
</cp:coreProperties>
</file>