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AF" w:rsidRDefault="001D6EAF">
      <w:pPr>
        <w:pBdr>
          <w:top w:val="nil"/>
          <w:left w:val="nil"/>
          <w:bottom w:val="nil"/>
          <w:right w:val="nil"/>
          <w:between w:val="nil"/>
        </w:pBdr>
        <w:tabs>
          <w:tab w:val="center" w:pos="4153"/>
          <w:tab w:val="right" w:pos="8306"/>
          <w:tab w:val="center" w:pos="4513"/>
          <w:tab w:val="right" w:pos="9026"/>
        </w:tabs>
        <w:spacing w:after="0" w:line="240" w:lineRule="auto"/>
        <w:jc w:val="left"/>
        <w:rPr>
          <w:rFonts w:ascii="Arial" w:eastAsia="Arial" w:hAnsi="Arial" w:cs="Arial"/>
          <w:b/>
          <w:color w:val="000000"/>
          <w:sz w:val="36"/>
          <w:szCs w:val="36"/>
        </w:rPr>
      </w:pPr>
      <w:bookmarkStart w:id="0" w:name="_GoBack"/>
      <w:bookmarkEnd w:id="0"/>
    </w:p>
    <w:p w:rsidR="001D6EAF" w:rsidRDefault="005B1483">
      <w:pPr>
        <w:pBdr>
          <w:top w:val="nil"/>
          <w:left w:val="nil"/>
          <w:bottom w:val="nil"/>
          <w:right w:val="nil"/>
          <w:between w:val="nil"/>
        </w:pBdr>
        <w:tabs>
          <w:tab w:val="center" w:pos="4153"/>
          <w:tab w:val="right" w:pos="8306"/>
          <w:tab w:val="center" w:pos="4513"/>
          <w:tab w:val="right" w:pos="9026"/>
        </w:tabs>
        <w:spacing w:after="0" w:line="240" w:lineRule="auto"/>
        <w:jc w:val="left"/>
        <w:rPr>
          <w:rFonts w:ascii="Arial" w:eastAsia="Arial" w:hAnsi="Arial" w:cs="Arial"/>
          <w:b/>
          <w:color w:val="000000"/>
          <w:sz w:val="36"/>
          <w:szCs w:val="36"/>
        </w:rPr>
      </w:pPr>
      <w:r>
        <w:rPr>
          <w:rFonts w:ascii="Arial" w:eastAsia="Arial" w:hAnsi="Arial" w:cs="Arial"/>
          <w:b/>
          <w:color w:val="000000"/>
          <w:sz w:val="36"/>
          <w:szCs w:val="36"/>
        </w:rPr>
        <w:t>Call-Off Schedule 6 (ICT Services)</w:t>
      </w:r>
    </w:p>
    <w:p w:rsidR="001D6EAF" w:rsidRDefault="005B1483">
      <w:pPr>
        <w:numPr>
          <w:ilvl w:val="0"/>
          <w:numId w:val="2"/>
        </w:numPr>
        <w:pBdr>
          <w:top w:val="nil"/>
          <w:left w:val="nil"/>
          <w:bottom w:val="nil"/>
          <w:right w:val="nil"/>
          <w:between w:val="nil"/>
        </w:pBdr>
        <w:tabs>
          <w:tab w:val="left" w:pos="142"/>
        </w:tabs>
        <w:spacing w:before="120" w:line="240" w:lineRule="auto"/>
        <w:jc w:val="left"/>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rsidR="001D6EAF" w:rsidRDefault="005B1483">
      <w:pPr>
        <w:numPr>
          <w:ilvl w:val="1"/>
          <w:numId w:val="2"/>
        </w:numPr>
        <w:pBdr>
          <w:top w:val="nil"/>
          <w:left w:val="nil"/>
          <w:bottom w:val="nil"/>
          <w:right w:val="nil"/>
          <w:between w:val="nil"/>
        </w:pBdr>
        <w:tabs>
          <w:tab w:val="left" w:pos="1134"/>
          <w:tab w:val="left" w:pos="1134"/>
        </w:tabs>
        <w:spacing w:before="120" w:after="120" w:line="240" w:lineRule="auto"/>
        <w:jc w:val="left"/>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In this Schedule, the following words shall have the following meanings and they shall supplement Joint Schedule 1 (Definitions):</w:t>
      </w:r>
    </w:p>
    <w:tbl>
      <w:tblPr>
        <w:tblStyle w:val="a0"/>
        <w:tblW w:w="8201" w:type="dxa"/>
        <w:tblInd w:w="82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741"/>
        <w:gridCol w:w="5460"/>
      </w:tblGrid>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"Buyer Property" </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property, other than real property and IPR, including the Buyer System, any equipment issued or made available to the Supplier by the Buyer in connection with this Contract;</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"Buyer Software"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any software which is owned by or licensed to the Buyer and which is or will be used by the Supplier for the purposes of providing the Deliverables;</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"Buyer System"</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“Commercial off the shelf Software” or “COTS Software”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Non-customised software where the IPR may be owned and licensed either by the Supplier or a third party depending on the context, and which is commercially available for purchase and subject to standard licence terms</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"Defect"</w:t>
            </w:r>
          </w:p>
        </w:tc>
        <w:tc>
          <w:tcPr>
            <w:tcW w:w="5460" w:type="dxa"/>
          </w:tcPr>
          <w:p w:rsidR="001D6EAF" w:rsidRDefault="005B1483">
            <w:pPr>
              <w:pBdr>
                <w:top w:val="nil"/>
                <w:left w:val="nil"/>
                <w:bottom w:val="nil"/>
                <w:right w:val="nil"/>
                <w:between w:val="nil"/>
              </w:pBdr>
              <w:tabs>
                <w:tab w:val="left" w:pos="-9"/>
              </w:tabs>
              <w:spacing w:after="120" w:line="240" w:lineRule="auto"/>
              <w:ind w:left="170" w:hanging="170"/>
              <w:jc w:val="left"/>
              <w:rPr>
                <w:rFonts w:ascii="Arial" w:eastAsia="Arial" w:hAnsi="Arial" w:cs="Arial"/>
                <w:color w:val="000000"/>
                <w:sz w:val="24"/>
                <w:szCs w:val="24"/>
              </w:rPr>
            </w:pPr>
            <w:r>
              <w:rPr>
                <w:rFonts w:ascii="Arial" w:eastAsia="Arial" w:hAnsi="Arial" w:cs="Arial"/>
                <w:color w:val="000000"/>
                <w:sz w:val="24"/>
                <w:szCs w:val="24"/>
              </w:rPr>
              <w:t xml:space="preserve">any of the following: </w:t>
            </w:r>
          </w:p>
          <w:p w:rsidR="001D6EAF" w:rsidRDefault="005B1483">
            <w:pPr>
              <w:numPr>
                <w:ilvl w:val="1"/>
                <w:numId w:val="1"/>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any error, damage or defect in the manufacturing of a Deliverable; or</w:t>
            </w:r>
          </w:p>
          <w:p w:rsidR="001D6EAF" w:rsidRDefault="005B1483">
            <w:pPr>
              <w:numPr>
                <w:ilvl w:val="1"/>
                <w:numId w:val="1"/>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any error or failure of code within the Software which causes a Deliverable to malfunction or to produce unintelligible or incorrect results; or</w:t>
            </w:r>
          </w:p>
        </w:tc>
      </w:tr>
      <w:tr w:rsidR="001D6EAF">
        <w:tc>
          <w:tcPr>
            <w:tcW w:w="2741" w:type="dxa"/>
          </w:tcPr>
          <w:p w:rsidR="001D6EAF" w:rsidRDefault="001D6EAF">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
        </w:tc>
        <w:tc>
          <w:tcPr>
            <w:tcW w:w="5460" w:type="dxa"/>
          </w:tcPr>
          <w:p w:rsidR="001D6EAF" w:rsidRDefault="005B1483">
            <w:pPr>
              <w:numPr>
                <w:ilvl w:val="1"/>
                <w:numId w:val="1"/>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 xml:space="preserve">any failure of any Deliverable to provide the performance, features and functionality specified in the requirements of the Buyer or the Documentation </w:t>
            </w:r>
            <w:r>
              <w:rPr>
                <w:rFonts w:ascii="Arial" w:eastAsia="Arial" w:hAnsi="Arial" w:cs="Arial"/>
                <w:color w:val="000000"/>
                <w:sz w:val="24"/>
                <w:szCs w:val="24"/>
              </w:rPr>
              <w:lastRenderedPageBreak/>
              <w:t>(including any adverse effect on response times) regardless of whether or not it prevents the relevant Deliverable from passing any Test required under this Call Off Contract; or</w:t>
            </w:r>
          </w:p>
          <w:p w:rsidR="001D6EAF" w:rsidRDefault="005B1483">
            <w:pPr>
              <w:numPr>
                <w:ilvl w:val="1"/>
                <w:numId w:val="1"/>
              </w:numPr>
              <w:pBdr>
                <w:top w:val="nil"/>
                <w:left w:val="nil"/>
                <w:bottom w:val="nil"/>
                <w:right w:val="nil"/>
                <w:between w:val="nil"/>
              </w:pBdr>
              <w:tabs>
                <w:tab w:val="left" w:pos="144"/>
              </w:tabs>
              <w:spacing w:after="120" w:line="240" w:lineRule="auto"/>
              <w:ind w:left="342" w:hanging="342"/>
              <w:jc w:val="left"/>
              <w:rPr>
                <w:rFonts w:ascii="Arial" w:eastAsia="Arial" w:hAnsi="Arial" w:cs="Arial"/>
                <w:color w:val="000000"/>
                <w:sz w:val="24"/>
                <w:szCs w:val="24"/>
              </w:rPr>
            </w:pPr>
            <w:r>
              <w:rPr>
                <w:rFonts w:ascii="Arial" w:eastAsia="Arial" w:hAnsi="Arial" w:cs="Arial"/>
                <w:color w:val="000000"/>
                <w:sz w:val="24"/>
                <w:szCs w:val="24"/>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"Emergency Maintenance"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"ICT Environment"</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Buyer System and the Supplier System;</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"Licensed Software"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all and any Software licensed by or through the Supplier, its Sub-Contractors or any third party to the Buyer for the purposes of or pursuant to this Call Off Contract, including any COTS Software;</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"Maintenance Schedule"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8 of this Schedule;</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"Malicious Software"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"New Release"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an item produced primarily to extend, alter or improve the Software and/or any Deliverable by providing additional functionality or performance enhancement (whether or not </w:t>
            </w:r>
            <w:r>
              <w:rPr>
                <w:rFonts w:ascii="Arial" w:eastAsia="Arial" w:hAnsi="Arial" w:cs="Arial"/>
                <w:color w:val="000000"/>
                <w:sz w:val="24"/>
                <w:szCs w:val="24"/>
              </w:rPr>
              <w:lastRenderedPageBreak/>
              <w:t>defects in the Software and/or Deliverable are also corrected) while still retaining the original designated purpose of that item;</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"Open Source Software"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"Operating Environment"</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means the Buyer System and any premises (including the Buyer Premises, the Supplier’s premises or third party premises) from, to or at which:</w:t>
            </w:r>
          </w:p>
          <w:p w:rsidR="001D6EAF" w:rsidRDefault="005B1483">
            <w:pPr>
              <w:numPr>
                <w:ilvl w:val="1"/>
                <w:numId w:val="3"/>
              </w:numPr>
              <w:pBdr>
                <w:top w:val="nil"/>
                <w:left w:val="nil"/>
                <w:bottom w:val="nil"/>
                <w:right w:val="nil"/>
                <w:between w:val="nil"/>
              </w:pBdr>
              <w:tabs>
                <w:tab w:val="left" w:pos="144"/>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 xml:space="preserve">the Deliverables are (or are to be) provided; or </w:t>
            </w:r>
          </w:p>
          <w:p w:rsidR="001D6EAF" w:rsidRDefault="005B1483">
            <w:pPr>
              <w:numPr>
                <w:ilvl w:val="1"/>
                <w:numId w:val="3"/>
              </w:numPr>
              <w:pBdr>
                <w:top w:val="nil"/>
                <w:left w:val="nil"/>
                <w:bottom w:val="nil"/>
                <w:right w:val="nil"/>
                <w:between w:val="nil"/>
              </w:pBdr>
              <w:tabs>
                <w:tab w:val="left" w:pos="144"/>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 or</w:t>
            </w:r>
          </w:p>
          <w:p w:rsidR="001D6EAF" w:rsidRDefault="005B1483">
            <w:pPr>
              <w:numPr>
                <w:ilvl w:val="1"/>
                <w:numId w:val="3"/>
              </w:numPr>
              <w:pBdr>
                <w:top w:val="nil"/>
                <w:left w:val="nil"/>
                <w:bottom w:val="nil"/>
                <w:right w:val="nil"/>
                <w:between w:val="nil"/>
              </w:pBdr>
              <w:tabs>
                <w:tab w:val="left" w:pos="144"/>
                <w:tab w:val="left" w:pos="342"/>
              </w:tabs>
              <w:spacing w:after="120" w:line="240" w:lineRule="auto"/>
              <w:ind w:left="342"/>
              <w:jc w:val="left"/>
              <w:rPr>
                <w:rFonts w:ascii="Arial" w:eastAsia="Arial" w:hAnsi="Arial" w:cs="Arial"/>
                <w:color w:val="000000"/>
                <w:sz w:val="24"/>
                <w:szCs w:val="24"/>
              </w:rPr>
            </w:pPr>
            <w:r>
              <w:rPr>
                <w:rFonts w:ascii="Arial" w:eastAsia="Arial" w:hAnsi="Arial" w:cs="Arial"/>
                <w:color w:val="000000"/>
                <w:sz w:val="24"/>
                <w:szCs w:val="24"/>
              </w:rPr>
              <w:t>where any part of the Supplier System is situated;</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"Permitted Maintenance"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8.2 of this Schedule;</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"Quality Plans"</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6.1 of this Schedule;</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"Sites"</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Joint Schedule 1(Definitions), and for the purposes of this Call Off Schedule shall also include any premises from, to or at which physical interface with the Buyer System takes place;</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"Software"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Specially Written Software COTS Software and non-COTS Supplier and third party Software;</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"Software Supporting Materials"</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9.1 of this Schedule;</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"Source Code"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computer programs and/or data in eye-readable form and in such form that it can be compiled or interpreted into equivalent binary code together with all related design </w:t>
            </w:r>
            <w:r>
              <w:rPr>
                <w:rFonts w:ascii="Arial" w:eastAsia="Arial" w:hAnsi="Arial" w:cs="Arial"/>
                <w:color w:val="000000"/>
                <w:sz w:val="24"/>
                <w:szCs w:val="24"/>
              </w:rPr>
              <w:lastRenderedPageBreak/>
              <w:t>comments, flow charts, technical information and documentation necessary for the use, reproduction, maintenance, modification and enhancement of such software;</w:t>
            </w: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"Specially Written Software"</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rsidR="001D6EAF">
        <w:tc>
          <w:tcPr>
            <w:tcW w:w="2741" w:type="dxa"/>
          </w:tcPr>
          <w:p w:rsidR="001D6EAF" w:rsidRDefault="001D6EAF">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
        </w:tc>
        <w:tc>
          <w:tcPr>
            <w:tcW w:w="5460" w:type="dxa"/>
          </w:tcPr>
          <w:p w:rsidR="001D6EAF" w:rsidRDefault="001D6EAF">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
        </w:tc>
      </w:tr>
      <w:tr w:rsidR="001D6EAF">
        <w:tc>
          <w:tcPr>
            <w:tcW w:w="2741"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"Supplier System"</w:t>
            </w:r>
          </w:p>
        </w:tc>
        <w:tc>
          <w:tcPr>
            <w:tcW w:w="5460" w:type="dxa"/>
          </w:tcPr>
          <w:p w:rsidR="001D6EAF" w:rsidRDefault="005B1483">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r w:rsidR="001D6EAF">
        <w:tc>
          <w:tcPr>
            <w:tcW w:w="2741" w:type="dxa"/>
          </w:tcPr>
          <w:p w:rsidR="001D6EAF" w:rsidRDefault="001D6EAF">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
        </w:tc>
        <w:tc>
          <w:tcPr>
            <w:tcW w:w="5460" w:type="dxa"/>
          </w:tcPr>
          <w:p w:rsidR="001D6EAF" w:rsidRDefault="001D6EAF">
            <w:p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p>
        </w:tc>
      </w:tr>
    </w:tbl>
    <w:p w:rsidR="001D6EAF" w:rsidRDefault="005B1483">
      <w:pPr>
        <w:keepNext/>
        <w:keepLines/>
        <w:numPr>
          <w:ilvl w:val="0"/>
          <w:numId w:val="2"/>
        </w:numPr>
        <w:pBdr>
          <w:top w:val="nil"/>
          <w:left w:val="nil"/>
          <w:bottom w:val="nil"/>
          <w:right w:val="nil"/>
          <w:between w:val="nil"/>
        </w:pBdr>
        <w:tabs>
          <w:tab w:val="left" w:pos="142"/>
          <w:tab w:val="left" w:pos="142"/>
        </w:tabs>
        <w:spacing w:before="120" w:line="240" w:lineRule="auto"/>
        <w:jc w:val="left"/>
        <w:rPr>
          <w:rFonts w:ascii="Arial" w:eastAsia="Arial" w:hAnsi="Arial" w:cs="Arial"/>
          <w:b/>
          <w:smallCaps/>
          <w:color w:val="000000"/>
          <w:sz w:val="24"/>
          <w:szCs w:val="24"/>
        </w:rPr>
      </w:pPr>
      <w:r>
        <w:rPr>
          <w:rFonts w:ascii="Arial" w:eastAsia="Arial" w:hAnsi="Arial" w:cs="Arial"/>
          <w:b/>
          <w:smallCaps/>
          <w:color w:val="000000"/>
          <w:sz w:val="24"/>
          <w:szCs w:val="24"/>
        </w:rPr>
        <w:t>W</w:t>
      </w:r>
      <w:r>
        <w:rPr>
          <w:rFonts w:ascii="Arial Bold" w:eastAsia="Arial Bold" w:hAnsi="Arial Bold" w:cs="Arial Bold"/>
          <w:b/>
          <w:color w:val="000000"/>
          <w:sz w:val="24"/>
          <w:szCs w:val="24"/>
        </w:rPr>
        <w:t>hen this Schedule should be used</w:t>
      </w:r>
    </w:p>
    <w:p w:rsidR="001D6EAF" w:rsidRDefault="005B1483">
      <w:pPr>
        <w:keepNext/>
        <w:keepLines/>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This Schedule is designed to provide additional provisions necessary to facilitate the provision of ICT Services which are part of the Deliverables.</w:t>
      </w:r>
    </w:p>
    <w:p w:rsidR="001D6EAF" w:rsidRDefault="005B1483">
      <w:pPr>
        <w:numPr>
          <w:ilvl w:val="0"/>
          <w:numId w:val="2"/>
        </w:numPr>
        <w:pBdr>
          <w:top w:val="nil"/>
          <w:left w:val="nil"/>
          <w:bottom w:val="nil"/>
          <w:right w:val="nil"/>
          <w:between w:val="nil"/>
        </w:pBdr>
        <w:tabs>
          <w:tab w:val="left" w:pos="3686"/>
          <w:tab w:val="left" w:pos="142"/>
        </w:tabs>
        <w:spacing w:before="120" w:line="240" w:lineRule="auto"/>
        <w:jc w:val="left"/>
        <w:rPr>
          <w:rFonts w:ascii="Arial Bold" w:eastAsia="Arial Bold" w:hAnsi="Arial Bold" w:cs="Arial Bold"/>
          <w:b/>
          <w:smallCaps/>
          <w:color w:val="000000"/>
          <w:sz w:val="24"/>
          <w:szCs w:val="24"/>
        </w:rPr>
      </w:pPr>
      <w:r>
        <w:rPr>
          <w:rFonts w:ascii="Arial Bold" w:eastAsia="Arial Bold" w:hAnsi="Arial Bold" w:cs="Arial Bold"/>
          <w:b/>
          <w:color w:val="000000"/>
          <w:sz w:val="24"/>
          <w:szCs w:val="24"/>
        </w:rPr>
        <w:t xml:space="preserve">Buyer due diligence requirements </w:t>
      </w:r>
    </w:p>
    <w:p w:rsidR="001D6EAF" w:rsidRDefault="005B1483">
      <w:pPr>
        <w:numPr>
          <w:ilvl w:val="1"/>
          <w:numId w:val="2"/>
        </w:numPr>
        <w:pBdr>
          <w:top w:val="nil"/>
          <w:left w:val="nil"/>
          <w:bottom w:val="nil"/>
          <w:right w:val="nil"/>
          <w:between w:val="nil"/>
        </w:pBdr>
        <w:tabs>
          <w:tab w:val="left" w:pos="3686"/>
          <w:tab w:val="left" w:pos="142"/>
        </w:tabs>
        <w:spacing w:before="120" w:line="240" w:lineRule="auto"/>
        <w:jc w:val="left"/>
        <w:rPr>
          <w:rFonts w:ascii="Arial" w:eastAsia="Arial" w:hAnsi="Arial" w:cs="Arial"/>
          <w:b/>
          <w:smallCaps/>
          <w:color w:val="000000"/>
          <w:sz w:val="24"/>
          <w:szCs w:val="24"/>
        </w:rPr>
      </w:pPr>
      <w:r>
        <w:rPr>
          <w:rFonts w:ascii="Arial" w:eastAsia="Arial" w:hAnsi="Arial" w:cs="Arial"/>
          <w:color w:val="000000"/>
          <w:sz w:val="24"/>
          <w:szCs w:val="24"/>
        </w:rPr>
        <w:t>The Supplier shall satisfy itself of all relevant details, including but not limited to, details relating to the following;</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3" w:name="_heading=h.1fob9te" w:colFirst="0" w:colLast="0"/>
      <w:bookmarkEnd w:id="3"/>
      <w:r>
        <w:rPr>
          <w:rFonts w:ascii="Arial" w:eastAsia="Arial" w:hAnsi="Arial" w:cs="Arial"/>
          <w:color w:val="000000"/>
          <w:sz w:val="24"/>
          <w:szCs w:val="24"/>
        </w:rPr>
        <w:t xml:space="preserve">suitability of the existing and (to the extent that it is defined or reasonably foreseeable at the Start Date) future Operating Environment; </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operating processes and procedures and the working methods of the Buyer; </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ownership, functionality, capacity, condition and suitability for use in the provision of the Deliverables of the Buyer Assets; and</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existing contracts (including any licences, support, maintenance and other contracts relating to the Operating Environment) referred to in the Due Diligence Information which may be novated to, assigned to </w:t>
      </w:r>
      <w:r>
        <w:rPr>
          <w:rFonts w:ascii="Arial" w:eastAsia="Arial" w:hAnsi="Arial" w:cs="Arial"/>
          <w:color w:val="000000"/>
          <w:sz w:val="24"/>
          <w:szCs w:val="24"/>
        </w:rPr>
        <w:lastRenderedPageBreak/>
        <w:t>or managed by the Supplier under this Contract and/or which the Supplier will require the benefit of for the provision of the Deliverables.</w:t>
      </w:r>
    </w:p>
    <w:p w:rsidR="001D6EAF" w:rsidRDefault="005B1483">
      <w:pPr>
        <w:numPr>
          <w:ilvl w:val="1"/>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confirms that it has advised the Buyer in writing of:</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each aspect, if any, of the Operating Environment that is not suitable for the provision of the ICT Services;</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actions needed to remedy each such unsuitable aspect; and</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 timetable for and the costs of those actions.</w:t>
      </w:r>
    </w:p>
    <w:p w:rsidR="001D6EAF" w:rsidRDefault="005B1483">
      <w:pPr>
        <w:numPr>
          <w:ilvl w:val="0"/>
          <w:numId w:val="2"/>
        </w:numPr>
        <w:pBdr>
          <w:top w:val="nil"/>
          <w:left w:val="nil"/>
          <w:bottom w:val="nil"/>
          <w:right w:val="nil"/>
          <w:between w:val="nil"/>
        </w:pBdr>
        <w:spacing w:line="240" w:lineRule="auto"/>
        <w:jc w:val="left"/>
        <w:rPr>
          <w:rFonts w:ascii="Arial" w:eastAsia="Arial" w:hAnsi="Arial" w:cs="Arial"/>
          <w:b/>
          <w:color w:val="000000"/>
          <w:sz w:val="24"/>
          <w:szCs w:val="24"/>
        </w:rPr>
      </w:pPr>
      <w:r>
        <w:rPr>
          <w:rFonts w:ascii="Arial" w:eastAsia="Arial" w:hAnsi="Arial" w:cs="Arial"/>
          <w:b/>
          <w:color w:val="000000"/>
          <w:sz w:val="24"/>
          <w:szCs w:val="24"/>
        </w:rPr>
        <w:t>Licensed software warranty</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4" w:name="_heading=h.3znysh7" w:colFirst="0" w:colLast="0"/>
      <w:bookmarkEnd w:id="4"/>
      <w:r>
        <w:rPr>
          <w:rFonts w:ascii="Arial" w:eastAsia="Arial" w:hAnsi="Arial" w:cs="Arial"/>
          <w:color w:val="000000"/>
          <w:sz w:val="24"/>
          <w:szCs w:val="24"/>
        </w:rPr>
        <w:t>The Supplier represents and warrants that:</w:t>
      </w:r>
    </w:p>
    <w:p w:rsidR="001D6EAF" w:rsidRDefault="005B1483">
      <w:pPr>
        <w:numPr>
          <w:ilvl w:val="2"/>
          <w:numId w:val="2"/>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all components of the Specially Written Software shall:</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be free from material design and programming errors;</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perform in all material respects in accordance with the relevant specifications contained in Call Off Schedule 14 (Service Levels) and Documentation; and</w:t>
      </w:r>
    </w:p>
    <w:p w:rsidR="001D6EAF" w:rsidRDefault="005B1483">
      <w:pPr>
        <w:numPr>
          <w:ilvl w:val="3"/>
          <w:numId w:val="2"/>
        </w:numPr>
        <w:pBdr>
          <w:top w:val="nil"/>
          <w:left w:val="nil"/>
          <w:bottom w:val="nil"/>
          <w:right w:val="nil"/>
          <w:between w:val="nil"/>
        </w:pBdr>
        <w:tabs>
          <w:tab w:val="left" w:pos="851"/>
        </w:tabs>
        <w:spacing w:line="240" w:lineRule="auto"/>
        <w:jc w:val="left"/>
        <w:rPr>
          <w:rFonts w:ascii="Arial" w:eastAsia="Arial" w:hAnsi="Arial" w:cs="Arial"/>
          <w:color w:val="000000"/>
          <w:sz w:val="24"/>
          <w:szCs w:val="24"/>
        </w:rPr>
      </w:pPr>
      <w:r>
        <w:rPr>
          <w:rFonts w:ascii="Arial" w:eastAsia="Arial" w:hAnsi="Arial" w:cs="Arial"/>
          <w:color w:val="000000"/>
          <w:sz w:val="24"/>
          <w:szCs w:val="24"/>
        </w:rPr>
        <w:t>not infringe any IPR.</w:t>
      </w:r>
    </w:p>
    <w:p w:rsidR="001D6EAF" w:rsidRDefault="005B1483">
      <w:pPr>
        <w:numPr>
          <w:ilvl w:val="0"/>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Provision of ICT Services</w:t>
      </w:r>
    </w:p>
    <w:p w:rsidR="001D6EAF" w:rsidRDefault="005B1483">
      <w:pPr>
        <w:numPr>
          <w:ilvl w:val="1"/>
          <w:numId w:val="2"/>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w:t>
      </w:r>
    </w:p>
    <w:p w:rsidR="001D6EAF" w:rsidRDefault="005B1483">
      <w:pPr>
        <w:numPr>
          <w:ilvl w:val="2"/>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rsidR="001D6EAF" w:rsidRDefault="005B1483">
      <w:pPr>
        <w:numPr>
          <w:ilvl w:val="2"/>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rsidR="001D6EAF" w:rsidRDefault="005B1483">
      <w:pPr>
        <w:numPr>
          <w:ilvl w:val="2"/>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Supplier System will be free of all encumbrances;</w:t>
      </w:r>
    </w:p>
    <w:p w:rsidR="001D6EAF" w:rsidRDefault="005B1483">
      <w:pPr>
        <w:numPr>
          <w:ilvl w:val="2"/>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ensure that the Deliverables are fully compatible with any Buyer Software, Buyer System, or otherwise used by the Supplier in connection with this Contract;</w:t>
      </w:r>
    </w:p>
    <w:p w:rsidR="001D6EAF" w:rsidRDefault="005B1483">
      <w:pPr>
        <w:numPr>
          <w:ilvl w:val="2"/>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minimise any disruption to the Services and the ICT Environment  and/or the Buyer's operations when providing the Deliverables;</w:t>
      </w:r>
    </w:p>
    <w:p w:rsidR="001D6EAF" w:rsidRDefault="005B1483">
      <w:pPr>
        <w:keepNext/>
        <w:numPr>
          <w:ilvl w:val="0"/>
          <w:numId w:val="2"/>
        </w:numPr>
        <w:pBdr>
          <w:top w:val="nil"/>
          <w:left w:val="nil"/>
          <w:bottom w:val="nil"/>
          <w:right w:val="nil"/>
          <w:between w:val="nil"/>
        </w:pBdr>
        <w:tabs>
          <w:tab w:val="left" w:pos="1134"/>
        </w:tabs>
        <w:spacing w:before="120" w:after="120" w:line="240" w:lineRule="auto"/>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Standards and Quality Requirements</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bookmarkStart w:id="5" w:name="_heading=h.2et92p0" w:colFirst="0" w:colLast="0"/>
      <w:bookmarkEnd w:id="5"/>
      <w:r>
        <w:rPr>
          <w:rFonts w:ascii="Arial" w:eastAsia="Arial" w:hAnsi="Arial" w:cs="Arial"/>
          <w:color w:val="000000"/>
          <w:sz w:val="24"/>
          <w:szCs w:val="24"/>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rFonts w:ascii="Arial" w:eastAsia="Arial" w:hAnsi="Arial" w:cs="Arial"/>
          <w:b/>
          <w:color w:val="000000"/>
          <w:sz w:val="24"/>
          <w:szCs w:val="24"/>
        </w:rPr>
        <w:t>Quality Plans</w:t>
      </w:r>
      <w:r>
        <w:rPr>
          <w:rFonts w:ascii="Arial" w:eastAsia="Arial" w:hAnsi="Arial" w:cs="Arial"/>
          <w:color w:val="000000"/>
          <w:sz w:val="24"/>
          <w:szCs w:val="24"/>
        </w:rPr>
        <w:t>")</w:t>
      </w:r>
      <w:r>
        <w:rPr>
          <w:rFonts w:ascii="Arial" w:eastAsia="Arial" w:hAnsi="Arial" w:cs="Arial"/>
          <w:b/>
          <w:color w:val="000000"/>
          <w:sz w:val="24"/>
          <w:szCs w:val="24"/>
        </w:rPr>
        <w:t>.</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Following the approval of the Quality Plans, the Supplier shall provide all Deliverables in accordance with the Quality Plans.</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ensure that the Supplier Personnel shall at all times during the Call Off Contract Period:</w:t>
      </w:r>
    </w:p>
    <w:p w:rsidR="001D6EAF" w:rsidRDefault="005B1483">
      <w:pPr>
        <w:numPr>
          <w:ilvl w:val="2"/>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be appropriately experienced, qualified and trained to supply the Deliverables in accordance with this Contract;</w:t>
      </w:r>
    </w:p>
    <w:p w:rsidR="001D6EAF" w:rsidRDefault="005B1483">
      <w:pPr>
        <w:numPr>
          <w:ilvl w:val="2"/>
          <w:numId w:val="2"/>
        </w:numPr>
        <w:pBdr>
          <w:top w:val="nil"/>
          <w:left w:val="nil"/>
          <w:bottom w:val="nil"/>
          <w:right w:val="nil"/>
          <w:between w:val="nil"/>
        </w:pBdr>
        <w:tabs>
          <w:tab w:val="left" w:pos="1134"/>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apply all due skill, care, diligence in faithfully performing those duties and exercising such powers as necessary in connection with the provision of the Deliverables; and</w:t>
      </w:r>
    </w:p>
    <w:p w:rsidR="001D6EAF" w:rsidRDefault="005B1483">
      <w:pPr>
        <w:numPr>
          <w:ilvl w:val="2"/>
          <w:numId w:val="2"/>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obey all lawful instructions and reasonable directions of the Buyer (including, if so required by the Buyer, the ICT Policy) and provide the Deliverables to the reasonable satisfaction of the Buyer.</w:t>
      </w:r>
    </w:p>
    <w:p w:rsidR="001D6EAF" w:rsidRDefault="005B1483">
      <w:pPr>
        <w:numPr>
          <w:ilvl w:val="0"/>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6" w:name="_heading=h.1pxezwc" w:colFirst="0" w:colLast="0"/>
      <w:bookmarkEnd w:id="6"/>
      <w:r>
        <w:rPr>
          <w:rFonts w:ascii="Arial" w:eastAsia="Arial" w:hAnsi="Arial" w:cs="Arial"/>
          <w:b/>
          <w:color w:val="000000"/>
          <w:sz w:val="24"/>
          <w:szCs w:val="24"/>
        </w:rPr>
        <w:t>ICT Audit</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sz w:val="24"/>
          <w:szCs w:val="24"/>
        </w:rPr>
      </w:pPr>
      <w:r>
        <w:rPr>
          <w:rFonts w:ascii="Arial" w:eastAsia="Arial" w:hAnsi="Arial" w:cs="Arial"/>
          <w:sz w:val="24"/>
          <w:szCs w:val="24"/>
        </w:rPr>
        <w:t xml:space="preserve">The Supplier shall allow any auditor access to the Supplier premises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to:</w:t>
      </w:r>
    </w:p>
    <w:p w:rsidR="001D6EAF" w:rsidRDefault="005B1483">
      <w:pPr>
        <w:numPr>
          <w:ilvl w:val="2"/>
          <w:numId w:val="2"/>
        </w:numPr>
        <w:pBdr>
          <w:top w:val="nil"/>
          <w:left w:val="nil"/>
          <w:bottom w:val="nil"/>
          <w:right w:val="nil"/>
          <w:between w:val="nil"/>
        </w:pBdr>
        <w:tabs>
          <w:tab w:val="left" w:pos="1134"/>
        </w:tabs>
        <w:spacing w:before="120" w:after="120" w:line="240" w:lineRule="auto"/>
        <w:jc w:val="left"/>
        <w:rPr>
          <w:rFonts w:ascii="Arial" w:eastAsia="Arial" w:hAnsi="Arial" w:cs="Arial"/>
          <w:sz w:val="24"/>
          <w:szCs w:val="24"/>
        </w:rPr>
      </w:pPr>
      <w:r>
        <w:rPr>
          <w:rFonts w:ascii="Arial" w:eastAsia="Arial" w:hAnsi="Arial" w:cs="Arial"/>
          <w:sz w:val="24"/>
          <w:szCs w:val="24"/>
        </w:rPr>
        <w:t>inspect the ICT Environment and the wider service delivery environment (or any part of them);</w:t>
      </w:r>
    </w:p>
    <w:p w:rsidR="001D6EAF" w:rsidRDefault="005B1483">
      <w:pPr>
        <w:numPr>
          <w:ilvl w:val="2"/>
          <w:numId w:val="2"/>
        </w:numPr>
        <w:tabs>
          <w:tab w:val="left" w:pos="1134"/>
        </w:tabs>
        <w:spacing w:before="120" w:after="120" w:line="240" w:lineRule="auto"/>
        <w:jc w:val="left"/>
        <w:rPr>
          <w:rFonts w:ascii="Arial" w:eastAsia="Arial" w:hAnsi="Arial" w:cs="Arial"/>
          <w:sz w:val="24"/>
          <w:szCs w:val="24"/>
        </w:rPr>
      </w:pPr>
      <w:r>
        <w:rPr>
          <w:rFonts w:ascii="Arial" w:eastAsia="Arial" w:hAnsi="Arial" w:cs="Arial"/>
          <w:sz w:val="24"/>
          <w:szCs w:val="24"/>
        </w:rPr>
        <w:t>review any records created during the design and development of the Supplier System and pre-operational environment such as information relating to Testing</w:t>
      </w:r>
    </w:p>
    <w:p w:rsidR="001D6EAF" w:rsidRDefault="005B1483">
      <w:pPr>
        <w:numPr>
          <w:ilvl w:val="2"/>
          <w:numId w:val="2"/>
        </w:numPr>
        <w:tabs>
          <w:tab w:val="left" w:pos="1134"/>
        </w:tabs>
        <w:spacing w:before="120" w:after="120" w:line="240" w:lineRule="auto"/>
        <w:jc w:val="left"/>
        <w:rPr>
          <w:rFonts w:ascii="Arial" w:eastAsia="Arial" w:hAnsi="Arial" w:cs="Arial"/>
          <w:sz w:val="24"/>
          <w:szCs w:val="24"/>
        </w:rPr>
      </w:pPr>
      <w:r>
        <w:rPr>
          <w:rFonts w:ascii="Arial" w:eastAsia="Arial" w:hAnsi="Arial" w:cs="Arial"/>
          <w:sz w:val="24"/>
          <w:szCs w:val="24"/>
        </w:rPr>
        <w:t>review the Supplier’s quality management systems including all relevant Quality Plans.</w:t>
      </w:r>
    </w:p>
    <w:p w:rsidR="001D6EAF" w:rsidRDefault="001D6EAF">
      <w:pPr>
        <w:keepNext/>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p>
    <w:p w:rsidR="001D6EAF" w:rsidRDefault="005B1483">
      <w:pPr>
        <w:keepNext/>
        <w:numPr>
          <w:ilvl w:val="0"/>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Maintenance of the ICT Environment</w:t>
      </w:r>
    </w:p>
    <w:p w:rsidR="001D6EAF" w:rsidRDefault="005B1483">
      <w:pPr>
        <w:numPr>
          <w:ilvl w:val="1"/>
          <w:numId w:val="2"/>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If specified by the Buyer in the Order Form, the Supplier shall create and maintain a rolling schedule of planned maintenance to the ICT Environment ("</w:t>
      </w:r>
      <w:r>
        <w:rPr>
          <w:rFonts w:ascii="Arial" w:eastAsia="Arial" w:hAnsi="Arial" w:cs="Arial"/>
          <w:b/>
          <w:color w:val="000000"/>
          <w:sz w:val="24"/>
          <w:szCs w:val="24"/>
        </w:rPr>
        <w:t>Maintenance Schedule</w:t>
      </w:r>
      <w:r>
        <w:rPr>
          <w:rFonts w:ascii="Arial" w:eastAsia="Arial" w:hAnsi="Arial" w:cs="Arial"/>
          <w:color w:val="000000"/>
          <w:sz w:val="24"/>
          <w:szCs w:val="24"/>
        </w:rPr>
        <w:t>") and make it available to the Buyer for Approval in accordance with the timetable and instructions specified by the Buyer.</w:t>
      </w:r>
    </w:p>
    <w:p w:rsidR="001D6EAF" w:rsidRDefault="005B1483">
      <w:pPr>
        <w:numPr>
          <w:ilvl w:val="1"/>
          <w:numId w:val="2"/>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bookmarkStart w:id="7" w:name="_heading=h.tyjcwt" w:colFirst="0" w:colLast="0"/>
      <w:bookmarkEnd w:id="7"/>
      <w:r>
        <w:rPr>
          <w:rFonts w:ascii="Arial" w:eastAsia="Arial" w:hAnsi="Arial" w:cs="Arial"/>
          <w:color w:val="000000"/>
          <w:sz w:val="24"/>
          <w:szCs w:val="24"/>
        </w:rPr>
        <w:lastRenderedPageBreak/>
        <w:t>Once the Maintenance Schedule has been Approved, the Supplier shall only undertake such planned maintenance (which shall be known as "</w:t>
      </w:r>
      <w:r>
        <w:rPr>
          <w:rFonts w:ascii="Arial" w:eastAsia="Arial" w:hAnsi="Arial" w:cs="Arial"/>
          <w:b/>
          <w:color w:val="000000"/>
          <w:sz w:val="24"/>
          <w:szCs w:val="24"/>
        </w:rPr>
        <w:t>Permitted Maintenance</w:t>
      </w:r>
      <w:r>
        <w:rPr>
          <w:rFonts w:ascii="Arial" w:eastAsia="Arial" w:hAnsi="Arial" w:cs="Arial"/>
          <w:color w:val="000000"/>
          <w:sz w:val="24"/>
          <w:szCs w:val="24"/>
        </w:rPr>
        <w:t>") in accordance with the Maintenance Schedule.</w:t>
      </w:r>
    </w:p>
    <w:p w:rsidR="001D6EAF" w:rsidRDefault="005B1483">
      <w:pPr>
        <w:numPr>
          <w:ilvl w:val="1"/>
          <w:numId w:val="2"/>
        </w:numPr>
        <w:pBdr>
          <w:top w:val="nil"/>
          <w:left w:val="nil"/>
          <w:bottom w:val="nil"/>
          <w:right w:val="nil"/>
          <w:between w:val="nil"/>
        </w:pBdr>
        <w:tabs>
          <w:tab w:val="left" w:pos="1985"/>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give as much notice as is reasonably practicable to the Buyer prior to carrying out any Emergency Maintenance.</w:t>
      </w:r>
    </w:p>
    <w:p w:rsidR="001D6EAF" w:rsidRDefault="005B1483">
      <w:pPr>
        <w:numPr>
          <w:ilvl w:val="1"/>
          <w:numId w:val="2"/>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1D6EAF" w:rsidRDefault="005B1483">
      <w:pPr>
        <w:keepNext/>
        <w:numPr>
          <w:ilvl w:val="0"/>
          <w:numId w:val="2"/>
        </w:numPr>
        <w:pBdr>
          <w:top w:val="nil"/>
          <w:left w:val="nil"/>
          <w:bottom w:val="nil"/>
          <w:right w:val="nil"/>
          <w:between w:val="nil"/>
        </w:pBdr>
        <w:tabs>
          <w:tab w:val="left" w:pos="1134"/>
        </w:tabs>
        <w:spacing w:before="120" w:after="120" w:line="240" w:lineRule="auto"/>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Intellectual Property Rights in ICT</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8" w:name="_heading=h.3dy6vkm" w:colFirst="0" w:colLast="0"/>
      <w:bookmarkEnd w:id="8"/>
      <w:r>
        <w:rPr>
          <w:rFonts w:ascii="Arial" w:eastAsia="Arial" w:hAnsi="Arial" w:cs="Arial"/>
          <w:b/>
          <w:color w:val="000000"/>
          <w:sz w:val="24"/>
          <w:szCs w:val="24"/>
        </w:rPr>
        <w:t xml:space="preserve">Assignments granted by the Supplier: Specially Written Software </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9" w:name="_heading=h.1t3h5sf" w:colFirst="0" w:colLast="0"/>
      <w:bookmarkEnd w:id="9"/>
      <w:r>
        <w:rPr>
          <w:rFonts w:ascii="Arial" w:eastAsia="Arial" w:hAnsi="Arial" w:cs="Arial"/>
          <w:color w:val="000000"/>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0" w:name="_heading=h.4d34og8" w:colFirst="0" w:colLast="0"/>
      <w:bookmarkEnd w:id="10"/>
      <w:r>
        <w:rPr>
          <w:rFonts w:ascii="Arial" w:eastAsia="Arial" w:hAnsi="Arial" w:cs="Arial"/>
          <w:color w:val="000000"/>
          <w:sz w:val="24"/>
          <w:szCs w:val="24"/>
        </w:rPr>
        <w:t>the Documentation, Source Code and the Object Code of the Specially Written Software; and</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1" w:name="_heading=h.2s8eyo1" w:colFirst="0" w:colLast="0"/>
      <w:bookmarkEnd w:id="11"/>
      <w:r>
        <w:rPr>
          <w:rFonts w:ascii="Arial" w:eastAsia="Arial" w:hAnsi="Arial" w:cs="Arial"/>
          <w:color w:val="000000"/>
          <w:sz w:val="24"/>
          <w:szCs w:val="24"/>
        </w:rPr>
        <w:t>all build instructions, test instructions, test scripts, test data, operating instructions and other documents and tools necessary for maintaining and supporting the Specially Written Software and the New IPR (together the "</w:t>
      </w:r>
      <w:r>
        <w:rPr>
          <w:rFonts w:ascii="Arial" w:eastAsia="Arial" w:hAnsi="Arial" w:cs="Arial"/>
          <w:b/>
          <w:color w:val="000000"/>
          <w:sz w:val="24"/>
          <w:szCs w:val="24"/>
        </w:rPr>
        <w:t>Software Supporting Materials</w:t>
      </w:r>
      <w:r>
        <w:rPr>
          <w:rFonts w:ascii="Arial" w:eastAsia="Arial" w:hAnsi="Arial" w:cs="Arial"/>
          <w:color w:val="000000"/>
          <w:sz w:val="24"/>
          <w:szCs w:val="24"/>
        </w:rPr>
        <w:t>").</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inform the Buyer of all Specially Written Software or New IPRs that are a modification, customisation, configuration or enhancement to any COTS Software; </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2" w:name="_heading=h.17dp8vu" w:colFirst="0" w:colLast="0"/>
      <w:bookmarkEnd w:id="12"/>
      <w:r>
        <w:rPr>
          <w:rFonts w:ascii="Arial" w:eastAsia="Arial" w:hAnsi="Arial" w:cs="Arial"/>
          <w:color w:val="000000"/>
          <w:sz w:val="24"/>
          <w:szCs w:val="24"/>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without prejudice to paragraph 9.1.2.2, provide full details to the Buyer of any of the Supplier’s Existing IPRs or Third </w:t>
      </w:r>
      <w:r>
        <w:rPr>
          <w:rFonts w:ascii="Arial" w:eastAsia="Arial" w:hAnsi="Arial" w:cs="Arial"/>
          <w:color w:val="000000"/>
          <w:sz w:val="24"/>
          <w:szCs w:val="24"/>
        </w:rPr>
        <w:lastRenderedPageBreak/>
        <w:t>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promptly execute all such assignments as are required to ensure that any rights in the Specially Written Software and New IPRs are properly transferred to the Buyer.</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13" w:name="_heading=h.3rdcrjn" w:colFirst="0" w:colLast="0"/>
      <w:bookmarkEnd w:id="13"/>
      <w:r>
        <w:rPr>
          <w:rFonts w:ascii="Arial" w:eastAsia="Arial" w:hAnsi="Arial" w:cs="Arial"/>
          <w:b/>
          <w:color w:val="000000"/>
          <w:sz w:val="24"/>
          <w:szCs w:val="24"/>
        </w:rPr>
        <w:t>Licences for non-COTS IPR from the Supplier and third parties to the Buyer</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4" w:name="_heading=h.26in1rg" w:colFirst="0" w:colLast="0"/>
      <w:bookmarkEnd w:id="14"/>
      <w:r>
        <w:rPr>
          <w:rFonts w:ascii="Arial" w:eastAsia="Arial" w:hAnsi="Arial" w:cs="Arial"/>
          <w:color w:val="000000"/>
          <w:sz w:val="24"/>
          <w:szCs w:val="24"/>
        </w:rPr>
        <w:t>Unless the Buyer gives its Approval the Supplier must not use any:</w:t>
      </w:r>
    </w:p>
    <w:p w:rsidR="001D6EAF" w:rsidRDefault="005B1483">
      <w:pPr>
        <w:numPr>
          <w:ilvl w:val="0"/>
          <w:numId w:val="4"/>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of its own Existing IPR that is not COTS Software;</w:t>
      </w:r>
    </w:p>
    <w:p w:rsidR="001D6EAF" w:rsidRDefault="005B1483">
      <w:pPr>
        <w:numPr>
          <w:ilvl w:val="0"/>
          <w:numId w:val="4"/>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third party software that is not COTS Software</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5" w:name="_heading=h.lnxbz9" w:colFirst="0" w:colLast="0"/>
      <w:bookmarkEnd w:id="15"/>
      <w:r>
        <w:rPr>
          <w:rFonts w:ascii="Arial" w:eastAsia="Arial" w:hAnsi="Arial" w:cs="Arial"/>
          <w:color w:val="000000"/>
          <w:sz w:val="24"/>
          <w:szCs w:val="24"/>
        </w:rPr>
        <w:t>Where the Buyer Approves the use of the Supplier’s Existing IPR that is not COTS Software the Supplier shall grants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w:t>
      </w:r>
      <w:r>
        <w:rPr>
          <w:rFonts w:ascii="Calibri" w:eastAsia="Calibri" w:hAnsi="Calibri" w:cs="Calibri"/>
          <w:color w:val="000000"/>
        </w:rPr>
        <w:t xml:space="preserve"> </w:t>
      </w:r>
      <w:r>
        <w:rPr>
          <w:rFonts w:ascii="Arial" w:eastAsia="Arial" w:hAnsi="Arial" w:cs="Arial"/>
          <w:color w:val="000000"/>
          <w:sz w:val="24"/>
          <w:szCs w:val="24"/>
        </w:rPr>
        <w:t>for the Call Off Contract Period and after expiry of the Contract to the extent necessary to ensure continuity of service and an effective transition of Services to a Replacement Supplier.</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16" w:name="_heading=h.35nkun2" w:colFirst="0" w:colLast="0"/>
      <w:bookmarkEnd w:id="16"/>
      <w:r>
        <w:rPr>
          <w:rFonts w:ascii="Arial" w:eastAsia="Arial" w:hAnsi="Arial" w:cs="Arial"/>
          <w:color w:val="000000"/>
          <w:sz w:val="24"/>
          <w:szCs w:val="24"/>
        </w:rPr>
        <w:t>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notify the Buyer in writing giving details of what licence terms can be obtained and whether there are alternative software providers which the Supplier could seek to use; and</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only use such third party IPR as referred to at paragraph 9.2.3.1 if the Buyer Approves the terms of the licence from the relevant third party.</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 xml:space="preserve">Where the Supplier is unable to provide a license to the Supplier’s Existing IPR in accordance with Paragraph 9.2.2 above, it must meet the requirement by making use of COTS Software or Specially Written Software.  </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17" w:name="_heading=h.1ksv4uv" w:colFirst="0" w:colLast="0"/>
      <w:bookmarkEnd w:id="17"/>
      <w:r>
        <w:rPr>
          <w:rFonts w:ascii="Arial" w:eastAsia="Arial" w:hAnsi="Arial" w:cs="Arial"/>
          <w:b/>
          <w:color w:val="000000"/>
          <w:sz w:val="24"/>
          <w:szCs w:val="24"/>
        </w:rPr>
        <w:t>Licenses for COTS Software by the Supplier and third parties to the Buyer</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Where the Supplier owns the COTS Software it shall make available the COTS software to a Replacement Supplier at a price and on terms no less favourable than those standard commercial terms on which such software is usually made commercially available.</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Where a third party is the owner of COTS Software licensed in accordance with this Paragraph 9.3 the Supplier shall support the Replacement Supplier to make arrangements with the owner or authorised licencee to renew the license at a price and on terms no less favourable than those standard commercial terms on which such software is usually made commercially available.</w:t>
      </w:r>
    </w:p>
    <w:p w:rsidR="001D6EAF" w:rsidRDefault="005B1483">
      <w:pPr>
        <w:numPr>
          <w:ilvl w:val="2"/>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The Supplier shall notify the Buyer within seven (7) days of becoming aware of any COTS Software which in the next thirty-six (36) months:</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will no longer be maintained or supported by the developer; or</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will no longer be made commercially available</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Buyer’s right to assign/novate licences</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8" w:name="_heading=h.44sinio" w:colFirst="0" w:colLast="0"/>
      <w:bookmarkEnd w:id="18"/>
      <w:r>
        <w:rPr>
          <w:rFonts w:ascii="Arial" w:eastAsia="Arial" w:hAnsi="Arial" w:cs="Arial"/>
          <w:color w:val="000000"/>
          <w:sz w:val="24"/>
          <w:szCs w:val="24"/>
        </w:rPr>
        <w:t>The Buyer may assign, novate or otherwise transfer its rights and obligations under the licences granted pursuant to paragraph 9.2 (to:</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 Central Government Body; or</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to any body (including any private sector body) which performs or carries on any of the functions and/or activities that previously had been performed and/or carried on by the Buyer.</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19" w:name="_heading=h.2jxsxqh" w:colFirst="0" w:colLast="0"/>
      <w:bookmarkEnd w:id="19"/>
      <w:r>
        <w:rPr>
          <w:rFonts w:ascii="Arial" w:eastAsia="Arial" w:hAnsi="Arial" w:cs="Arial"/>
          <w:color w:val="000000"/>
          <w:sz w:val="24"/>
          <w:szCs w:val="24"/>
        </w:rPr>
        <w:t>If the Buyer ceases to be a Central Government Body, the successor body to the Buyer shall still be entitled to the benefit of the licences granted in paragraph 9.2.</w:t>
      </w:r>
    </w:p>
    <w:p w:rsidR="001D6EAF" w:rsidRDefault="005B1483">
      <w:pPr>
        <w:numPr>
          <w:ilvl w:val="1"/>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b/>
          <w:color w:val="000000"/>
          <w:sz w:val="24"/>
          <w:szCs w:val="24"/>
        </w:rPr>
      </w:pPr>
      <w:bookmarkStart w:id="20" w:name="_heading=h.z337ya" w:colFirst="0" w:colLast="0"/>
      <w:bookmarkEnd w:id="20"/>
      <w:r>
        <w:rPr>
          <w:rFonts w:ascii="Arial" w:eastAsia="Arial" w:hAnsi="Arial" w:cs="Arial"/>
          <w:b/>
          <w:color w:val="000000"/>
          <w:sz w:val="24"/>
          <w:szCs w:val="24"/>
        </w:rPr>
        <w:lastRenderedPageBreak/>
        <w:t>Licence granted by the Buyer</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1" w:name="_heading=h.3j2qqm3" w:colFirst="0" w:colLast="0"/>
      <w:bookmarkEnd w:id="21"/>
      <w:r>
        <w:rPr>
          <w:rFonts w:ascii="Arial" w:eastAsia="Arial" w:hAnsi="Arial" w:cs="Arial"/>
          <w:color w:val="000000"/>
          <w:sz w:val="24"/>
          <w:szCs w:val="24"/>
        </w:rPr>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bookmarkStart w:id="22" w:name="_heading=h.1y810tw" w:colFirst="0" w:colLast="0"/>
      <w:bookmarkEnd w:id="22"/>
      <w:r>
        <w:rPr>
          <w:rFonts w:ascii="Arial" w:eastAsia="Arial" w:hAnsi="Arial" w:cs="Arial"/>
          <w:b/>
          <w:color w:val="000000"/>
          <w:sz w:val="24"/>
          <w:szCs w:val="24"/>
        </w:rPr>
        <w:t>Open Source Publication</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3" w:name="_heading=h.4i7ojhp" w:colFirst="0" w:colLast="0"/>
      <w:bookmarkEnd w:id="23"/>
      <w:r>
        <w:rPr>
          <w:rFonts w:ascii="Arial" w:eastAsia="Arial" w:hAnsi="Arial" w:cs="Arial"/>
          <w:color w:val="000000"/>
          <w:sz w:val="24"/>
          <w:szCs w:val="24"/>
        </w:rPr>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suitable for publication by the Buyer as Open Source; and </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based on Open Standards (where applicable),</w:t>
      </w:r>
    </w:p>
    <w:p w:rsidR="001D6EAF" w:rsidRDefault="005B1483">
      <w:pPr>
        <w:pBdr>
          <w:top w:val="nil"/>
          <w:left w:val="nil"/>
          <w:bottom w:val="nil"/>
          <w:right w:val="nil"/>
          <w:between w:val="nil"/>
        </w:pBdr>
        <w:tabs>
          <w:tab w:val="left" w:pos="1985"/>
          <w:tab w:val="left" w:pos="2127"/>
        </w:tabs>
        <w:spacing w:before="120" w:after="120" w:line="240" w:lineRule="auto"/>
        <w:ind w:left="936"/>
        <w:jc w:val="left"/>
        <w:rPr>
          <w:rFonts w:ascii="Arial" w:eastAsia="Arial" w:hAnsi="Arial" w:cs="Arial"/>
          <w:color w:val="000000"/>
          <w:sz w:val="24"/>
          <w:szCs w:val="24"/>
        </w:rPr>
      </w:pPr>
      <w:bookmarkStart w:id="24" w:name="_heading=h.2xcytpi" w:colFirst="0" w:colLast="0"/>
      <w:bookmarkEnd w:id="24"/>
      <w:r>
        <w:rPr>
          <w:rFonts w:ascii="Arial" w:eastAsia="Arial" w:hAnsi="Arial" w:cs="Arial"/>
          <w:color w:val="000000"/>
          <w:sz w:val="24"/>
          <w:szCs w:val="24"/>
        </w:rPr>
        <w:t>and the Buyer may, at its sole discretion, publish the same as Open Source.</w:t>
      </w:r>
    </w:p>
    <w:p w:rsidR="001D6EAF" w:rsidRDefault="005B1483">
      <w:pPr>
        <w:numPr>
          <w:ilvl w:val="2"/>
          <w:numId w:val="2"/>
        </w:numPr>
        <w:pBdr>
          <w:top w:val="nil"/>
          <w:left w:val="nil"/>
          <w:bottom w:val="nil"/>
          <w:right w:val="nil"/>
          <w:between w:val="nil"/>
        </w:pBdr>
        <w:tabs>
          <w:tab w:val="left" w:pos="1985"/>
          <w:tab w:val="left" w:pos="1134"/>
        </w:tabs>
        <w:spacing w:before="120" w:after="120" w:line="240" w:lineRule="auto"/>
        <w:jc w:val="left"/>
        <w:rPr>
          <w:rFonts w:ascii="Arial" w:eastAsia="Arial" w:hAnsi="Arial" w:cs="Arial"/>
          <w:color w:val="000000"/>
          <w:sz w:val="24"/>
          <w:szCs w:val="24"/>
        </w:rPr>
      </w:pPr>
      <w:bookmarkStart w:id="25" w:name="_heading=h.1ci93xb" w:colFirst="0" w:colLast="0"/>
      <w:bookmarkEnd w:id="25"/>
      <w:r>
        <w:rPr>
          <w:rFonts w:ascii="Arial" w:eastAsia="Arial" w:hAnsi="Arial" w:cs="Arial"/>
          <w:color w:val="000000"/>
          <w:sz w:val="24"/>
          <w:szCs w:val="24"/>
        </w:rPr>
        <w:t>The Supplier hereby warrants that the Specially Written Software and the New IPR:</w:t>
      </w:r>
    </w:p>
    <w:p w:rsidR="001D6EAF" w:rsidRDefault="005B1483">
      <w:pPr>
        <w:numPr>
          <w:ilvl w:val="3"/>
          <w:numId w:val="2"/>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1D6EAF" w:rsidRDefault="005B1483">
      <w:pPr>
        <w:numPr>
          <w:ilvl w:val="3"/>
          <w:numId w:val="2"/>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have been developed using reasonable endeavours to ensure that their publication by the Buyer shall not cause any harm or damage to any party using them;</w:t>
      </w:r>
    </w:p>
    <w:p w:rsidR="001D6EAF" w:rsidRDefault="005B1483">
      <w:pPr>
        <w:numPr>
          <w:ilvl w:val="3"/>
          <w:numId w:val="2"/>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do not contain any material which would bring the Buyer into disrepute;</w:t>
      </w:r>
    </w:p>
    <w:p w:rsidR="001D6EAF" w:rsidRDefault="005B1483">
      <w:pPr>
        <w:numPr>
          <w:ilvl w:val="3"/>
          <w:numId w:val="2"/>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can be published as Open Source without breaching the rights of any third party; </w:t>
      </w:r>
    </w:p>
    <w:p w:rsidR="001D6EAF" w:rsidRDefault="005B1483">
      <w:pPr>
        <w:numPr>
          <w:ilvl w:val="3"/>
          <w:numId w:val="2"/>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will be supplied in a format suitable for publication as Open Source ("</w:t>
      </w:r>
      <w:r>
        <w:rPr>
          <w:rFonts w:ascii="Arial" w:eastAsia="Arial" w:hAnsi="Arial" w:cs="Arial"/>
          <w:b/>
          <w:color w:val="000000"/>
          <w:sz w:val="24"/>
          <w:szCs w:val="24"/>
        </w:rPr>
        <w:t>the Open Source Publication Material</w:t>
      </w:r>
      <w:r>
        <w:rPr>
          <w:rFonts w:ascii="Arial" w:eastAsia="Arial" w:hAnsi="Arial" w:cs="Arial"/>
          <w:color w:val="000000"/>
          <w:sz w:val="24"/>
          <w:szCs w:val="24"/>
        </w:rPr>
        <w:t>") no later than the date notified by the Buyer to the Supplier; and</w:t>
      </w:r>
    </w:p>
    <w:p w:rsidR="001D6EAF" w:rsidRDefault="005B1483">
      <w:pPr>
        <w:numPr>
          <w:ilvl w:val="3"/>
          <w:numId w:val="2"/>
        </w:numPr>
        <w:pBdr>
          <w:top w:val="nil"/>
          <w:left w:val="nil"/>
          <w:bottom w:val="nil"/>
          <w:right w:val="nil"/>
          <w:between w:val="nil"/>
        </w:pBdr>
        <w:spacing w:after="220" w:line="240" w:lineRule="auto"/>
        <w:jc w:val="left"/>
        <w:rPr>
          <w:rFonts w:ascii="Arial" w:eastAsia="Arial" w:hAnsi="Arial" w:cs="Arial"/>
          <w:color w:val="000000"/>
          <w:sz w:val="24"/>
          <w:szCs w:val="24"/>
        </w:rPr>
      </w:pPr>
      <w:r>
        <w:rPr>
          <w:rFonts w:ascii="Arial" w:eastAsia="Arial" w:hAnsi="Arial" w:cs="Arial"/>
          <w:color w:val="000000"/>
          <w:sz w:val="24"/>
          <w:szCs w:val="24"/>
        </w:rPr>
        <w:t>do not contain any Malicious Software.</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6" w:name="_heading=h.3whwml4" w:colFirst="0" w:colLast="0"/>
      <w:bookmarkEnd w:id="26"/>
      <w:r>
        <w:rPr>
          <w:rFonts w:ascii="Arial" w:eastAsia="Arial" w:hAnsi="Arial" w:cs="Arial"/>
          <w:color w:val="000000"/>
          <w:sz w:val="24"/>
          <w:szCs w:val="24"/>
        </w:rPr>
        <w:t xml:space="preserve">Where the Buyer has Approved a request by the Supplier for any part of the Specially Written Software or New IPRs to be excluded from </w:t>
      </w:r>
      <w:r>
        <w:rPr>
          <w:rFonts w:ascii="Arial" w:eastAsia="Arial" w:hAnsi="Arial" w:cs="Arial"/>
          <w:color w:val="000000"/>
          <w:sz w:val="24"/>
          <w:szCs w:val="24"/>
        </w:rPr>
        <w:lastRenderedPageBreak/>
        <w:t>the requirement to be in an Open Source format due to the intention to embed or integrate Supplier Existing IPRs and/or Third Party IPRs (and where the Parties agree that such IPRs are not intended to be published as Open Source), the Supplier shall:</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bookmarkStart w:id="27" w:name="_heading=h.2bn6wsx" w:colFirst="0" w:colLast="0"/>
      <w:bookmarkEnd w:id="27"/>
      <w:r>
        <w:rPr>
          <w:rFonts w:ascii="Arial" w:eastAsia="Arial" w:hAnsi="Arial" w:cs="Arial"/>
          <w:color w:val="000000"/>
          <w:sz w:val="24"/>
          <w:szCs w:val="24"/>
        </w:rPr>
        <w:t xml:space="preserve">as soon as reasonably practicable, provide written details of the nature of the IPRs and items or Deliverables based on IPRs which are to be excluded from Open Source publication; and </w:t>
      </w:r>
    </w:p>
    <w:p w:rsidR="001D6EAF" w:rsidRDefault="005B1483">
      <w:pPr>
        <w:numPr>
          <w:ilvl w:val="3"/>
          <w:numId w:val="2"/>
        </w:num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rPr>
      </w:pPr>
      <w:r>
        <w:rPr>
          <w:rFonts w:ascii="Arial" w:eastAsia="Arial" w:hAnsi="Arial" w:cs="Arial"/>
          <w:b/>
          <w:color w:val="000000"/>
          <w:sz w:val="24"/>
          <w:szCs w:val="24"/>
        </w:rPr>
        <w:t>Malicious Software</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8" w:name="_heading=h.qsh70q" w:colFirst="0" w:colLast="0"/>
      <w:bookmarkEnd w:id="28"/>
      <w:r>
        <w:rPr>
          <w:rFonts w:ascii="Arial" w:eastAsia="Arial" w:hAnsi="Arial" w:cs="Arial"/>
          <w:color w:val="000000"/>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bookmarkStart w:id="29" w:name="_heading=h.3as4poj" w:colFirst="0" w:colLast="0"/>
      <w:bookmarkEnd w:id="29"/>
      <w:r>
        <w:rPr>
          <w:rFonts w:ascii="Arial" w:eastAsia="Arial" w:hAnsi="Arial" w:cs="Arial"/>
          <w:color w:val="000000"/>
          <w:sz w:val="24"/>
          <w:szCs w:val="24"/>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rsidR="001D6EAF" w:rsidRDefault="005B1483">
      <w:pPr>
        <w:numPr>
          <w:ilvl w:val="2"/>
          <w:numId w:val="2"/>
        </w:numPr>
        <w:pBdr>
          <w:top w:val="nil"/>
          <w:left w:val="nil"/>
          <w:bottom w:val="nil"/>
          <w:right w:val="nil"/>
          <w:between w:val="nil"/>
        </w:pBdr>
        <w:tabs>
          <w:tab w:val="left" w:pos="1985"/>
          <w:tab w:val="left" w:pos="2127"/>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Any cost arising out of the actions of the Parties taken in compliance with the provisions of paragraph 9.7.2 shall be borne by the Parties as follows:</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rPr>
      </w:pPr>
      <w:r>
        <w:rPr>
          <w:rFonts w:ascii="Arial" w:eastAsia="Arial" w:hAnsi="Arial" w:cs="Arial"/>
          <w:color w:val="000000"/>
          <w:sz w:val="24"/>
          <w:szCs w:val="24"/>
        </w:rPr>
        <w:t>by the Buyer, if the Malicious Software originates from the Buyer Software or the Buyer Data (whilst the Buyer Data was under the control of the Buyer).</w:t>
      </w:r>
    </w:p>
    <w:p w:rsidR="001D6EAF" w:rsidRDefault="005B1483">
      <w:pPr>
        <w:keepNext/>
        <w:numPr>
          <w:ilvl w:val="0"/>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ab/>
        <w:t>[Supplier-Furnished Terms</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ab/>
        <w:t>Software Licence Terms</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Terms for licensing of non-COTS third party software in accordance with Paragraph 9.2.3 are detailed in Part 1A of </w:t>
      </w:r>
      <w:r>
        <w:rPr>
          <w:rFonts w:ascii="Arial" w:eastAsia="Arial" w:hAnsi="Arial" w:cs="Arial"/>
          <w:sz w:val="24"/>
          <w:szCs w:val="24"/>
          <w:highlight w:val="yellow"/>
        </w:rPr>
        <w:t>Call-Off Schedule 23 (Supplier Furnished Terms)</w:t>
      </w:r>
      <w:r>
        <w:rPr>
          <w:rFonts w:ascii="Arial" w:eastAsia="Arial" w:hAnsi="Arial" w:cs="Arial"/>
          <w:color w:val="000000"/>
          <w:sz w:val="24"/>
          <w:szCs w:val="24"/>
          <w:highlight w:val="yellow"/>
        </w:rPr>
        <w:t>.</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lastRenderedPageBreak/>
        <w:t xml:space="preserve">Terms for licensing of COTS software in accordance with Paragraph 9.3 are detailed in Part 1B of </w:t>
      </w:r>
      <w:r>
        <w:rPr>
          <w:rFonts w:ascii="Arial" w:eastAsia="Arial" w:hAnsi="Arial" w:cs="Arial"/>
          <w:sz w:val="24"/>
          <w:szCs w:val="24"/>
          <w:highlight w:val="yellow"/>
        </w:rPr>
        <w:t>Call-Off Schedule 23 (Supplier Furnished Terms)</w:t>
      </w:r>
      <w:r>
        <w:rPr>
          <w:rFonts w:ascii="Arial" w:eastAsia="Arial" w:hAnsi="Arial" w:cs="Arial"/>
          <w:color w:val="000000"/>
          <w:sz w:val="24"/>
          <w:szCs w:val="24"/>
          <w:highlight w:val="yellow"/>
        </w:rPr>
        <w:t>.</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Software as a Service Terms</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Additional terms for provision of a Software as a Service solution are detailed in </w:t>
      </w:r>
      <w:r>
        <w:rPr>
          <w:rFonts w:ascii="Arial" w:eastAsia="Arial" w:hAnsi="Arial" w:cs="Arial"/>
          <w:sz w:val="24"/>
          <w:szCs w:val="24"/>
          <w:highlight w:val="yellow"/>
        </w:rPr>
        <w:t>Part 1C of Call-Off Schedule 23 (Supplier Furnished Terms)</w:t>
      </w:r>
      <w:r>
        <w:rPr>
          <w:rFonts w:ascii="Arial" w:eastAsia="Arial" w:hAnsi="Arial" w:cs="Arial"/>
          <w:color w:val="000000"/>
          <w:sz w:val="24"/>
          <w:szCs w:val="24"/>
          <w:highlight w:val="yellow"/>
        </w:rPr>
        <w:t>.</w:t>
      </w:r>
    </w:p>
    <w:p w:rsidR="001D6EAF" w:rsidRDefault="005B1483">
      <w:pPr>
        <w:numPr>
          <w:ilvl w:val="1"/>
          <w:numId w:val="2"/>
        </w:numPr>
        <w:pBdr>
          <w:top w:val="nil"/>
          <w:left w:val="nil"/>
          <w:bottom w:val="nil"/>
          <w:right w:val="nil"/>
          <w:between w:val="nil"/>
        </w:pBdr>
        <w:tabs>
          <w:tab w:val="left" w:pos="1134"/>
        </w:tabs>
        <w:spacing w:before="120" w:after="12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highlight w:val="yellow"/>
        </w:rPr>
        <w:t>Software Support &amp; Maintenance Terms</w:t>
      </w:r>
    </w:p>
    <w:p w:rsidR="001D6EAF" w:rsidRDefault="005B1483">
      <w:pPr>
        <w:numPr>
          <w:ilvl w:val="3"/>
          <w:numId w:val="2"/>
        </w:numPr>
        <w:pBdr>
          <w:top w:val="nil"/>
          <w:left w:val="nil"/>
          <w:bottom w:val="nil"/>
          <w:right w:val="nil"/>
          <w:between w:val="nil"/>
        </w:pBdr>
        <w:tabs>
          <w:tab w:val="left" w:pos="2552"/>
        </w:tabs>
        <w:spacing w:before="120" w:after="120" w:line="240" w:lineRule="auto"/>
        <w:jc w:val="left"/>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Additional terms for provision of Software Support &amp; Maintenance Services are detailed in </w:t>
      </w:r>
      <w:r>
        <w:rPr>
          <w:rFonts w:ascii="Arial" w:eastAsia="Arial" w:hAnsi="Arial" w:cs="Arial"/>
          <w:sz w:val="24"/>
          <w:szCs w:val="24"/>
          <w:highlight w:val="yellow"/>
        </w:rPr>
        <w:t>Part 1D of Call-Off Schedule 23 (Supplier Furnished Terms)</w:t>
      </w:r>
      <w:r>
        <w:rPr>
          <w:rFonts w:ascii="Arial" w:eastAsia="Arial" w:hAnsi="Arial" w:cs="Arial"/>
          <w:b/>
          <w:color w:val="000000"/>
          <w:sz w:val="24"/>
          <w:szCs w:val="24"/>
          <w:highlight w:val="yellow"/>
        </w:rPr>
        <w:t>]`</w:t>
      </w:r>
    </w:p>
    <w:p w:rsidR="001D6EAF" w:rsidRDefault="001D6EAF">
      <w:pPr>
        <w:pBdr>
          <w:top w:val="nil"/>
          <w:left w:val="nil"/>
          <w:bottom w:val="nil"/>
          <w:right w:val="nil"/>
          <w:between w:val="nil"/>
        </w:pBdr>
        <w:spacing w:line="240" w:lineRule="auto"/>
        <w:jc w:val="left"/>
        <w:rPr>
          <w:rFonts w:ascii="Arial" w:eastAsia="Arial" w:hAnsi="Arial" w:cs="Arial"/>
          <w:b/>
          <w:i/>
          <w:color w:val="000000"/>
          <w:sz w:val="24"/>
          <w:szCs w:val="24"/>
        </w:rPr>
      </w:pPr>
    </w:p>
    <w:sectPr w:rsidR="001D6EAF">
      <w:headerReference w:type="default" r:id="rId8"/>
      <w:footerReference w:type="default" r:id="rId9"/>
      <w:headerReference w:type="first" r:id="rId10"/>
      <w:footerReference w:type="first" r:id="rId11"/>
      <w:pgSz w:w="11909" w:h="16834"/>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B51" w:rsidRDefault="00D40B51">
      <w:pPr>
        <w:spacing w:after="0" w:line="240" w:lineRule="auto"/>
      </w:pPr>
      <w:r>
        <w:separator/>
      </w:r>
    </w:p>
  </w:endnote>
  <w:endnote w:type="continuationSeparator" w:id="0">
    <w:p w:rsidR="00D40B51" w:rsidRDefault="00D4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roman"/>
    <w:notTrueType/>
    <w:pitch w:val="default"/>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AF" w:rsidRDefault="001D6EAF">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p>
  <w:p w:rsidR="001D6EAF" w:rsidRDefault="005B1483">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RM6193</w:t>
    </w:r>
  </w:p>
  <w:p w:rsidR="001D6EAF" w:rsidRDefault="005B1483">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55F48">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1D6EAF" w:rsidRDefault="005B1483">
    <w:pPr>
      <w:pBdr>
        <w:top w:val="nil"/>
        <w:left w:val="nil"/>
        <w:bottom w:val="nil"/>
        <w:right w:val="nil"/>
        <w:between w:val="nil"/>
      </w:pBdr>
      <w:tabs>
        <w:tab w:val="center" w:pos="4153"/>
        <w:tab w:val="right" w:pos="830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AF" w:rsidRDefault="001D6EAF">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p>
  <w:p w:rsidR="001D6EAF" w:rsidRDefault="005B1483">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Framework Ref: RM</w:t>
    </w:r>
    <w:r>
      <w:rPr>
        <w:rFonts w:ascii="Calibri" w:eastAsia="Calibri" w:hAnsi="Calibri" w:cs="Calibri"/>
        <w:color w:val="A6A6A6"/>
      </w:rPr>
      <w:tab/>
      <w:t xml:space="preserve">                                           </w:t>
    </w:r>
  </w:p>
  <w:p w:rsidR="001D6EAF" w:rsidRDefault="005B1483">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Project Version: v1.0</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t>1</w:t>
    </w:r>
  </w:p>
  <w:p w:rsidR="001D6EAF" w:rsidRDefault="005B1483">
    <w:pPr>
      <w:pBdr>
        <w:top w:val="nil"/>
        <w:left w:val="nil"/>
        <w:bottom w:val="nil"/>
        <w:right w:val="nil"/>
        <w:between w:val="nil"/>
      </w:pBdr>
      <w:tabs>
        <w:tab w:val="center" w:pos="4153"/>
        <w:tab w:val="right" w:pos="8306"/>
      </w:tabs>
      <w:spacing w:after="0" w:line="240" w:lineRule="auto"/>
      <w:rPr>
        <w:color w:val="A6A6A6"/>
      </w:rPr>
    </w:pPr>
    <w:r>
      <w:rPr>
        <w:rFonts w:ascii="Calibri" w:eastAsia="Calibri" w:hAnsi="Calibri" w:cs="Calibri"/>
        <w:color w:val="A6A6A6"/>
      </w:rPr>
      <w:t>Model Version: v2.9</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B51" w:rsidRDefault="00D40B51">
      <w:pPr>
        <w:spacing w:after="0" w:line="240" w:lineRule="auto"/>
      </w:pPr>
      <w:r>
        <w:separator/>
      </w:r>
    </w:p>
  </w:footnote>
  <w:footnote w:type="continuationSeparator" w:id="0">
    <w:p w:rsidR="00D40B51" w:rsidRDefault="00D40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AF" w:rsidRDefault="005B1483">
    <w:pPr>
      <w:tabs>
        <w:tab w:val="center" w:pos="4513"/>
        <w:tab w:val="right" w:pos="9026"/>
      </w:tabs>
      <w:spacing w:after="0" w:line="240" w:lineRule="auto"/>
      <w:rPr>
        <w:rFonts w:ascii="Arial" w:eastAsia="Arial" w:hAnsi="Arial" w:cs="Arial"/>
        <w:sz w:val="20"/>
        <w:szCs w:val="20"/>
      </w:rPr>
    </w:pPr>
    <w:r>
      <w:rPr>
        <w:rFonts w:ascii="Arial" w:eastAsia="Arial" w:hAnsi="Arial" w:cs="Arial"/>
        <w:b/>
        <w:sz w:val="20"/>
        <w:szCs w:val="20"/>
      </w:rPr>
      <w:t>Call-Off Schedule 6 (ICT Services)</w:t>
    </w:r>
  </w:p>
  <w:p w:rsidR="001D6EAF" w:rsidRDefault="005B14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Call-Off Ref:</w:t>
    </w:r>
  </w:p>
  <w:p w:rsidR="001D6EAF" w:rsidRDefault="005B14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2020</w:t>
    </w:r>
  </w:p>
  <w:p w:rsidR="001D6EAF" w:rsidRDefault="001D6EAF">
    <w:pPr>
      <w:pBdr>
        <w:top w:val="nil"/>
        <w:left w:val="nil"/>
        <w:bottom w:val="nil"/>
        <w:right w:val="nil"/>
        <w:between w:val="nil"/>
      </w:pBdr>
      <w:tabs>
        <w:tab w:val="center" w:pos="4153"/>
        <w:tab w:val="right" w:pos="8306"/>
      </w:tabs>
      <w:spacing w:after="0"/>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AF" w:rsidRDefault="001D6EAF">
    <w:pPr>
      <w:tabs>
        <w:tab w:val="center" w:pos="4513"/>
        <w:tab w:val="right" w:pos="9026"/>
      </w:tabs>
      <w:spacing w:after="0" w:line="240" w:lineRule="auto"/>
      <w:rPr>
        <w:rFonts w:ascii="Calibri" w:eastAsia="Calibri" w:hAnsi="Calibri" w:cs="Calibri"/>
      </w:rPr>
    </w:pPr>
  </w:p>
  <w:p w:rsidR="001D6EAF" w:rsidRDefault="001D6EA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5A5"/>
    <w:multiLevelType w:val="multilevel"/>
    <w:tmpl w:val="06C64FC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502374"/>
    <w:multiLevelType w:val="multilevel"/>
    <w:tmpl w:val="7F64A578"/>
    <w:lvl w:ilvl="0">
      <w:start w:val="1"/>
      <w:numFmt w:val="decimal"/>
      <w:pStyle w:val="BodyTextIndent"/>
      <w:lvlText w:val="%1."/>
      <w:lvlJc w:val="left"/>
      <w:pPr>
        <w:tabs>
          <w:tab w:val="num" w:pos="720"/>
        </w:tabs>
        <w:ind w:left="720" w:hanging="720"/>
      </w:pPr>
    </w:lvl>
    <w:lvl w:ilvl="1">
      <w:start w:val="1"/>
      <w:numFmt w:val="decimal"/>
      <w:pStyle w:val="BodyTextIndent2"/>
      <w:lvlText w:val="%2."/>
      <w:lvlJc w:val="left"/>
      <w:pPr>
        <w:tabs>
          <w:tab w:val="num" w:pos="1440"/>
        </w:tabs>
        <w:ind w:left="1440" w:hanging="720"/>
      </w:pPr>
    </w:lvl>
    <w:lvl w:ilvl="2">
      <w:start w:val="1"/>
      <w:numFmt w:val="decimal"/>
      <w:pStyle w:val="DefinitionNumbering1"/>
      <w:lvlText w:val="%3."/>
      <w:lvlJc w:val="left"/>
      <w:pPr>
        <w:tabs>
          <w:tab w:val="num" w:pos="2160"/>
        </w:tabs>
        <w:ind w:left="2160" w:hanging="720"/>
      </w:pPr>
    </w:lvl>
    <w:lvl w:ilvl="3">
      <w:start w:val="1"/>
      <w:numFmt w:val="decimal"/>
      <w:pStyle w:val="DefinitionNumbering2"/>
      <w:lvlText w:val="%4."/>
      <w:lvlJc w:val="left"/>
      <w:pPr>
        <w:tabs>
          <w:tab w:val="num" w:pos="2880"/>
        </w:tabs>
        <w:ind w:left="2880" w:hanging="720"/>
      </w:pPr>
    </w:lvl>
    <w:lvl w:ilvl="4">
      <w:start w:val="1"/>
      <w:numFmt w:val="decimal"/>
      <w:pStyle w:val="DefinitionNumbering3"/>
      <w:lvlText w:val="%5."/>
      <w:lvlJc w:val="left"/>
      <w:pPr>
        <w:tabs>
          <w:tab w:val="num" w:pos="3600"/>
        </w:tabs>
        <w:ind w:left="3600" w:hanging="720"/>
      </w:pPr>
    </w:lvl>
    <w:lvl w:ilvl="5">
      <w:start w:val="1"/>
      <w:numFmt w:val="decimal"/>
      <w:pStyle w:val="DefinitionNumbering4"/>
      <w:lvlText w:val="%6."/>
      <w:lvlJc w:val="left"/>
      <w:pPr>
        <w:tabs>
          <w:tab w:val="num" w:pos="4320"/>
        </w:tabs>
        <w:ind w:left="4320" w:hanging="720"/>
      </w:pPr>
    </w:lvl>
    <w:lvl w:ilvl="6">
      <w:start w:val="1"/>
      <w:numFmt w:val="decimal"/>
      <w:pStyle w:val="DefinitionNumbering5"/>
      <w:lvlText w:val="%7."/>
      <w:lvlJc w:val="left"/>
      <w:pPr>
        <w:tabs>
          <w:tab w:val="num" w:pos="5040"/>
        </w:tabs>
        <w:ind w:left="5040" w:hanging="720"/>
      </w:pPr>
    </w:lvl>
    <w:lvl w:ilvl="7">
      <w:start w:val="1"/>
      <w:numFmt w:val="decimal"/>
      <w:pStyle w:val="DefinitionNumbering6"/>
      <w:lvlText w:val="%8."/>
      <w:lvlJc w:val="left"/>
      <w:pPr>
        <w:tabs>
          <w:tab w:val="num" w:pos="5760"/>
        </w:tabs>
        <w:ind w:left="5760" w:hanging="720"/>
      </w:pPr>
    </w:lvl>
    <w:lvl w:ilvl="8">
      <w:start w:val="1"/>
      <w:numFmt w:val="decimal"/>
      <w:pStyle w:val="DefinitionNumbering7"/>
      <w:lvlText w:val="%9."/>
      <w:lvlJc w:val="left"/>
      <w:pPr>
        <w:tabs>
          <w:tab w:val="num" w:pos="6480"/>
        </w:tabs>
        <w:ind w:left="6480" w:hanging="720"/>
      </w:pPr>
    </w:lvl>
  </w:abstractNum>
  <w:abstractNum w:abstractNumId="2" w15:restartNumberingAfterBreak="0">
    <w:nsid w:val="5DB25234"/>
    <w:multiLevelType w:val="multilevel"/>
    <w:tmpl w:val="DCB6AAD2"/>
    <w:lvl w:ilvl="0">
      <w:start w:val="1"/>
      <w:numFmt w:val="decimal"/>
      <w:pStyle w:val="AppHead"/>
      <w:lvlText w:val="%1"/>
      <w:lvlJc w:val="left"/>
      <w:pPr>
        <w:ind w:left="170" w:hanging="170"/>
      </w:pPr>
      <w:rPr>
        <w:rFonts w:ascii="Arial" w:eastAsia="Arial" w:hAnsi="Arial" w:cs="Arial"/>
        <w:sz w:val="22"/>
        <w:szCs w:val="22"/>
      </w:rPr>
    </w:lvl>
    <w:lvl w:ilvl="1">
      <w:start w:val="1"/>
      <w:numFmt w:val="lowerLetter"/>
      <w:pStyle w:val="AppPart"/>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7EB50FB"/>
    <w:multiLevelType w:val="multilevel"/>
    <w:tmpl w:val="FCC25804"/>
    <w:lvl w:ilvl="0">
      <w:start w:val="1"/>
      <w:numFmt w:val="lowerLetter"/>
      <w:lvlText w:val="%1)"/>
      <w:lvlJc w:val="left"/>
      <w:pPr>
        <w:ind w:left="2346" w:hanging="360"/>
      </w:pPr>
    </w:lvl>
    <w:lvl w:ilvl="1">
      <w:start w:val="1"/>
      <w:numFmt w:val="lowerLetter"/>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4" w15:restartNumberingAfterBreak="0">
    <w:nsid w:val="7C651514"/>
    <w:multiLevelType w:val="multilevel"/>
    <w:tmpl w:val="BF7C7562"/>
    <w:lvl w:ilvl="0">
      <w:start w:val="1"/>
      <w:numFmt w:val="decimal"/>
      <w:pStyle w:val="Heading1"/>
      <w:lvlText w:val="%1."/>
      <w:lvlJc w:val="left"/>
      <w:pPr>
        <w:ind w:left="360" w:hanging="360"/>
      </w:pPr>
    </w:lvl>
    <w:lvl w:ilvl="1">
      <w:start w:val="1"/>
      <w:numFmt w:val="decimal"/>
      <w:pStyle w:val="Heading2"/>
      <w:lvlText w:val="%1.%2."/>
      <w:lvlJc w:val="left"/>
      <w:pPr>
        <w:ind w:left="936" w:hanging="576"/>
      </w:pPr>
      <w:rPr>
        <w:b w:val="0"/>
      </w:rPr>
    </w:lvl>
    <w:lvl w:ilvl="2">
      <w:start w:val="1"/>
      <w:numFmt w:val="decimal"/>
      <w:pStyle w:val="Heading3"/>
      <w:lvlText w:val="%1.%2.%3."/>
      <w:lvlJc w:val="left"/>
      <w:pPr>
        <w:ind w:left="1656" w:hanging="720"/>
      </w:pPr>
    </w:lvl>
    <w:lvl w:ilvl="3">
      <w:start w:val="1"/>
      <w:numFmt w:val="decimal"/>
      <w:pStyle w:val="Heading4"/>
      <w:lvlText w:val="%1.%2.%3.%4."/>
      <w:lvlJc w:val="left"/>
      <w:pPr>
        <w:ind w:left="2592" w:hanging="936"/>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4"/>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AF"/>
    <w:rsid w:val="001D6EAF"/>
    <w:rsid w:val="005B1483"/>
    <w:rsid w:val="00A269EE"/>
    <w:rsid w:val="00A55F48"/>
    <w:rsid w:val="00D4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FE40E-CED9-4AF1-8F2A-D30486AA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ouseStyleBase"/>
    <w:link w:val="Heading1Char"/>
    <w:uiPriority w:val="9"/>
    <w:qFormat/>
    <w:pPr>
      <w:numPr>
        <w:numId w:val="2"/>
      </w:numPr>
      <w:outlineLvl w:val="0"/>
    </w:pPr>
  </w:style>
  <w:style w:type="paragraph" w:styleId="Heading2">
    <w:name w:val="heading 2"/>
    <w:basedOn w:val="HouseStyleBase"/>
    <w:link w:val="Heading2Char"/>
    <w:uiPriority w:val="9"/>
    <w:semiHidden/>
    <w:unhideWhenUsed/>
    <w:qFormat/>
    <w:pPr>
      <w:numPr>
        <w:ilvl w:val="1"/>
        <w:numId w:val="2"/>
      </w:numPr>
      <w:outlineLvl w:val="1"/>
    </w:pPr>
    <w:rPr>
      <w:rFonts w:ascii="Calibri" w:hAnsi="Calibri"/>
    </w:rPr>
  </w:style>
  <w:style w:type="paragraph" w:styleId="Heading3">
    <w:name w:val="heading 3"/>
    <w:basedOn w:val="HouseStyleBase"/>
    <w:link w:val="Heading3Char"/>
    <w:uiPriority w:val="9"/>
    <w:semiHidden/>
    <w:unhideWhenUsed/>
    <w:qFormat/>
    <w:pPr>
      <w:numPr>
        <w:ilvl w:val="2"/>
        <w:numId w:val="2"/>
      </w:numPr>
      <w:outlineLvl w:val="2"/>
    </w:pPr>
  </w:style>
  <w:style w:type="paragraph" w:styleId="Heading4">
    <w:name w:val="heading 4"/>
    <w:basedOn w:val="HouseStyleBase"/>
    <w:link w:val="Heading4Char"/>
    <w:uiPriority w:val="9"/>
    <w:semiHidden/>
    <w:unhideWhenUsed/>
    <w:qFormat/>
    <w:pPr>
      <w:numPr>
        <w:ilvl w:val="3"/>
        <w:numId w:val="2"/>
      </w:numPr>
      <w:outlineLvl w:val="3"/>
    </w:pPr>
  </w:style>
  <w:style w:type="paragraph" w:styleId="Heading5">
    <w:name w:val="heading 5"/>
    <w:basedOn w:val="HouseStyleBase"/>
    <w:link w:val="Heading5Char"/>
    <w:uiPriority w:val="9"/>
    <w:semiHidden/>
    <w:unhideWhenUsed/>
    <w:qFormat/>
    <w:pPr>
      <w:numPr>
        <w:ilvl w:val="4"/>
        <w:numId w:val="2"/>
      </w:numPr>
      <w:outlineLvl w:val="4"/>
    </w:pPr>
  </w:style>
  <w:style w:type="paragraph" w:styleId="Heading6">
    <w:name w:val="heading 6"/>
    <w:basedOn w:val="HouseStyleBase"/>
    <w:uiPriority w:val="9"/>
    <w:semiHidden/>
    <w:unhideWhenUsed/>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Arial" w:hAnsi="Arial"/>
      <w:b/>
      <w:kern w:val="28"/>
      <w:sz w:val="32"/>
    </w:rPr>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5"/>
      </w:numPr>
    </w:pPr>
    <w:rPr>
      <w:rFonts w:ascii="Calibri" w:hAnsi="Calibri"/>
    </w:rPr>
  </w:style>
  <w:style w:type="paragraph" w:styleId="BodyTextIndent2">
    <w:name w:val="Body Text Indent 2"/>
    <w:basedOn w:val="HouseStyleBase"/>
    <w:link w:val="BodyTextIndent2Char"/>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tabs>
        <w:tab w:val="num" w:pos="720"/>
      </w:tabs>
      <w:ind w:left="720" w:hanging="720"/>
      <w:jc w:val="center"/>
      <w:outlineLvl w:val="0"/>
    </w:pPr>
    <w:rPr>
      <w:b/>
      <w:caps/>
    </w:rPr>
  </w:style>
  <w:style w:type="paragraph" w:customStyle="1" w:styleId="ScheduleL1">
    <w:name w:val="Schedule L1"/>
    <w:basedOn w:val="HouseStyleBase"/>
    <w:pPr>
      <w:keepNext/>
      <w:tabs>
        <w:tab w:val="num" w:pos="720"/>
      </w:tabs>
      <w:ind w:left="720" w:hanging="720"/>
      <w:outlineLvl w:val="0"/>
    </w:pPr>
    <w:rPr>
      <w:rFonts w:ascii="Calibri" w:hAnsi="Calibri"/>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ListBullet2">
    <w:name w:val="List Bullet 2"/>
    <w:basedOn w:val="HouseStyleBase"/>
    <w:pPr>
      <w:tabs>
        <w:tab w:val="num" w:pos="1440"/>
      </w:tabs>
      <w:ind w:left="1440" w:hanging="720"/>
    </w:pPr>
  </w:style>
  <w:style w:type="paragraph" w:customStyle="1" w:styleId="HouseStyleBase">
    <w:name w:val="House Style Base"/>
    <w:link w:val="HouseStyleBaseChar"/>
    <w:pPr>
      <w:adjustRightInd w:val="0"/>
    </w:pPr>
    <w:rPr>
      <w:rFonts w:eastAsia="STZhongsong"/>
      <w:lang w:eastAsia="zh-CN"/>
    </w:rPr>
  </w:style>
  <w:style w:type="numbering" w:styleId="111111">
    <w:name w:val="Outline List 2"/>
    <w:basedOn w:val="NoList"/>
  </w:style>
  <w:style w:type="paragraph" w:styleId="TOC1">
    <w:name w:val="toc 1"/>
    <w:semiHidden/>
    <w:pPr>
      <w:tabs>
        <w:tab w:val="left" w:pos="720"/>
        <w:tab w:val="right" w:leader="dot" w:pos="9029"/>
      </w:tabs>
      <w:adjustRightInd w:val="0"/>
      <w:spacing w:after="120"/>
      <w:ind w:left="720" w:hanging="720"/>
    </w:pPr>
    <w:rPr>
      <w:rFonts w:eastAsia="STZhongsong"/>
      <w:caps/>
      <w:lang w:eastAsia="zh-CN"/>
    </w:rPr>
  </w:style>
  <w:style w:type="paragraph" w:styleId="TOC2">
    <w:name w:val="toc 2"/>
    <w:semiHidden/>
    <w:pPr>
      <w:tabs>
        <w:tab w:val="left" w:pos="1440"/>
        <w:tab w:val="right" w:leader="dot" w:pos="9029"/>
      </w:tabs>
      <w:adjustRightInd w:val="0"/>
      <w:spacing w:after="120"/>
      <w:ind w:left="1440" w:hanging="720"/>
    </w:pPr>
    <w:rPr>
      <w:rFonts w:eastAsia="STZhongsong"/>
      <w:lang w:eastAsia="zh-CN"/>
    </w:rPr>
  </w:style>
  <w:style w:type="paragraph" w:styleId="TOC3">
    <w:name w:val="toc 3"/>
    <w:semiHidden/>
    <w:pPr>
      <w:tabs>
        <w:tab w:val="left" w:pos="2160"/>
        <w:tab w:val="right" w:leader="dot" w:pos="9029"/>
      </w:tabs>
      <w:adjustRightInd w:val="0"/>
      <w:spacing w:after="120"/>
      <w:ind w:left="2160" w:hanging="720"/>
    </w:pPr>
    <w:rPr>
      <w:rFonts w:eastAsia="STZhongsong"/>
      <w:lang w:eastAsia="zh-CN"/>
    </w:rPr>
  </w:style>
  <w:style w:type="paragraph" w:styleId="TOC4">
    <w:name w:val="toc 4"/>
    <w:semiHidden/>
    <w:pPr>
      <w:tabs>
        <w:tab w:val="left" w:pos="2880"/>
        <w:tab w:val="right" w:leader="dot" w:pos="9029"/>
      </w:tabs>
      <w:adjustRightInd w:val="0"/>
      <w:spacing w:after="120"/>
      <w:ind w:left="2880" w:hanging="720"/>
    </w:pPr>
    <w:rPr>
      <w:rFonts w:eastAsia="STZhongsong"/>
      <w:lang w:eastAsia="zh-CN"/>
    </w:rPr>
  </w:style>
  <w:style w:type="paragraph" w:styleId="TOC5">
    <w:name w:val="toc 5"/>
    <w:semiHidden/>
    <w:pPr>
      <w:tabs>
        <w:tab w:val="left" w:pos="3600"/>
        <w:tab w:val="right" w:leader="dot" w:pos="9029"/>
      </w:tabs>
      <w:adjustRightInd w:val="0"/>
      <w:spacing w:after="120"/>
      <w:ind w:left="3600" w:hanging="720"/>
    </w:pPr>
    <w:rPr>
      <w:rFonts w:eastAsia="STZhongsong"/>
      <w:lang w:eastAsia="zh-CN"/>
    </w:rPr>
  </w:style>
  <w:style w:type="paragraph" w:styleId="TOC6">
    <w:name w:val="toc 6"/>
    <w:semiHidden/>
    <w:pPr>
      <w:tabs>
        <w:tab w:val="left" w:pos="4320"/>
        <w:tab w:val="right" w:leader="dot" w:pos="9029"/>
      </w:tabs>
      <w:adjustRightInd w:val="0"/>
      <w:spacing w:after="120"/>
      <w:ind w:left="4320" w:hanging="720"/>
    </w:pPr>
    <w:rPr>
      <w:rFonts w:eastAsia="STZhongsong"/>
      <w:lang w:eastAsia="zh-CN"/>
    </w:rPr>
  </w:style>
  <w:style w:type="paragraph" w:styleId="TOC7">
    <w:name w:val="toc 7"/>
    <w:semiHidden/>
    <w:pPr>
      <w:tabs>
        <w:tab w:val="left" w:pos="5040"/>
        <w:tab w:val="right" w:leader="dot" w:pos="9029"/>
      </w:tabs>
      <w:adjustRightInd w:val="0"/>
      <w:spacing w:after="120"/>
      <w:ind w:left="5040" w:hanging="720"/>
    </w:pPr>
    <w:rPr>
      <w:rFonts w:eastAsia="STZhongsong"/>
      <w:lang w:eastAsia="zh-CN"/>
    </w:rPr>
  </w:style>
  <w:style w:type="paragraph" w:styleId="TOC8">
    <w:name w:val="toc 8"/>
    <w:semiHidden/>
    <w:pPr>
      <w:tabs>
        <w:tab w:val="right" w:leader="dot" w:pos="9029"/>
      </w:tabs>
      <w:adjustRightInd w:val="0"/>
      <w:spacing w:after="120"/>
    </w:pPr>
    <w:rPr>
      <w:rFonts w:eastAsia="STZhongsong"/>
      <w:caps/>
      <w:lang w:eastAsia="zh-CN"/>
    </w:rPr>
  </w:style>
  <w:style w:type="paragraph" w:styleId="TOC9">
    <w:name w:val="toc 9"/>
    <w:semiHidden/>
    <w:pPr>
      <w:tabs>
        <w:tab w:val="right" w:leader="dot" w:pos="9029"/>
      </w:tabs>
      <w:adjustRightInd w:val="0"/>
      <w:spacing w:after="120"/>
      <w:ind w:left="720"/>
    </w:pPr>
    <w:rPr>
      <w:rFonts w:eastAsia="STZhongsong"/>
      <w:lang w:eastAsia="zh-CN"/>
    </w:rPr>
  </w:style>
  <w:style w:type="paragraph" w:customStyle="1" w:styleId="HouseStyleBaseCentred">
    <w:name w:val="House Style Base Centred"/>
    <w:pPr>
      <w:adjustRightInd w:val="0"/>
    </w:pPr>
    <w:rPr>
      <w:rFonts w:eastAsia="STZhongsong"/>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tabs>
        <w:tab w:val="num" w:pos="720"/>
      </w:tabs>
      <w:ind w:left="720" w:hanging="720"/>
      <w:outlineLvl w:val="0"/>
    </w:pPr>
  </w:style>
  <w:style w:type="paragraph" w:customStyle="1" w:styleId="DefinitionNumbering1">
    <w:name w:val="Definition Numbering 1"/>
    <w:basedOn w:val="HouseStyleBase"/>
    <w:pPr>
      <w:numPr>
        <w:ilvl w:val="2"/>
        <w:numId w:val="5"/>
      </w:numPr>
      <w:spacing w:after="120"/>
      <w:outlineLvl w:val="0"/>
    </w:pPr>
    <w:rPr>
      <w:rFonts w:ascii="Calibri" w:hAnsi="Calibri"/>
    </w:r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tabs>
        <w:tab w:val="num" w:pos="5760"/>
      </w:tabs>
      <w:ind w:left="5760" w:hanging="720"/>
      <w:outlineLvl w:val="7"/>
    </w:pPr>
  </w:style>
  <w:style w:type="paragraph" w:customStyle="1" w:styleId="DefinitionNumbering9">
    <w:name w:val="Definition Numbering 9"/>
    <w:basedOn w:val="HouseStyleBase"/>
    <w:pPr>
      <w:tabs>
        <w:tab w:val="num" w:pos="6480"/>
      </w:tabs>
      <w:ind w:left="6480" w:hanging="720"/>
      <w:outlineLvl w:val="8"/>
    </w:pPr>
  </w:style>
  <w:style w:type="paragraph" w:customStyle="1" w:styleId="ListBullet1">
    <w:name w:val="List Bullet 1"/>
    <w:basedOn w:val="HouseStyleBase"/>
    <w:pPr>
      <w:tabs>
        <w:tab w:val="num" w:pos="720"/>
      </w:tabs>
      <w:ind w:left="720" w:hanging="720"/>
    </w:pPr>
  </w:style>
  <w:style w:type="paragraph" w:styleId="ListBullet3">
    <w:name w:val="List Bullet 3"/>
    <w:basedOn w:val="HouseStyleBase"/>
    <w:pPr>
      <w:tabs>
        <w:tab w:val="num" w:pos="2160"/>
      </w:tabs>
      <w:ind w:left="2160" w:hanging="720"/>
    </w:pPr>
  </w:style>
  <w:style w:type="paragraph" w:styleId="ListBullet4">
    <w:name w:val="List Bullet 4"/>
    <w:basedOn w:val="HouseStyleBase"/>
    <w:pPr>
      <w:tabs>
        <w:tab w:val="num" w:pos="2880"/>
      </w:tabs>
      <w:ind w:left="2880" w:hanging="720"/>
    </w:pPr>
  </w:style>
  <w:style w:type="paragraph" w:styleId="ListBullet5">
    <w:name w:val="List Bullet 5"/>
    <w:basedOn w:val="HouseStyleBase"/>
    <w:pPr>
      <w:tabs>
        <w:tab w:val="num" w:pos="3600"/>
      </w:tabs>
      <w:ind w:left="3600" w:hanging="720"/>
    </w:pPr>
  </w:style>
  <w:style w:type="paragraph" w:customStyle="1" w:styleId="ListBullet6">
    <w:name w:val="List Bullet 6"/>
    <w:basedOn w:val="HouseStyleBase"/>
    <w:pPr>
      <w:tabs>
        <w:tab w:val="num" w:pos="4320"/>
      </w:tabs>
      <w:ind w:left="4320" w:hanging="720"/>
    </w:pPr>
  </w:style>
  <w:style w:type="paragraph" w:customStyle="1" w:styleId="ListBullet7">
    <w:name w:val="List Bullet 7"/>
    <w:basedOn w:val="HouseStyleBase"/>
    <w:pPr>
      <w:tabs>
        <w:tab w:val="num" w:pos="5040"/>
      </w:tabs>
      <w:ind w:left="5040" w:hanging="720"/>
    </w:pPr>
  </w:style>
  <w:style w:type="paragraph" w:customStyle="1" w:styleId="ListBullet8">
    <w:name w:val="List Bullet 8"/>
    <w:basedOn w:val="HouseStyleBase"/>
    <w:pPr>
      <w:tabs>
        <w:tab w:val="num" w:pos="5760"/>
      </w:tabs>
      <w:ind w:left="5760" w:hanging="720"/>
    </w:pPr>
  </w:style>
  <w:style w:type="paragraph" w:customStyle="1" w:styleId="ListBullet9">
    <w:name w:val="List Bullet 9"/>
    <w:basedOn w:val="HouseStyleBase"/>
    <w:pPr>
      <w:tabs>
        <w:tab w:val="num" w:pos="6480"/>
      </w:tabs>
      <w:ind w:left="6480" w:hanging="720"/>
    </w:pPr>
  </w:style>
  <w:style w:type="paragraph" w:customStyle="1" w:styleId="SchPart">
    <w:name w:val="SchPart"/>
    <w:basedOn w:val="HouseStyleBaseCentred"/>
    <w:next w:val="MarginText"/>
    <w:pPr>
      <w:keepNext/>
      <w:tabs>
        <w:tab w:val="num" w:pos="1440"/>
      </w:tabs>
      <w:ind w:left="1440" w:hanging="720"/>
      <w:jc w:val="center"/>
      <w:outlineLvl w:val="1"/>
    </w:pPr>
    <w:rPr>
      <w:b/>
    </w:rPr>
  </w:style>
  <w:style w:type="paragraph" w:customStyle="1" w:styleId="ScheduleL2">
    <w:name w:val="Schedule L2"/>
    <w:basedOn w:val="HouseStyleBase"/>
    <w:pPr>
      <w:tabs>
        <w:tab w:val="num" w:pos="1440"/>
      </w:tabs>
      <w:ind w:left="1440" w:hanging="720"/>
      <w:outlineLvl w:val="1"/>
    </w:pPr>
    <w:rPr>
      <w:rFonts w:ascii="Calibri" w:hAnsi="Calibri"/>
    </w:rPr>
  </w:style>
  <w:style w:type="paragraph" w:customStyle="1" w:styleId="ScheduleL3">
    <w:name w:val="Schedule L3"/>
    <w:basedOn w:val="HouseStyleBase"/>
    <w:pPr>
      <w:tabs>
        <w:tab w:val="num" w:pos="2160"/>
      </w:tabs>
      <w:ind w:left="2160" w:hanging="720"/>
      <w:outlineLvl w:val="2"/>
    </w:pPr>
    <w:rPr>
      <w:rFonts w:ascii="Calibri" w:hAnsi="Calibri"/>
    </w:rPr>
  </w:style>
  <w:style w:type="paragraph" w:customStyle="1" w:styleId="ScheduleL4">
    <w:name w:val="Schedule L4"/>
    <w:basedOn w:val="HouseStyleBase"/>
    <w:pPr>
      <w:tabs>
        <w:tab w:val="num" w:pos="2880"/>
      </w:tabs>
      <w:ind w:left="2880" w:hanging="720"/>
      <w:outlineLvl w:val="3"/>
    </w:pPr>
  </w:style>
  <w:style w:type="paragraph" w:customStyle="1" w:styleId="ScheduleL5">
    <w:name w:val="Schedule L5"/>
    <w:basedOn w:val="HouseStyleBase"/>
    <w:pPr>
      <w:tabs>
        <w:tab w:val="num" w:pos="3600"/>
      </w:tabs>
      <w:ind w:left="3600" w:hanging="720"/>
      <w:outlineLvl w:val="4"/>
    </w:pPr>
  </w:style>
  <w:style w:type="paragraph" w:customStyle="1" w:styleId="ScheduleL6">
    <w:name w:val="Schedule L6"/>
    <w:basedOn w:val="HouseStyleBase"/>
    <w:pPr>
      <w:tabs>
        <w:tab w:val="num" w:pos="4320"/>
      </w:tabs>
      <w:ind w:left="4320" w:hanging="720"/>
      <w:outlineLvl w:val="5"/>
    </w:pPr>
  </w:style>
  <w:style w:type="paragraph" w:customStyle="1" w:styleId="ScheduleL7">
    <w:name w:val="Schedule L7"/>
    <w:basedOn w:val="HouseStyleBase"/>
    <w:pPr>
      <w:tabs>
        <w:tab w:val="num" w:pos="5040"/>
      </w:tabs>
      <w:ind w:left="5040" w:hanging="720"/>
      <w:outlineLvl w:val="6"/>
    </w:pPr>
  </w:style>
  <w:style w:type="paragraph" w:customStyle="1" w:styleId="ScheduleL8">
    <w:name w:val="Schedule L8"/>
    <w:basedOn w:val="HouseStyleBase"/>
    <w:pPr>
      <w:tabs>
        <w:tab w:val="num" w:pos="5760"/>
      </w:tabs>
      <w:ind w:left="5760" w:hanging="720"/>
      <w:outlineLvl w:val="7"/>
    </w:pPr>
  </w:style>
  <w:style w:type="paragraph" w:customStyle="1" w:styleId="ScheduleL9">
    <w:name w:val="Schedule L9"/>
    <w:basedOn w:val="HouseStyleBase"/>
    <w:pPr>
      <w:tabs>
        <w:tab w:val="num" w:pos="6480"/>
      </w:tabs>
      <w:ind w:left="6480" w:hanging="720"/>
      <w:outlineLvl w:val="8"/>
    </w:pPr>
  </w:style>
  <w:style w:type="paragraph" w:customStyle="1" w:styleId="SchSection">
    <w:name w:val="SchSection"/>
    <w:basedOn w:val="HouseStyleBaseCentred"/>
    <w:next w:val="MarginText"/>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pPr>
      <w:tabs>
        <w:tab w:val="num" w:pos="2160"/>
      </w:tabs>
      <w:overflowPunct w:val="0"/>
      <w:autoSpaceDE w:val="0"/>
      <w:autoSpaceDN w:val="0"/>
      <w:ind w:left="2160" w:hanging="72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uiPriority w:val="99"/>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ascii="Calibri" w:eastAsia="STZhongsong" w:hAnsi="Calibri"/>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tabs>
        <w:tab w:val="num" w:pos="720"/>
      </w:tabs>
      <w:ind w:left="720" w:hanging="720"/>
      <w:contextualSpacing/>
    </w:pPr>
  </w:style>
  <w:style w:type="paragraph" w:styleId="ListNumber2">
    <w:name w:val="List Number 2"/>
    <w:basedOn w:val="Normal"/>
    <w:pPr>
      <w:tabs>
        <w:tab w:val="num" w:pos="720"/>
      </w:tabs>
      <w:ind w:left="720" w:hanging="720"/>
      <w:contextualSpacing/>
    </w:pPr>
  </w:style>
  <w:style w:type="paragraph" w:styleId="ListNumber3">
    <w:name w:val="List Number 3"/>
    <w:basedOn w:val="Normal"/>
    <w:pPr>
      <w:tabs>
        <w:tab w:val="num" w:pos="720"/>
      </w:tabs>
      <w:ind w:left="720" w:hanging="720"/>
      <w:contextualSpacing/>
    </w:pPr>
  </w:style>
  <w:style w:type="paragraph" w:styleId="ListNumber4">
    <w:name w:val="List Number 4"/>
    <w:basedOn w:val="Normal"/>
    <w:pPr>
      <w:tabs>
        <w:tab w:val="num" w:pos="720"/>
      </w:tabs>
      <w:ind w:left="720" w:hanging="720"/>
      <w:contextualSpacing/>
    </w:pPr>
  </w:style>
  <w:style w:type="paragraph" w:styleId="ListNumber5">
    <w:name w:val="List Number 5"/>
    <w:basedOn w:val="Normal"/>
    <w:pPr>
      <w:tabs>
        <w:tab w:val="num" w:pos="720"/>
      </w:tabs>
      <w:ind w:left="720" w:hanging="720"/>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textAlignment w:val="baseline"/>
    </w:p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pPr>
      <w:spacing w:after="60"/>
      <w:jc w:val="center"/>
    </w:pPr>
    <w:rPr>
      <w:rFonts w:ascii="Cambria" w:eastAsia="Cambria" w:hAnsi="Cambria" w:cs="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textAlignment w:val="baseline"/>
      <w:outlineLvl w:val="9"/>
    </w:pPr>
    <w:rPr>
      <w:rFonts w:ascii="Cambria" w:eastAsia="Times New Roman" w:hAnsi="Cambria"/>
      <w:b/>
      <w:bCs/>
      <w:kern w:val="32"/>
      <w:sz w:val="32"/>
      <w:szCs w:val="32"/>
      <w:lang w:eastAsia="en-US"/>
    </w:rPr>
  </w:style>
  <w:style w:type="character" w:customStyle="1" w:styleId="Heading1Char">
    <w:name w:val="Heading 1 Char"/>
    <w:link w:val="Heading1"/>
    <w:uiPriority w:val="9"/>
    <w:rPr>
      <w:rFonts w:eastAsia="STZhongsong"/>
      <w:sz w:val="22"/>
      <w:lang w:eastAsia="zh-CN"/>
    </w:rPr>
  </w:style>
  <w:style w:type="character" w:customStyle="1" w:styleId="Heading2Char">
    <w:name w:val="Heading 2 Char"/>
    <w:link w:val="Heading2"/>
    <w:uiPriority w:val="9"/>
    <w:rPr>
      <w:rFonts w:ascii="Calibri" w:eastAsia="STZhongsong" w:hAnsi="Calibri"/>
      <w:sz w:val="22"/>
      <w:lang w:eastAsia="zh-CN"/>
    </w:rPr>
  </w:style>
  <w:style w:type="character" w:customStyle="1" w:styleId="Heading3Char">
    <w:name w:val="Heading 3 Char"/>
    <w:link w:val="Heading3"/>
    <w:uiPriority w:val="9"/>
    <w:rPr>
      <w:rFonts w:eastAsia="STZhongsong"/>
      <w:sz w:val="22"/>
      <w:lang w:eastAsia="zh-CN"/>
    </w:rPr>
  </w:style>
  <w:style w:type="character" w:customStyle="1" w:styleId="Heading4Char">
    <w:name w:val="Heading 4 Char"/>
    <w:link w:val="Heading4"/>
    <w:uiPriority w:val="9"/>
    <w:rPr>
      <w:rFonts w:eastAsia="STZhongsong"/>
      <w:sz w:val="22"/>
      <w:lang w:eastAsia="zh-CN"/>
    </w:rPr>
  </w:style>
  <w:style w:type="character" w:customStyle="1" w:styleId="Heading5Char">
    <w:name w:val="Heading 5 Char"/>
    <w:link w:val="Heading5"/>
    <w:uiPriority w:val="9"/>
    <w:locked/>
    <w:rPr>
      <w:rFonts w:eastAsia="STZhongsong"/>
      <w:sz w:val="22"/>
      <w:lang w:eastAsia="zh-CN"/>
    </w:rPr>
  </w:style>
  <w:style w:type="character" w:customStyle="1" w:styleId="MarginTextChar">
    <w:name w:val="Margin Text Char"/>
    <w:link w:val="MarginText"/>
    <w:rPr>
      <w:rFonts w:ascii="Calibri" w:eastAsia="STZhongsong" w:hAnsi="Calibri"/>
      <w:sz w:val="22"/>
      <w:lang w:eastAsia="zh-CN"/>
    </w:rPr>
  </w:style>
  <w:style w:type="character" w:customStyle="1" w:styleId="BodyTextIndent2Char">
    <w:name w:val="Body Text Indent 2 Char"/>
    <w:link w:val="BodyTextIndent2"/>
    <w:rPr>
      <w:rFonts w:eastAsia="STZhongsong"/>
      <w:sz w:val="22"/>
      <w:lang w:eastAsia="zh-CN"/>
    </w:rPr>
  </w:style>
  <w:style w:type="paragraph" w:customStyle="1" w:styleId="PartDes">
    <w:name w:val="PartDes"/>
    <w:basedOn w:val="Normal"/>
    <w:qFormat/>
    <w:pPr>
      <w:overflowPunct/>
      <w:autoSpaceDE/>
      <w:autoSpaceDN/>
      <w:adjustRightInd/>
      <w:spacing w:before="120" w:after="120" w:line="240" w:lineRule="auto"/>
      <w:jc w:val="center"/>
      <w:textAlignment w:val="auto"/>
    </w:pPr>
    <w:rPr>
      <w:rFonts w:ascii="Trebuchet MS" w:eastAsia="Trebuchet MS" w:hAnsi="Trebuchet MS"/>
      <w:b/>
      <w:bCs/>
    </w:rPr>
  </w:style>
  <w:style w:type="paragraph" w:customStyle="1" w:styleId="TableNormal1">
    <w:name w:val="Table Normal1"/>
    <w:basedOn w:val="Normal"/>
    <w:pPr>
      <w:overflowPunct/>
      <w:autoSpaceDE/>
      <w:autoSpaceDN/>
      <w:adjustRightInd/>
      <w:spacing w:before="120" w:after="120" w:line="240" w:lineRule="auto"/>
      <w:ind w:left="34"/>
      <w:jc w:val="left"/>
      <w:textAlignment w:val="auto"/>
    </w:pPr>
    <w:rPr>
      <w:rFonts w:ascii="Trebuchet MS" w:eastAsia="Trebuchet MS" w:hAnsi="Trebuchet MS"/>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lang w:eastAsia="en-US"/>
    </w:rPr>
  </w:style>
  <w:style w:type="paragraph" w:customStyle="1" w:styleId="Body2">
    <w:name w:val="Body2"/>
    <w:basedOn w:val="Normal"/>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line="240" w:lineRule="auto"/>
      <w:textAlignment w:val="auto"/>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line="240" w:lineRule="auto"/>
      <w:textAlignment w:val="auto"/>
    </w:pPr>
    <w:rPr>
      <w:rFonts w:ascii="Calibri" w:hAnsi="Calibri" w:cs="Arial"/>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line="240" w:lineRule="auto"/>
      <w:textAlignment w:val="auto"/>
    </w:pPr>
    <w:rPr>
      <w:rFonts w:ascii="Calibri" w:hAnsi="Calibri" w:cs="Arial"/>
      <w:b/>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link w:val="Footer"/>
    <w:uiPriority w:val="99"/>
    <w:rPr>
      <w:sz w:val="22"/>
      <w:lang w:eastAsia="en-US"/>
    </w:rPr>
  </w:style>
  <w:style w:type="paragraph" w:customStyle="1" w:styleId="GPsDefinition">
    <w:name w:val="GPs Definition"/>
    <w:basedOn w:val="Normal"/>
    <w:qFormat/>
    <w:pPr>
      <w:tabs>
        <w:tab w:val="left" w:pos="-9"/>
        <w:tab w:val="num" w:pos="720"/>
      </w:tabs>
      <w:spacing w:after="120" w:line="240" w:lineRule="auto"/>
      <w:ind w:left="720" w:hanging="720"/>
    </w:pPr>
    <w:rPr>
      <w:rFonts w:ascii="Arial" w:hAnsi="Arial" w:cs="Arial"/>
    </w:rPr>
  </w:style>
  <w:style w:type="paragraph" w:customStyle="1" w:styleId="GPSDefinitionL2">
    <w:name w:val="GPS Definition L2"/>
    <w:basedOn w:val="GPsDefinition"/>
    <w:link w:val="GPSDefinitionL2Char"/>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DefinitionTerm">
    <w:name w:val="GPS Definition Term"/>
    <w:basedOn w:val="Normal"/>
    <w:qFormat/>
    <w:pPr>
      <w:spacing w:after="120" w:line="240" w:lineRule="auto"/>
      <w:ind w:left="-108"/>
      <w:jc w:val="left"/>
    </w:pPr>
    <w:rPr>
      <w:rFonts w:ascii="Arial" w:hAnsi="Arial" w:cs="Arial"/>
      <w:b/>
    </w:rPr>
  </w:style>
  <w:style w:type="character" w:customStyle="1" w:styleId="HeaderChar">
    <w:name w:val="Header Char"/>
    <w:link w:val="Header"/>
    <w:uiPriority w:val="99"/>
    <w:rPr>
      <w:sz w:val="22"/>
      <w:lang w:eastAsia="en-US"/>
    </w:rPr>
  </w:style>
  <w:style w:type="paragraph" w:customStyle="1" w:styleId="GPSL1Schedulenumbered">
    <w:name w:val="GPS L1 Schedule numbered"/>
    <w:basedOn w:val="Normal"/>
    <w:link w:val="GPSL1SchedulenumberedChar1"/>
    <w:qFormat/>
    <w:rsid w:val="00014AD9"/>
    <w:pPr>
      <w:tabs>
        <w:tab w:val="num" w:pos="720"/>
        <w:tab w:val="left" w:pos="851"/>
      </w:tabs>
      <w:spacing w:line="240" w:lineRule="auto"/>
      <w:ind w:left="720" w:hanging="720"/>
    </w:pPr>
    <w:rPr>
      <w:rFonts w:ascii="Calibri" w:hAnsi="Calibri" w:cs="Arial"/>
    </w:rPr>
  </w:style>
  <w:style w:type="character" w:customStyle="1" w:styleId="GPSL1SchedulenumberedChar1">
    <w:name w:val="GPS L1 Schedule numbered Char1"/>
    <w:link w:val="GPSL1Schedulenumbered"/>
    <w:locked/>
    <w:rsid w:val="00014AD9"/>
    <w:rPr>
      <w:rFonts w:ascii="Calibri" w:hAnsi="Calibri" w:cs="Arial"/>
    </w:rPr>
  </w:style>
  <w:style w:type="character" w:customStyle="1" w:styleId="GPSL4numberedclauseChar">
    <w:name w:val="GPS L4 numbered clause Char"/>
    <w:link w:val="GPSL4numberedclause"/>
    <w:rsid w:val="00014AD9"/>
    <w:rPr>
      <w:rFonts w:ascii="Calibri" w:hAnsi="Calibri" w:cs="Arial"/>
      <w:sz w:val="22"/>
      <w:szCs w:val="22"/>
      <w:lang w:eastAsia="zh-CN"/>
    </w:rPr>
  </w:style>
  <w:style w:type="character" w:customStyle="1" w:styleId="GPSL2NumberedBoldHeadingChar">
    <w:name w:val="GPS L2 Numbered Bold Heading Char"/>
    <w:link w:val="GPSL2NumberedBoldHeading"/>
    <w:locked/>
    <w:rsid w:val="00014AD9"/>
    <w:rPr>
      <w:rFonts w:ascii="Calibri" w:hAnsi="Calibri" w:cs="Arial"/>
      <w:b/>
      <w:sz w:val="22"/>
      <w:szCs w:val="22"/>
      <w:lang w:eastAsia="zh-CN"/>
    </w:rPr>
  </w:style>
  <w:style w:type="paragraph" w:customStyle="1" w:styleId="GPSL2numberedclause">
    <w:name w:val="GPS L2 numbered clause"/>
    <w:basedOn w:val="Normal"/>
    <w:link w:val="GPSL2numberedclauseChar1"/>
    <w:qFormat/>
    <w:rsid w:val="00014AD9"/>
    <w:pPr>
      <w:tabs>
        <w:tab w:val="left" w:pos="1134"/>
      </w:tabs>
      <w:overflowPunct/>
      <w:autoSpaceDE/>
      <w:autoSpaceDN/>
      <w:spacing w:before="120" w:after="120" w:line="240" w:lineRule="auto"/>
      <w:ind w:left="1134" w:hanging="567"/>
      <w:textAlignment w:val="auto"/>
    </w:pPr>
    <w:rPr>
      <w:rFonts w:ascii="Calibri" w:hAnsi="Calibri" w:cs="Arial"/>
      <w:lang w:eastAsia="zh-CN"/>
    </w:rPr>
  </w:style>
  <w:style w:type="character" w:customStyle="1" w:styleId="GPSL2numberedclauseChar1">
    <w:name w:val="GPS L2 numbered clause Char1"/>
    <w:link w:val="GPSL2numberedclause"/>
    <w:rsid w:val="00014AD9"/>
    <w:rPr>
      <w:rFonts w:ascii="Calibri" w:hAnsi="Calibri" w:cs="Arial"/>
      <w:sz w:val="22"/>
      <w:szCs w:val="22"/>
      <w:lang w:eastAsia="zh-CN"/>
    </w:rPr>
  </w:style>
  <w:style w:type="paragraph" w:customStyle="1" w:styleId="Body3">
    <w:name w:val="Body3"/>
    <w:basedOn w:val="Normal"/>
    <w:uiPriority w:val="99"/>
    <w:rsid w:val="00014AD9"/>
    <w:pPr>
      <w:overflowPunct/>
      <w:autoSpaceDE/>
      <w:autoSpaceDN/>
      <w:adjustRightInd/>
      <w:spacing w:after="220" w:line="240" w:lineRule="auto"/>
      <w:ind w:left="1412"/>
      <w:textAlignment w:val="auto"/>
    </w:pPr>
    <w:rPr>
      <w:rFonts w:ascii="Trebuchet MS" w:hAnsi="Trebuchet MS"/>
      <w:sz w:val="20"/>
    </w:rPr>
  </w:style>
  <w:style w:type="character" w:customStyle="1" w:styleId="GPSDefinitionL2Char">
    <w:name w:val="GPS Definition L2 Char"/>
    <w:link w:val="GPSDefinitionL2"/>
    <w:locked/>
    <w:rsid w:val="00014AD9"/>
    <w:rPr>
      <w:rFonts w:ascii="Arial" w:hAnsi="Arial" w:cs="Arial"/>
      <w:sz w:val="22"/>
      <w:szCs w:val="22"/>
      <w:lang w:eastAsia="en-US"/>
    </w:rPr>
  </w:style>
  <w:style w:type="paragraph" w:styleId="Revision">
    <w:name w:val="Revision"/>
    <w:hidden/>
    <w:uiPriority w:val="99"/>
    <w:semiHidden/>
    <w:rsid w:val="00F73B5B"/>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QqbkaKB8zz4Dgb3bmAYqo4TfQ==">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steve hopkins</cp:lastModifiedBy>
  <cp:revision>2</cp:revision>
  <dcterms:created xsi:type="dcterms:W3CDTF">2021-06-07T12:48:00Z</dcterms:created>
  <dcterms:modified xsi:type="dcterms:W3CDTF">2021-06-07T12:48:00Z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ies>
</file>