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77BDF" w:rsidRDefault="00877BDF">
      <w:pPr>
        <w:keepNext/>
        <w:pBdr>
          <w:top w:val="nil"/>
          <w:left w:val="nil"/>
          <w:bottom w:val="nil"/>
          <w:right w:val="nil"/>
          <w:between w:val="nil"/>
        </w:pBdr>
        <w:ind w:left="0"/>
        <w:jc w:val="left"/>
        <w:rPr>
          <w:rFonts w:eastAsia="Arial"/>
          <w:b/>
          <w:color w:val="000000"/>
          <w:sz w:val="32"/>
          <w:szCs w:val="32"/>
        </w:rPr>
      </w:pPr>
      <w:bookmarkStart w:id="0" w:name="_GoBack"/>
      <w:bookmarkEnd w:id="0"/>
    </w:p>
    <w:p w14:paraId="00000002" w14:textId="77777777" w:rsidR="00877BDF" w:rsidRDefault="00D20A61">
      <w:pPr>
        <w:keepNext/>
        <w:pBdr>
          <w:top w:val="nil"/>
          <w:left w:val="nil"/>
          <w:bottom w:val="nil"/>
          <w:right w:val="nil"/>
          <w:between w:val="nil"/>
        </w:pBdr>
        <w:ind w:left="0"/>
        <w:jc w:val="left"/>
        <w:rPr>
          <w:rFonts w:eastAsia="Arial"/>
          <w:b/>
          <w:color w:val="000000"/>
          <w:sz w:val="36"/>
          <w:szCs w:val="36"/>
        </w:rPr>
      </w:pPr>
      <w:sdt>
        <w:sdtPr>
          <w:tag w:val="goog_rdk_0"/>
          <w:id w:val="-1863429681"/>
        </w:sdtPr>
        <w:sdtEndPr/>
        <w:sdtContent>
          <w:commentRangeStart w:id="1"/>
        </w:sdtContent>
      </w:sdt>
      <w:r w:rsidR="00E93EBD">
        <w:rPr>
          <w:rFonts w:eastAsia="Arial"/>
          <w:b/>
          <w:color w:val="000000"/>
          <w:sz w:val="36"/>
          <w:szCs w:val="36"/>
        </w:rPr>
        <w:t>Call-Off Schedule 8 (Business Continuity and Disaster Recovery)</w:t>
      </w:r>
      <w:commentRangeEnd w:id="1"/>
      <w:r w:rsidR="00E93EBD">
        <w:commentReference w:id="1"/>
      </w:r>
    </w:p>
    <w:p w14:paraId="00000003" w14:textId="77777777" w:rsidR="00877BDF" w:rsidRDefault="00E93EBD">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bookmarkStart w:id="2" w:name="_heading=h.gjdgxs" w:colFirst="0" w:colLast="0"/>
      <w:bookmarkEnd w:id="2"/>
      <w:r>
        <w:rPr>
          <w:rFonts w:eastAsia="Arial"/>
          <w:b/>
          <w:smallCaps/>
          <w:color w:val="000000"/>
          <w:sz w:val="24"/>
          <w:szCs w:val="24"/>
        </w:rPr>
        <w:t>D</w:t>
      </w:r>
      <w:r>
        <w:rPr>
          <w:rFonts w:ascii="Arial Bold" w:eastAsia="Arial Bold" w:hAnsi="Arial Bold" w:cs="Arial Bold"/>
          <w:b/>
          <w:color w:val="000000"/>
          <w:sz w:val="24"/>
          <w:szCs w:val="24"/>
        </w:rPr>
        <w:t>efinitions</w:t>
      </w:r>
    </w:p>
    <w:p w14:paraId="00000004" w14:textId="77777777" w:rsidR="00877BDF" w:rsidRDefault="00E93EBD">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In this Schedule, the following words shall have the following meanings and they shall supplement Joint Schedule 1 (Definitions):</w:t>
      </w:r>
    </w:p>
    <w:tbl>
      <w:tblPr>
        <w:tblStyle w:val="a0"/>
        <w:tblW w:w="8172"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7"/>
        <w:gridCol w:w="5075"/>
      </w:tblGrid>
      <w:tr w:rsidR="00877BDF" w14:paraId="2CCA79F9" w14:textId="77777777">
        <w:tc>
          <w:tcPr>
            <w:tcW w:w="3097" w:type="dxa"/>
          </w:tcPr>
          <w:p w14:paraId="00000005" w14:textId="77777777" w:rsidR="00877BDF" w:rsidRDefault="00E93EBD">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"BCDR Plan"</w:t>
            </w:r>
          </w:p>
        </w:tc>
        <w:tc>
          <w:tcPr>
            <w:tcW w:w="5075" w:type="dxa"/>
          </w:tcPr>
          <w:p w14:paraId="00000006" w14:textId="77777777" w:rsidR="00877BDF" w:rsidRDefault="00E93EBD">
            <w:pPr>
              <w:numPr>
                <w:ilvl w:val="0"/>
                <w:numId w:val="2"/>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has the meaning given to it in Paragraph 2.2 of this Schedule;</w:t>
            </w:r>
          </w:p>
        </w:tc>
      </w:tr>
      <w:tr w:rsidR="00877BDF" w14:paraId="6EB61674" w14:textId="77777777">
        <w:tc>
          <w:tcPr>
            <w:tcW w:w="3097" w:type="dxa"/>
          </w:tcPr>
          <w:p w14:paraId="00000007" w14:textId="77777777" w:rsidR="00877BDF" w:rsidRDefault="00E93EBD">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"Business Continuity Plan"</w:t>
            </w:r>
          </w:p>
        </w:tc>
        <w:tc>
          <w:tcPr>
            <w:tcW w:w="5075" w:type="dxa"/>
          </w:tcPr>
          <w:p w14:paraId="00000008" w14:textId="77777777" w:rsidR="00877BDF" w:rsidRDefault="00E93EBD">
            <w:pPr>
              <w:numPr>
                <w:ilvl w:val="0"/>
                <w:numId w:val="2"/>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has the meaning given to it in Paragraph 2.3.2 of this Schedule;</w:t>
            </w:r>
          </w:p>
        </w:tc>
      </w:tr>
      <w:tr w:rsidR="00877BDF" w14:paraId="5A88478A" w14:textId="77777777">
        <w:tc>
          <w:tcPr>
            <w:tcW w:w="3097" w:type="dxa"/>
          </w:tcPr>
          <w:p w14:paraId="00000009" w14:textId="77777777" w:rsidR="00877BDF" w:rsidRDefault="00E93EBD">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"Disaster Recovery Deliverables"</w:t>
            </w:r>
          </w:p>
        </w:tc>
        <w:tc>
          <w:tcPr>
            <w:tcW w:w="5075" w:type="dxa"/>
          </w:tcPr>
          <w:p w14:paraId="0000000A" w14:textId="77777777" w:rsidR="00877BDF" w:rsidRDefault="00E93EBD">
            <w:pPr>
              <w:numPr>
                <w:ilvl w:val="0"/>
                <w:numId w:val="2"/>
              </w:numPr>
              <w:pBdr>
                <w:top w:val="nil"/>
                <w:left w:val="nil"/>
                <w:bottom w:val="nil"/>
                <w:right w:val="nil"/>
                <w:between w:val="nil"/>
              </w:pBdr>
              <w:tabs>
                <w:tab w:val="left" w:pos="-9"/>
                <w:tab w:val="left" w:pos="-179"/>
              </w:tabs>
              <w:spacing w:after="120"/>
              <w:jc w:val="left"/>
              <w:rPr>
                <w:rFonts w:eastAsia="Arial"/>
                <w:color w:val="000000"/>
                <w:sz w:val="24"/>
                <w:szCs w:val="24"/>
              </w:rPr>
            </w:pPr>
            <w:r>
              <w:rPr>
                <w:rFonts w:eastAsia="Arial"/>
                <w:color w:val="000000"/>
                <w:sz w:val="24"/>
                <w:szCs w:val="24"/>
              </w:rPr>
              <w:t>the Deliverables embodied in the processes and procedures for restoring the provision of Deliverables following the occurrence of a Disaster;</w:t>
            </w:r>
          </w:p>
        </w:tc>
      </w:tr>
      <w:tr w:rsidR="00877BDF" w14:paraId="392D6C73" w14:textId="77777777">
        <w:tc>
          <w:tcPr>
            <w:tcW w:w="3097" w:type="dxa"/>
          </w:tcPr>
          <w:p w14:paraId="0000000B" w14:textId="77777777" w:rsidR="00877BDF" w:rsidRDefault="00E93EBD">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"Disaster Recovery Plan"</w:t>
            </w:r>
          </w:p>
        </w:tc>
        <w:tc>
          <w:tcPr>
            <w:tcW w:w="5075" w:type="dxa"/>
          </w:tcPr>
          <w:p w14:paraId="0000000C" w14:textId="77777777" w:rsidR="00877BDF" w:rsidRDefault="00E93EBD">
            <w:pPr>
              <w:numPr>
                <w:ilvl w:val="0"/>
                <w:numId w:val="2"/>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has the meaning given to it in Paragraph 2.3.3 of this Schedule;</w:t>
            </w:r>
          </w:p>
        </w:tc>
      </w:tr>
      <w:tr w:rsidR="00877BDF" w14:paraId="1EA64029" w14:textId="77777777">
        <w:tc>
          <w:tcPr>
            <w:tcW w:w="3097" w:type="dxa"/>
          </w:tcPr>
          <w:p w14:paraId="0000000D" w14:textId="77777777" w:rsidR="00877BDF" w:rsidRDefault="00E93EBD">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"Disaster Recovery System"</w:t>
            </w:r>
          </w:p>
        </w:tc>
        <w:tc>
          <w:tcPr>
            <w:tcW w:w="5075" w:type="dxa"/>
          </w:tcPr>
          <w:p w14:paraId="0000000E" w14:textId="77777777" w:rsidR="00877BDF" w:rsidRDefault="00E93EBD">
            <w:pPr>
              <w:numPr>
                <w:ilvl w:val="0"/>
                <w:numId w:val="2"/>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the system embodied in the processes and procedures for restoring the provision of Deliverables following the occurrence of a Disaster;</w:t>
            </w:r>
          </w:p>
        </w:tc>
      </w:tr>
      <w:tr w:rsidR="00877BDF" w14:paraId="6AF82A33" w14:textId="77777777">
        <w:trPr>
          <w:trHeight w:val="567"/>
        </w:trPr>
        <w:tc>
          <w:tcPr>
            <w:tcW w:w="3097" w:type="dxa"/>
          </w:tcPr>
          <w:p w14:paraId="0000000F" w14:textId="77777777" w:rsidR="00877BDF" w:rsidRDefault="00E93EBD">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"Related Supplier"</w:t>
            </w:r>
          </w:p>
        </w:tc>
        <w:tc>
          <w:tcPr>
            <w:tcW w:w="5075" w:type="dxa"/>
          </w:tcPr>
          <w:p w14:paraId="00000010" w14:textId="77777777" w:rsidR="00877BDF" w:rsidRDefault="00E93EBD">
            <w:pPr>
              <w:numPr>
                <w:ilvl w:val="0"/>
                <w:numId w:val="2"/>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any person who provides Deliverables to the Buyer which are related to the Deliverables from time to time;</w:t>
            </w:r>
          </w:p>
        </w:tc>
      </w:tr>
      <w:tr w:rsidR="00877BDF" w14:paraId="4D77E767" w14:textId="77777777">
        <w:trPr>
          <w:trHeight w:val="567"/>
        </w:trPr>
        <w:tc>
          <w:tcPr>
            <w:tcW w:w="3097" w:type="dxa"/>
          </w:tcPr>
          <w:p w14:paraId="00000011" w14:textId="77777777" w:rsidR="00877BDF" w:rsidRDefault="00E93EBD">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"Review Report"</w:t>
            </w:r>
          </w:p>
        </w:tc>
        <w:tc>
          <w:tcPr>
            <w:tcW w:w="5075" w:type="dxa"/>
          </w:tcPr>
          <w:p w14:paraId="00000012" w14:textId="77777777" w:rsidR="00877BDF" w:rsidRDefault="00E93EBD">
            <w:pPr>
              <w:numPr>
                <w:ilvl w:val="0"/>
                <w:numId w:val="2"/>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has the meaning given to it in Paragraph 6.3 of this Schedule; and</w:t>
            </w:r>
          </w:p>
        </w:tc>
      </w:tr>
      <w:tr w:rsidR="00877BDF" w14:paraId="0BF54472" w14:textId="77777777">
        <w:tc>
          <w:tcPr>
            <w:tcW w:w="3097" w:type="dxa"/>
          </w:tcPr>
          <w:p w14:paraId="00000013" w14:textId="77777777" w:rsidR="00877BDF" w:rsidRDefault="00E93EBD">
            <w:pPr>
              <w:pBdr>
                <w:top w:val="nil"/>
                <w:left w:val="nil"/>
                <w:bottom w:val="nil"/>
                <w:right w:val="nil"/>
                <w:between w:val="nil"/>
              </w:pBdr>
              <w:spacing w:after="120"/>
              <w:ind w:left="-108"/>
              <w:jc w:val="left"/>
              <w:rPr>
                <w:rFonts w:eastAsia="Arial"/>
                <w:b/>
                <w:color w:val="000000"/>
                <w:sz w:val="24"/>
                <w:szCs w:val="24"/>
              </w:rPr>
            </w:pPr>
            <w:r>
              <w:rPr>
                <w:rFonts w:eastAsia="Arial"/>
                <w:b/>
                <w:color w:val="000000"/>
                <w:sz w:val="24"/>
                <w:szCs w:val="24"/>
              </w:rPr>
              <w:t>"Supplier's Proposals"</w:t>
            </w:r>
          </w:p>
        </w:tc>
        <w:tc>
          <w:tcPr>
            <w:tcW w:w="5075" w:type="dxa"/>
          </w:tcPr>
          <w:p w14:paraId="00000014" w14:textId="77777777" w:rsidR="00877BDF" w:rsidRDefault="00E93EBD">
            <w:pPr>
              <w:numPr>
                <w:ilvl w:val="0"/>
                <w:numId w:val="2"/>
              </w:numPr>
              <w:pBdr>
                <w:top w:val="nil"/>
                <w:left w:val="nil"/>
                <w:bottom w:val="nil"/>
                <w:right w:val="nil"/>
                <w:between w:val="nil"/>
              </w:pBdr>
              <w:tabs>
                <w:tab w:val="left" w:pos="-9"/>
              </w:tabs>
              <w:spacing w:after="120"/>
              <w:jc w:val="left"/>
              <w:rPr>
                <w:rFonts w:eastAsia="Arial"/>
                <w:color w:val="000000"/>
                <w:sz w:val="24"/>
                <w:szCs w:val="24"/>
              </w:rPr>
            </w:pPr>
            <w:r>
              <w:rPr>
                <w:rFonts w:eastAsia="Arial"/>
                <w:color w:val="000000"/>
                <w:sz w:val="24"/>
                <w:szCs w:val="24"/>
              </w:rPr>
              <w:t>has the meaning given to it in Paragraph 6.3 of this Schedule;</w:t>
            </w:r>
          </w:p>
        </w:tc>
      </w:tr>
    </w:tbl>
    <w:p w14:paraId="00000015" w14:textId="77777777" w:rsidR="00877BDF" w:rsidRDefault="00E93EBD">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BCDR Plan</w:t>
      </w:r>
    </w:p>
    <w:p w14:paraId="00000016" w14:textId="77777777" w:rsidR="00877BDF" w:rsidRDefault="00E93EBD">
      <w:pPr>
        <w:numPr>
          <w:ilvl w:val="1"/>
          <w:numId w:val="1"/>
        </w:numPr>
        <w:pBdr>
          <w:top w:val="nil"/>
          <w:left w:val="nil"/>
          <w:bottom w:val="nil"/>
          <w:right w:val="nil"/>
          <w:between w:val="nil"/>
        </w:pBdr>
        <w:spacing w:before="120" w:after="120"/>
        <w:jc w:val="left"/>
        <w:rPr>
          <w:rFonts w:eastAsia="Arial"/>
          <w:color w:val="000000"/>
          <w:sz w:val="24"/>
          <w:szCs w:val="24"/>
        </w:rPr>
      </w:pPr>
      <w:bookmarkStart w:id="3" w:name="_heading=h.g8f18thw8yu0" w:colFirst="0" w:colLast="0"/>
      <w:bookmarkEnd w:id="3"/>
      <w:r>
        <w:rPr>
          <w:rFonts w:eastAsia="Arial"/>
          <w:color w:val="000000"/>
          <w:sz w:val="24"/>
          <w:szCs w:val="24"/>
        </w:rPr>
        <w:t>The Buyer and the Supplier recognise that, where specified in Schedule 4 (Framework Management), CCS shall have the right to enforce the Buyer's rights under this Schedule.</w:t>
      </w:r>
    </w:p>
    <w:p w14:paraId="00000017" w14:textId="77777777" w:rsidR="00877BDF" w:rsidRDefault="00E93EBD">
      <w:pPr>
        <w:numPr>
          <w:ilvl w:val="1"/>
          <w:numId w:val="1"/>
        </w:numPr>
        <w:pBdr>
          <w:top w:val="nil"/>
          <w:left w:val="nil"/>
          <w:bottom w:val="nil"/>
          <w:right w:val="nil"/>
          <w:between w:val="nil"/>
        </w:pBdr>
        <w:spacing w:before="120" w:after="120"/>
        <w:jc w:val="left"/>
        <w:rPr>
          <w:sz w:val="24"/>
          <w:szCs w:val="24"/>
        </w:rPr>
      </w:pPr>
      <w:bookmarkStart w:id="4" w:name="_heading=h.dklgwq9y5c6" w:colFirst="0" w:colLast="0"/>
      <w:bookmarkEnd w:id="4"/>
      <w:r>
        <w:rPr>
          <w:sz w:val="24"/>
          <w:szCs w:val="24"/>
        </w:rPr>
        <w:t>The Buyer recognises that in most cases the Supplier will have in place a BCDR Plan for their services which will meet industry standards and satisfy the Buyer’s requirements. Where this is the case this should be provided to the Customer at the earliest opportunity. It is acknowledged that as these form part of a standard service it may not be possible for a Customer to request adjustments to the plan.</w:t>
      </w:r>
    </w:p>
    <w:p w14:paraId="00000018" w14:textId="77777777" w:rsidR="00877BDF" w:rsidRDefault="00877BDF">
      <w:pPr>
        <w:pBdr>
          <w:top w:val="nil"/>
          <w:left w:val="nil"/>
          <w:bottom w:val="nil"/>
          <w:right w:val="nil"/>
          <w:between w:val="nil"/>
        </w:pBdr>
        <w:spacing w:before="120" w:after="120"/>
        <w:ind w:left="720"/>
        <w:jc w:val="left"/>
        <w:rPr>
          <w:sz w:val="24"/>
          <w:szCs w:val="24"/>
        </w:rPr>
      </w:pPr>
      <w:bookmarkStart w:id="5" w:name="_heading=h.ga3o2btp94z1" w:colFirst="0" w:colLast="0"/>
      <w:bookmarkEnd w:id="5"/>
    </w:p>
    <w:p w14:paraId="00000019" w14:textId="77777777" w:rsidR="00877BDF" w:rsidRDefault="00E93EBD">
      <w:pPr>
        <w:numPr>
          <w:ilvl w:val="1"/>
          <w:numId w:val="1"/>
        </w:numPr>
        <w:pBdr>
          <w:top w:val="nil"/>
          <w:left w:val="nil"/>
          <w:bottom w:val="nil"/>
          <w:right w:val="nil"/>
          <w:between w:val="nil"/>
        </w:pBdr>
        <w:spacing w:before="120" w:after="120"/>
        <w:jc w:val="left"/>
        <w:rPr>
          <w:rFonts w:eastAsia="Arial"/>
          <w:color w:val="000000"/>
          <w:sz w:val="24"/>
          <w:szCs w:val="24"/>
        </w:rPr>
      </w:pPr>
      <w:bookmarkStart w:id="6" w:name="_heading=h.1fob9te" w:colFirst="0" w:colLast="0"/>
      <w:bookmarkEnd w:id="6"/>
      <w:r>
        <w:rPr>
          <w:rFonts w:eastAsia="Arial"/>
          <w:color w:val="000000"/>
          <w:sz w:val="24"/>
          <w:szCs w:val="24"/>
        </w:rPr>
        <w:t xml:space="preserve">At least ninety (90) Working Days prior to the Start Date the Supplier shall prepare and deliver to the Buyer for the Buyer’s written approval a plan (a </w:t>
      </w:r>
      <w:r>
        <w:rPr>
          <w:rFonts w:eastAsia="Arial"/>
          <w:b/>
          <w:color w:val="000000"/>
          <w:sz w:val="24"/>
          <w:szCs w:val="24"/>
        </w:rPr>
        <w:t>“BCDR Plan”</w:t>
      </w:r>
      <w:r>
        <w:rPr>
          <w:rFonts w:eastAsia="Arial"/>
          <w:color w:val="000000"/>
          <w:sz w:val="24"/>
          <w:szCs w:val="24"/>
        </w:rPr>
        <w:t>), which shall detail the processes and arrangements that the Supplier shall follow to:</w:t>
      </w:r>
    </w:p>
    <w:p w14:paraId="0000001A"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ensure continuity of the business processes and operations supported by the Services following any failure or disruption of any element of the Deliverables; and</w:t>
      </w:r>
    </w:p>
    <w:p w14:paraId="0000001B"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the recovery of the Deliverables in the event of a Disaster </w:t>
      </w:r>
    </w:p>
    <w:p w14:paraId="0000001C" w14:textId="77777777" w:rsidR="00877BDF" w:rsidRDefault="00E93EBD">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BCDR Plan shall be divided into three sections:</w:t>
      </w:r>
    </w:p>
    <w:p w14:paraId="0000001D"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7" w:name="_heading=h.3znysh7" w:colFirst="0" w:colLast="0"/>
      <w:bookmarkEnd w:id="7"/>
      <w:r>
        <w:rPr>
          <w:rFonts w:eastAsia="Arial"/>
          <w:color w:val="000000"/>
          <w:sz w:val="24"/>
          <w:szCs w:val="24"/>
        </w:rPr>
        <w:t xml:space="preserve">Section 1 which shall set out general principles applicable to the BCDR Plan; </w:t>
      </w:r>
    </w:p>
    <w:p w14:paraId="0000001E"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8" w:name="_heading=h.2et92p0" w:colFirst="0" w:colLast="0"/>
      <w:bookmarkEnd w:id="8"/>
      <w:r>
        <w:rPr>
          <w:rFonts w:eastAsia="Arial"/>
          <w:color w:val="000000"/>
          <w:sz w:val="24"/>
          <w:szCs w:val="24"/>
        </w:rPr>
        <w:t xml:space="preserve">Section 2 which shall relate to business continuity (the </w:t>
      </w:r>
      <w:r>
        <w:rPr>
          <w:rFonts w:eastAsia="Arial"/>
          <w:b/>
          <w:color w:val="000000"/>
          <w:sz w:val="24"/>
          <w:szCs w:val="24"/>
        </w:rPr>
        <w:t>"Business Continuity Plan"</w:t>
      </w:r>
      <w:r>
        <w:rPr>
          <w:rFonts w:eastAsia="Arial"/>
          <w:color w:val="000000"/>
          <w:sz w:val="24"/>
          <w:szCs w:val="24"/>
        </w:rPr>
        <w:t>); and</w:t>
      </w:r>
    </w:p>
    <w:p w14:paraId="0000001F"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9" w:name="_heading=h.tyjcwt" w:colFirst="0" w:colLast="0"/>
      <w:bookmarkEnd w:id="9"/>
      <w:r>
        <w:rPr>
          <w:rFonts w:eastAsia="Arial"/>
          <w:color w:val="000000"/>
          <w:sz w:val="24"/>
          <w:szCs w:val="24"/>
        </w:rPr>
        <w:t xml:space="preserve">Section 3 which shall relate to disaster recovery (the </w:t>
      </w:r>
      <w:r>
        <w:rPr>
          <w:rFonts w:eastAsia="Arial"/>
          <w:b/>
          <w:color w:val="000000"/>
          <w:sz w:val="24"/>
          <w:szCs w:val="24"/>
        </w:rPr>
        <w:t>"Disaster Recovery Plan"</w:t>
      </w:r>
      <w:r>
        <w:rPr>
          <w:rFonts w:eastAsia="Arial"/>
          <w:color w:val="000000"/>
          <w:sz w:val="24"/>
          <w:szCs w:val="24"/>
        </w:rPr>
        <w:t>).</w:t>
      </w:r>
    </w:p>
    <w:p w14:paraId="00000020" w14:textId="77777777" w:rsidR="00877BDF" w:rsidRDefault="00E93EBD">
      <w:pPr>
        <w:numPr>
          <w:ilvl w:val="1"/>
          <w:numId w:val="1"/>
        </w:numPr>
        <w:pBdr>
          <w:top w:val="nil"/>
          <w:left w:val="nil"/>
          <w:bottom w:val="nil"/>
          <w:right w:val="nil"/>
          <w:between w:val="nil"/>
        </w:pBdr>
        <w:spacing w:before="120" w:after="120"/>
        <w:jc w:val="left"/>
        <w:rPr>
          <w:rFonts w:eastAsia="Arial"/>
          <w:color w:val="000000"/>
          <w:sz w:val="24"/>
          <w:szCs w:val="24"/>
        </w:rPr>
      </w:pPr>
      <w:bookmarkStart w:id="10" w:name="_heading=h.3dy6vkm" w:colFirst="0" w:colLast="0"/>
      <w:bookmarkEnd w:id="10"/>
      <w:r>
        <w:rPr>
          <w:rFonts w:eastAsia="Arial"/>
          <w:color w:val="000000"/>
          <w:sz w:val="24"/>
          <w:szCs w:val="24"/>
        </w:rP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14:paraId="00000021" w14:textId="77777777" w:rsidR="00877BDF" w:rsidRDefault="00E93EBD">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bookmarkStart w:id="11" w:name="_heading=h.1t3h5sf" w:colFirst="0" w:colLast="0"/>
      <w:bookmarkEnd w:id="11"/>
      <w:r>
        <w:rPr>
          <w:rFonts w:ascii="Arial Bold" w:eastAsia="Arial Bold" w:hAnsi="Arial Bold" w:cs="Arial Bold"/>
          <w:b/>
          <w:color w:val="000000"/>
          <w:sz w:val="24"/>
          <w:szCs w:val="24"/>
        </w:rPr>
        <w:t>General Principles of the BCDR Plan (Section 1)</w:t>
      </w:r>
    </w:p>
    <w:p w14:paraId="00000022" w14:textId="77777777" w:rsidR="00877BDF" w:rsidRDefault="00E93EBD">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Section 1 of the BCDR Plan shall:</w:t>
      </w:r>
    </w:p>
    <w:p w14:paraId="00000023"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set out how the business continuity and disaster recovery elements of the BCDR Plan link to each other;</w:t>
      </w:r>
    </w:p>
    <w:p w14:paraId="00000024"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provide details of how the invocation of any element of the BCDR Plan may impact upon the provision of the Deliverables and any goods and/or services provided to the Buyer by a Related Supplier;</w:t>
      </w:r>
    </w:p>
    <w:p w14:paraId="00000025"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contain an obligation upon the Supplier to liaise with the Buyer and any Related Suppliers with respect to business continuity and disaster recovery;</w:t>
      </w:r>
    </w:p>
    <w:p w14:paraId="00000026"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detail how the BCDR Plan interoperates with any overarching disaster recovery or business continuity plan of the Buyer and any of its other Related Supplier in each case as notified to the Supplier by the Buyer from time to time;</w:t>
      </w:r>
    </w:p>
    <w:p w14:paraId="00000027"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contain a communication strategy including details of an incident and problem management service and advice and help desk facility which can be accessed via multiple channels;</w:t>
      </w:r>
    </w:p>
    <w:p w14:paraId="00000028" w14:textId="77777777" w:rsidR="00877BDF" w:rsidRDefault="00E93EBD">
      <w:pPr>
        <w:keepNext/>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lastRenderedPageBreak/>
        <w:t>contain a risk analysis, including:</w:t>
      </w:r>
    </w:p>
    <w:p w14:paraId="00000029" w14:textId="77777777" w:rsidR="00877BDF" w:rsidRDefault="00E93EBD">
      <w:pPr>
        <w:numPr>
          <w:ilvl w:val="3"/>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failure or disruption scenarios and assessments of likely frequency of occurrence;</w:t>
      </w:r>
    </w:p>
    <w:p w14:paraId="0000002A" w14:textId="77777777" w:rsidR="00877BDF" w:rsidRDefault="00E93EBD">
      <w:pPr>
        <w:numPr>
          <w:ilvl w:val="3"/>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identification of any single points of failure within the provision of Deliverables and processes for managing those risks;</w:t>
      </w:r>
    </w:p>
    <w:p w14:paraId="0000002B" w14:textId="77777777" w:rsidR="00877BDF" w:rsidRDefault="00E93EBD">
      <w:pPr>
        <w:numPr>
          <w:ilvl w:val="3"/>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identification of risks arising from the interaction of the provision of Deliverables with the goods and/or services provided by a Related Supplier; and</w:t>
      </w:r>
    </w:p>
    <w:p w14:paraId="0000002C" w14:textId="77777777" w:rsidR="00877BDF" w:rsidRDefault="00E93EBD">
      <w:pPr>
        <w:numPr>
          <w:ilvl w:val="3"/>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 business impact analysis of different anticipated failures or disruptions;</w:t>
      </w:r>
    </w:p>
    <w:p w14:paraId="0000002D"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provide for documentation of processes, including business processes, and procedures;</w:t>
      </w:r>
    </w:p>
    <w:p w14:paraId="0000002E"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set out key contact details for the Supplier (and any Subcontractors) and for the Buyer;</w:t>
      </w:r>
    </w:p>
    <w:p w14:paraId="0000002F"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identify the procedures for reverting to "normal service";</w:t>
      </w:r>
    </w:p>
    <w:p w14:paraId="00000030"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set out method(s) of recovering or updating data collected (or which ought to have been collected) during a failure or disruption to minimise data loss;</w:t>
      </w:r>
    </w:p>
    <w:p w14:paraId="00000031"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identify the responsibilities (if any) that the Buyer has agreed it will assume in the event of the invocation of the BCDR Plan; and</w:t>
      </w:r>
    </w:p>
    <w:p w14:paraId="00000032"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provide for the provision of technical assistance to key contacts at the Buyer as required by the Buyer to inform decisions in support of the Buyer’s business continuity plans.</w:t>
      </w:r>
    </w:p>
    <w:p w14:paraId="00000033" w14:textId="77777777" w:rsidR="00877BDF" w:rsidRDefault="00E93EBD">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BCDR Plan shall be designed so as to ensure that:</w:t>
      </w:r>
    </w:p>
    <w:p w14:paraId="00000034"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Deliverables are provided in accordance with this Contract at all times during and after the invocation of the BCDR Plan;</w:t>
      </w:r>
    </w:p>
    <w:p w14:paraId="00000035"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the adverse impact of any Disaster is minimised as far as reasonably possible; </w:t>
      </w:r>
    </w:p>
    <w:p w14:paraId="00000036"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it complies with the relevant provisions of ISO/IEC 27002; ISO22301/ISO22313   and all other industry standards from time to time in force; and</w:t>
      </w:r>
    </w:p>
    <w:p w14:paraId="00000037"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it details a process for the management of disaster recovery testing.</w:t>
      </w:r>
    </w:p>
    <w:p w14:paraId="00000038" w14:textId="77777777" w:rsidR="00877BDF" w:rsidRDefault="00E93EBD">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BCDR Plan shall be upgradeable and sufficiently flexible to support any changes to the Deliverables and the business operations supported by the provision of Deliverables.</w:t>
      </w:r>
    </w:p>
    <w:p w14:paraId="00000039" w14:textId="77777777" w:rsidR="00877BDF" w:rsidRDefault="00E93EBD">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 shall not be entitled to any relief from its obligations under the Performance Indicators (PI’s) or Service levels, or to any increase in the Charges to the extent that a Disaster occurs as a consequence of any breach by the Supplier of this Contract.</w:t>
      </w:r>
    </w:p>
    <w:p w14:paraId="0000003A" w14:textId="77777777" w:rsidR="00877BDF" w:rsidRDefault="00E93EBD">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lastRenderedPageBreak/>
        <w:t>Business Continuity (Section 2)</w:t>
      </w:r>
    </w:p>
    <w:p w14:paraId="0000003B" w14:textId="77777777" w:rsidR="00877BDF" w:rsidRDefault="00E93EBD">
      <w:pPr>
        <w:numPr>
          <w:ilvl w:val="1"/>
          <w:numId w:val="1"/>
        </w:numPr>
        <w:pBdr>
          <w:top w:val="nil"/>
          <w:left w:val="nil"/>
          <w:bottom w:val="nil"/>
          <w:right w:val="nil"/>
          <w:between w:val="nil"/>
        </w:pBdr>
        <w:spacing w:before="120" w:after="120"/>
        <w:jc w:val="left"/>
        <w:rPr>
          <w:rFonts w:eastAsia="Arial"/>
          <w:color w:val="000000"/>
          <w:sz w:val="24"/>
          <w:szCs w:val="24"/>
        </w:rPr>
      </w:pPr>
      <w:bookmarkStart w:id="12" w:name="_heading=h.4d34og8" w:colFirst="0" w:colLast="0"/>
      <w:bookmarkEnd w:id="12"/>
      <w:r>
        <w:rPr>
          <w:rFonts w:eastAsia="Arial"/>
          <w:color w:val="000000"/>
          <w:sz w:val="24"/>
          <w:szCs w:val="24"/>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14:paraId="0000003C"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alternative processes, options and responsibilities that may be adopted in the event of a failure in or disruption to the provision of Deliverables; and</w:t>
      </w:r>
    </w:p>
    <w:p w14:paraId="0000003D"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steps to be taken by the Supplier upon resumption of the provision of Deliverables in order to address the effect of the failure or disruption.</w:t>
      </w:r>
    </w:p>
    <w:p w14:paraId="0000003E" w14:textId="77777777" w:rsidR="00877BDF" w:rsidRDefault="00E93EBD">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Business Continuity Plan shall:</w:t>
      </w:r>
    </w:p>
    <w:p w14:paraId="0000003F"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address the various possible levels of failures of or disruptions to the provision of Deliverables;</w:t>
      </w:r>
    </w:p>
    <w:p w14:paraId="00000040"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13" w:name="_heading=h.2s8eyo1" w:colFirst="0" w:colLast="0"/>
      <w:bookmarkEnd w:id="13"/>
      <w:r>
        <w:rPr>
          <w:rFonts w:eastAsia="Arial"/>
          <w:color w:val="000000"/>
          <w:sz w:val="24"/>
          <w:szCs w:val="24"/>
        </w:rPr>
        <w:t>set out the goods and/or services to be provided and the steps to be taken to remedy the different levels of failures of and disruption to the Deliverables;</w:t>
      </w:r>
    </w:p>
    <w:p w14:paraId="00000041"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14:paraId="00000042"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set out the circumstances in which the Business Continuity Plan is invoked.</w:t>
      </w:r>
    </w:p>
    <w:p w14:paraId="00000043" w14:textId="77777777" w:rsidR="00877BDF" w:rsidRDefault="00E93EBD">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Disaster Recovery (Section 3)</w:t>
      </w:r>
    </w:p>
    <w:p w14:paraId="00000044" w14:textId="77777777" w:rsidR="00877BDF" w:rsidRDefault="00E93EBD">
      <w:pPr>
        <w:numPr>
          <w:ilvl w:val="1"/>
          <w:numId w:val="1"/>
        </w:numPr>
        <w:pBdr>
          <w:top w:val="nil"/>
          <w:left w:val="nil"/>
          <w:bottom w:val="nil"/>
          <w:right w:val="nil"/>
          <w:between w:val="nil"/>
        </w:pBdr>
        <w:spacing w:before="120" w:after="120"/>
        <w:jc w:val="left"/>
        <w:rPr>
          <w:rFonts w:eastAsia="Arial"/>
          <w:color w:val="000000"/>
          <w:sz w:val="24"/>
          <w:szCs w:val="24"/>
        </w:rPr>
      </w:pPr>
      <w:bookmarkStart w:id="14" w:name="_heading=h.17dp8vu" w:colFirst="0" w:colLast="0"/>
      <w:bookmarkEnd w:id="14"/>
      <w:r>
        <w:rPr>
          <w:rFonts w:eastAsia="Arial"/>
          <w:color w:val="000000"/>
          <w:sz w:val="24"/>
          <w:szCs w:val="24"/>
        </w:rPr>
        <w:t>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p>
    <w:p w14:paraId="00000045" w14:textId="77777777" w:rsidR="00877BDF" w:rsidRDefault="00E93EBD">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Supplier's BCDR Plan shall include an approach to business continuity and disaster recovery that addresses the following:</w:t>
      </w:r>
    </w:p>
    <w:p w14:paraId="00000046"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loss of access to the Buyer Premises;</w:t>
      </w:r>
    </w:p>
    <w:p w14:paraId="00000047"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loss of utilities to the Buyer Premises;</w:t>
      </w:r>
    </w:p>
    <w:p w14:paraId="00000048"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loss of the Supplier's helpdesk or CAFM system;</w:t>
      </w:r>
    </w:p>
    <w:p w14:paraId="00000049"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loss of a Subcontractor;</w:t>
      </w:r>
    </w:p>
    <w:p w14:paraId="0000004A"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emergency notification and escalation process;</w:t>
      </w:r>
    </w:p>
    <w:p w14:paraId="0000004B"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contact lists;</w:t>
      </w:r>
    </w:p>
    <w:p w14:paraId="0000004C"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staff training and awareness;</w:t>
      </w:r>
    </w:p>
    <w:p w14:paraId="0000004D"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lastRenderedPageBreak/>
        <w:t xml:space="preserve">BCDR Plan testing; </w:t>
      </w:r>
    </w:p>
    <w:p w14:paraId="0000004E"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post implementation review process; </w:t>
      </w:r>
    </w:p>
    <w:p w14:paraId="0000004F"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14:paraId="00000050"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details of how the Supplier shall ensure compliance with security standards ensuring that compliance is maintained for any period during which the Disaster Recovery Plan is invoked;</w:t>
      </w:r>
    </w:p>
    <w:p w14:paraId="00000051"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access controls to any disaster recovery sites used by the Supplier in relation to its obligations pursuant to this Schedule; and</w:t>
      </w:r>
    </w:p>
    <w:p w14:paraId="00000052"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testing and management arrangements.</w:t>
      </w:r>
    </w:p>
    <w:p w14:paraId="00000053" w14:textId="77777777" w:rsidR="00877BDF" w:rsidRDefault="00E93EBD">
      <w:pPr>
        <w:keepNext/>
        <w:numPr>
          <w:ilvl w:val="0"/>
          <w:numId w:val="1"/>
        </w:numPr>
        <w:pBdr>
          <w:top w:val="nil"/>
          <w:left w:val="nil"/>
          <w:bottom w:val="nil"/>
          <w:right w:val="nil"/>
          <w:between w:val="nil"/>
        </w:pBdr>
        <w:tabs>
          <w:tab w:val="left" w:pos="0"/>
        </w:tabs>
        <w:spacing w:before="240"/>
        <w:jc w:val="left"/>
        <w:rPr>
          <w:rFonts w:eastAsia="Arial"/>
          <w:b/>
          <w:smallCaps/>
          <w:color w:val="000000"/>
          <w:sz w:val="24"/>
          <w:szCs w:val="24"/>
        </w:rPr>
      </w:pPr>
      <w:r>
        <w:rPr>
          <w:rFonts w:ascii="Arial Bold" w:eastAsia="Arial Bold" w:hAnsi="Arial Bold" w:cs="Arial Bold"/>
          <w:b/>
          <w:color w:val="000000"/>
          <w:sz w:val="24"/>
          <w:szCs w:val="24"/>
        </w:rPr>
        <w:t>Review and changing the BCDR Plan</w:t>
      </w:r>
    </w:p>
    <w:p w14:paraId="00000054" w14:textId="77777777" w:rsidR="00877BDF" w:rsidRDefault="00E93EBD">
      <w:pPr>
        <w:keepNext/>
        <w:numPr>
          <w:ilvl w:val="1"/>
          <w:numId w:val="1"/>
        </w:numPr>
        <w:pBdr>
          <w:top w:val="nil"/>
          <w:left w:val="nil"/>
          <w:bottom w:val="nil"/>
          <w:right w:val="nil"/>
          <w:between w:val="nil"/>
        </w:pBdr>
        <w:spacing w:before="120" w:after="120"/>
        <w:jc w:val="left"/>
        <w:rPr>
          <w:rFonts w:eastAsia="Arial"/>
          <w:color w:val="000000"/>
          <w:sz w:val="24"/>
          <w:szCs w:val="24"/>
        </w:rPr>
      </w:pPr>
      <w:bookmarkStart w:id="15" w:name="_heading=h.3rdcrjn" w:colFirst="0" w:colLast="0"/>
      <w:bookmarkEnd w:id="15"/>
      <w:r>
        <w:rPr>
          <w:rFonts w:eastAsia="Arial"/>
          <w:color w:val="000000"/>
          <w:sz w:val="24"/>
          <w:szCs w:val="24"/>
        </w:rPr>
        <w:t>The Supplier shall review the BCDR Plan:</w:t>
      </w:r>
    </w:p>
    <w:p w14:paraId="00000055"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16" w:name="_heading=h.26in1rg" w:colFirst="0" w:colLast="0"/>
      <w:bookmarkEnd w:id="16"/>
      <w:r>
        <w:rPr>
          <w:rFonts w:eastAsia="Arial"/>
          <w:color w:val="000000"/>
          <w:sz w:val="24"/>
          <w:szCs w:val="24"/>
        </w:rPr>
        <w:t>on a regular basis and as a minimum once every six (6) Months;</w:t>
      </w:r>
    </w:p>
    <w:p w14:paraId="00000056"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17" w:name="_heading=h.lnxbz9" w:colFirst="0" w:colLast="0"/>
      <w:bookmarkEnd w:id="17"/>
      <w:r>
        <w:rPr>
          <w:rFonts w:eastAsia="Arial"/>
          <w:color w:val="000000"/>
          <w:sz w:val="24"/>
          <w:szCs w:val="24"/>
        </w:rPr>
        <w:t>within three (3) calendar Months of the BCDR Plan (or any part) having been invoked pursuant to Paragraph 7; and</w:t>
      </w:r>
    </w:p>
    <w:p w14:paraId="00000057"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18" w:name="_heading=h.35nkun2" w:colFirst="0" w:colLast="0"/>
      <w:bookmarkEnd w:id="18"/>
      <w:r>
        <w:rPr>
          <w:rFonts w:eastAsia="Arial"/>
          <w:color w:val="000000"/>
          <w:sz w:val="24"/>
          <w:szCs w:val="24"/>
        </w:rPr>
        <w:t xml:space="preserve">where the Buyer requests in writing any additional reviews (over and above those provided for in Paragraphs 6.1.1 and 6.1.2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p>
    <w:p w14:paraId="00000058" w14:textId="77777777" w:rsidR="00877BDF" w:rsidRDefault="00E93EBD">
      <w:pPr>
        <w:numPr>
          <w:ilvl w:val="1"/>
          <w:numId w:val="1"/>
        </w:numPr>
        <w:pBdr>
          <w:top w:val="nil"/>
          <w:left w:val="nil"/>
          <w:bottom w:val="nil"/>
          <w:right w:val="nil"/>
          <w:between w:val="nil"/>
        </w:pBdr>
        <w:spacing w:before="120" w:after="120"/>
        <w:jc w:val="left"/>
        <w:rPr>
          <w:rFonts w:eastAsia="Arial"/>
          <w:color w:val="000000"/>
          <w:sz w:val="24"/>
          <w:szCs w:val="24"/>
        </w:rPr>
      </w:pPr>
      <w:bookmarkStart w:id="19" w:name="_heading=h.1ksv4uv" w:colFirst="0" w:colLast="0"/>
      <w:bookmarkEnd w:id="19"/>
      <w:r>
        <w:rPr>
          <w:rFonts w:eastAsia="Arial"/>
          <w:color w:val="000000"/>
          <w:sz w:val="24"/>
          <w:szCs w:val="24"/>
        </w:rP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such period as the Buyer shall reasonably require.  </w:t>
      </w:r>
    </w:p>
    <w:p w14:paraId="00000059" w14:textId="77777777" w:rsidR="00877BDF" w:rsidRDefault="00E93EBD">
      <w:pPr>
        <w:numPr>
          <w:ilvl w:val="1"/>
          <w:numId w:val="1"/>
        </w:numPr>
        <w:pBdr>
          <w:top w:val="nil"/>
          <w:left w:val="nil"/>
          <w:bottom w:val="nil"/>
          <w:right w:val="nil"/>
          <w:between w:val="nil"/>
        </w:pBdr>
        <w:spacing w:before="120" w:after="120"/>
        <w:jc w:val="left"/>
        <w:rPr>
          <w:rFonts w:eastAsia="Arial"/>
          <w:color w:val="000000"/>
          <w:sz w:val="24"/>
          <w:szCs w:val="24"/>
        </w:rPr>
      </w:pPr>
      <w:bookmarkStart w:id="20" w:name="_heading=h.44sinio" w:colFirst="0" w:colLast="0"/>
      <w:bookmarkEnd w:id="20"/>
      <w:r>
        <w:rPr>
          <w:rFonts w:eastAsia="Arial"/>
          <w:color w:val="000000"/>
          <w:sz w:val="24"/>
          <w:szCs w:val="24"/>
        </w:rPr>
        <w:t xml:space="preserve">The Supplier shall, within twenty (20) Working Days of the conclusion of each such review of the BCDR Plan, provide to the Buyer a report (a </w:t>
      </w:r>
      <w:r>
        <w:rPr>
          <w:rFonts w:eastAsia="Arial"/>
          <w:b/>
          <w:color w:val="000000"/>
          <w:sz w:val="24"/>
          <w:szCs w:val="24"/>
        </w:rPr>
        <w:t>"Review Report"</w:t>
      </w:r>
      <w:r>
        <w:rPr>
          <w:rFonts w:eastAsia="Arial"/>
          <w:color w:val="000000"/>
          <w:sz w:val="24"/>
          <w:szCs w:val="24"/>
        </w:rPr>
        <w:t xml:space="preserve">) setting out the Supplier's proposals (the </w:t>
      </w:r>
      <w:r>
        <w:rPr>
          <w:rFonts w:eastAsia="Arial"/>
          <w:b/>
          <w:color w:val="000000"/>
          <w:sz w:val="24"/>
          <w:szCs w:val="24"/>
        </w:rPr>
        <w:t>"Supplier's Proposals"</w:t>
      </w:r>
      <w:r>
        <w:rPr>
          <w:rFonts w:eastAsia="Arial"/>
          <w:color w:val="000000"/>
          <w:sz w:val="24"/>
          <w:szCs w:val="24"/>
        </w:rPr>
        <w:t>) for addressing any changes in the risk profile and its proposals for amendments to the BCDR Plan.</w:t>
      </w:r>
    </w:p>
    <w:p w14:paraId="0000005A" w14:textId="77777777" w:rsidR="00877BDF" w:rsidRDefault="00E93EBD">
      <w:pPr>
        <w:numPr>
          <w:ilvl w:val="1"/>
          <w:numId w:val="1"/>
        </w:numPr>
        <w:pBdr>
          <w:top w:val="nil"/>
          <w:left w:val="nil"/>
          <w:bottom w:val="nil"/>
          <w:right w:val="nil"/>
          <w:between w:val="nil"/>
        </w:pBdr>
        <w:spacing w:before="120" w:after="120"/>
        <w:jc w:val="left"/>
        <w:rPr>
          <w:rFonts w:eastAsia="Arial"/>
          <w:color w:val="000000"/>
          <w:sz w:val="24"/>
          <w:szCs w:val="24"/>
        </w:rPr>
      </w:pPr>
      <w:bookmarkStart w:id="21" w:name="_heading=h.2jxsxqh" w:colFirst="0" w:colLast="0"/>
      <w:bookmarkEnd w:id="21"/>
      <w:r>
        <w:rPr>
          <w:rFonts w:eastAsia="Arial"/>
          <w:color w:val="000000"/>
          <w:sz w:val="24"/>
          <w:szCs w:val="24"/>
        </w:rPr>
        <w:lastRenderedPageBreak/>
        <w:t xml:space="preserve">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 </w:t>
      </w:r>
    </w:p>
    <w:p w14:paraId="0000005B" w14:textId="77777777" w:rsidR="00877BDF" w:rsidRDefault="00E93EBD">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14:paraId="0000005C" w14:textId="77777777" w:rsidR="00877BDF" w:rsidRDefault="00E93EBD">
      <w:pPr>
        <w:keepNext/>
        <w:numPr>
          <w:ilvl w:val="0"/>
          <w:numId w:val="1"/>
        </w:numPr>
        <w:pBdr>
          <w:top w:val="nil"/>
          <w:left w:val="nil"/>
          <w:bottom w:val="nil"/>
          <w:right w:val="nil"/>
          <w:between w:val="nil"/>
        </w:pBdr>
        <w:tabs>
          <w:tab w:val="left" w:pos="0"/>
        </w:tabs>
        <w:spacing w:before="240"/>
        <w:ind w:left="504"/>
        <w:jc w:val="left"/>
        <w:rPr>
          <w:rFonts w:ascii="Arial Bold" w:eastAsia="Arial Bold" w:hAnsi="Arial Bold" w:cs="Arial Bold"/>
          <w:b/>
          <w:color w:val="000000"/>
          <w:sz w:val="24"/>
          <w:szCs w:val="24"/>
        </w:rPr>
      </w:pPr>
      <w:bookmarkStart w:id="22" w:name="_heading=h.z337ya" w:colFirst="0" w:colLast="0"/>
      <w:bookmarkEnd w:id="22"/>
      <w:r>
        <w:rPr>
          <w:rFonts w:ascii="Arial Bold" w:eastAsia="Arial Bold" w:hAnsi="Arial Bold" w:cs="Arial Bold"/>
          <w:b/>
          <w:color w:val="000000"/>
          <w:sz w:val="24"/>
          <w:szCs w:val="24"/>
        </w:rPr>
        <w:t>Testing the BCDR Plan</w:t>
      </w:r>
    </w:p>
    <w:p w14:paraId="0000005D" w14:textId="77777777" w:rsidR="00877BDF" w:rsidRDefault="00E93EBD">
      <w:pPr>
        <w:keepNext/>
        <w:numPr>
          <w:ilvl w:val="1"/>
          <w:numId w:val="1"/>
        </w:numPr>
        <w:pBdr>
          <w:top w:val="nil"/>
          <w:left w:val="nil"/>
          <w:bottom w:val="nil"/>
          <w:right w:val="nil"/>
          <w:between w:val="nil"/>
        </w:pBdr>
        <w:spacing w:before="120" w:after="120"/>
        <w:jc w:val="left"/>
        <w:rPr>
          <w:rFonts w:eastAsia="Arial"/>
          <w:color w:val="000000"/>
          <w:sz w:val="24"/>
          <w:szCs w:val="24"/>
        </w:rPr>
      </w:pPr>
      <w:bookmarkStart w:id="23" w:name="_heading=h.3j2qqm3" w:colFirst="0" w:colLast="0"/>
      <w:bookmarkEnd w:id="23"/>
      <w:r>
        <w:rPr>
          <w:rFonts w:eastAsia="Arial"/>
          <w:color w:val="000000"/>
          <w:sz w:val="24"/>
          <w:szCs w:val="24"/>
        </w:rPr>
        <w:t xml:space="preserve">The Supplier shall test the BCDR Plan: </w:t>
      </w:r>
    </w:p>
    <w:p w14:paraId="0000005E"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regularly and in any event not less than once in every Contract Year;</w:t>
      </w:r>
    </w:p>
    <w:p w14:paraId="0000005F"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in the event of any major reconfiguration of the Deliverables</w:t>
      </w:r>
    </w:p>
    <w:p w14:paraId="00000060"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 xml:space="preserve">at any time where the Buyer considers it necessary (acting in its sole discretion).  </w:t>
      </w:r>
    </w:p>
    <w:p w14:paraId="00000061" w14:textId="77777777" w:rsidR="00877BDF" w:rsidRDefault="00E93EBD">
      <w:pPr>
        <w:numPr>
          <w:ilvl w:val="1"/>
          <w:numId w:val="1"/>
        </w:numPr>
        <w:pBdr>
          <w:top w:val="nil"/>
          <w:left w:val="nil"/>
          <w:bottom w:val="nil"/>
          <w:right w:val="nil"/>
          <w:between w:val="nil"/>
        </w:pBdr>
        <w:spacing w:before="120" w:after="120"/>
        <w:jc w:val="left"/>
        <w:rPr>
          <w:rFonts w:eastAsia="Arial"/>
          <w:color w:val="000000"/>
          <w:sz w:val="24"/>
          <w:szCs w:val="24"/>
        </w:rPr>
      </w:pPr>
      <w:bookmarkStart w:id="24" w:name="_heading=h.1y810tw" w:colFirst="0" w:colLast="0"/>
      <w:bookmarkEnd w:id="24"/>
      <w:r>
        <w:rPr>
          <w:rFonts w:eastAsia="Arial"/>
          <w:color w:val="000000"/>
          <w:sz w:val="24"/>
          <w:szCs w:val="24"/>
        </w:rPr>
        <w:t>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p>
    <w:p w14:paraId="00000062" w14:textId="77777777" w:rsidR="00877BDF" w:rsidRDefault="00E93EBD">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14:paraId="00000063" w14:textId="77777777" w:rsidR="00877BDF" w:rsidRDefault="00E93EBD">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14:paraId="00000064" w14:textId="77777777" w:rsidR="00877BDF" w:rsidRDefault="00E93EBD">
      <w:pPr>
        <w:keepNext/>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The Supplier shall, within twenty (20) Working Days of the conclusion of each test, provide to the Buyer a report setting out:</w:t>
      </w:r>
    </w:p>
    <w:p w14:paraId="00000065"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outcome of the test;</w:t>
      </w:r>
    </w:p>
    <w:p w14:paraId="00000066"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any failures in the BCDR Plan (including the BCDR Plan's procedures) revealed by the test; and</w:t>
      </w:r>
    </w:p>
    <w:p w14:paraId="00000067" w14:textId="77777777" w:rsidR="00877BDF" w:rsidRDefault="00E93EBD">
      <w:pPr>
        <w:numPr>
          <w:ilvl w:val="2"/>
          <w:numId w:val="1"/>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Pr>
          <w:rFonts w:eastAsia="Arial"/>
          <w:color w:val="000000"/>
          <w:sz w:val="24"/>
          <w:szCs w:val="24"/>
        </w:rPr>
        <w:t>the Supplier's proposals for remedying any such failures.</w:t>
      </w:r>
    </w:p>
    <w:p w14:paraId="00000068" w14:textId="77777777" w:rsidR="00877BDF" w:rsidRDefault="00E93EBD">
      <w:pPr>
        <w:numPr>
          <w:ilvl w:val="1"/>
          <w:numId w:val="1"/>
        </w:numPr>
        <w:pBdr>
          <w:top w:val="nil"/>
          <w:left w:val="nil"/>
          <w:bottom w:val="nil"/>
          <w:right w:val="nil"/>
          <w:between w:val="nil"/>
        </w:pBdr>
        <w:spacing w:before="120" w:after="120"/>
        <w:jc w:val="left"/>
        <w:rPr>
          <w:rFonts w:eastAsia="Arial"/>
          <w:color w:val="000000"/>
          <w:sz w:val="24"/>
          <w:szCs w:val="24"/>
        </w:rPr>
      </w:pPr>
      <w:bookmarkStart w:id="25" w:name="_heading=h.4i7ojhp" w:colFirst="0" w:colLast="0"/>
      <w:bookmarkEnd w:id="25"/>
      <w:r>
        <w:rPr>
          <w:rFonts w:eastAsia="Arial"/>
          <w:color w:val="000000"/>
          <w:sz w:val="24"/>
          <w:szCs w:val="24"/>
        </w:rPr>
        <w:t>Following each test, the Supplier shall take all measures requested by the Buyer to remedy any failures in the BCDR Plan and such remedial activity and re-testing shall be completed by the Supplier, at its own cost, by the date reasonably required by the Buyer.</w:t>
      </w:r>
    </w:p>
    <w:p w14:paraId="00000069" w14:textId="77777777" w:rsidR="00877BDF" w:rsidRDefault="00E93EBD">
      <w:pPr>
        <w:keepNext/>
        <w:numPr>
          <w:ilvl w:val="0"/>
          <w:numId w:val="1"/>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bookmarkStart w:id="26" w:name="_heading=h.2xcytpi" w:colFirst="0" w:colLast="0"/>
      <w:bookmarkEnd w:id="26"/>
      <w:r>
        <w:rPr>
          <w:rFonts w:ascii="Arial Bold" w:eastAsia="Arial Bold" w:hAnsi="Arial Bold" w:cs="Arial Bold"/>
          <w:b/>
          <w:color w:val="000000"/>
          <w:sz w:val="24"/>
          <w:szCs w:val="24"/>
        </w:rPr>
        <w:lastRenderedPageBreak/>
        <w:t>Invoking the BCDR Plan</w:t>
      </w:r>
    </w:p>
    <w:p w14:paraId="0000006A" w14:textId="77777777" w:rsidR="00877BDF" w:rsidRDefault="00E93EBD">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In the event of a complete loss of service or in the event of a Disaster, the Supplier shall immediately invoke the BCDR Plan (and shall inform the Buyer promptly of such invocation). In all other instances the Supplier shall invoke or test the BCDR Plan only with the prior consent of the Buyer.</w:t>
      </w:r>
    </w:p>
    <w:p w14:paraId="0000006B" w14:textId="77777777" w:rsidR="00877BDF" w:rsidRDefault="00E93EBD">
      <w:pPr>
        <w:keepNext/>
        <w:numPr>
          <w:ilvl w:val="0"/>
          <w:numId w:val="1"/>
        </w:numPr>
        <w:pBdr>
          <w:top w:val="nil"/>
          <w:left w:val="nil"/>
          <w:bottom w:val="nil"/>
          <w:right w:val="nil"/>
          <w:between w:val="nil"/>
        </w:pBdr>
        <w:tabs>
          <w:tab w:val="left" w:pos="0"/>
        </w:tabs>
        <w:spacing w:before="240"/>
        <w:ind w:left="504"/>
        <w:jc w:val="left"/>
        <w:rPr>
          <w:rFonts w:eastAsia="Arial"/>
          <w:b/>
          <w:smallCaps/>
          <w:color w:val="000000"/>
          <w:sz w:val="24"/>
          <w:szCs w:val="24"/>
        </w:rPr>
      </w:pPr>
      <w:r>
        <w:rPr>
          <w:rFonts w:eastAsia="Arial"/>
          <w:b/>
          <w:smallCaps/>
          <w:color w:val="000000"/>
          <w:sz w:val="24"/>
          <w:szCs w:val="24"/>
        </w:rPr>
        <w:t>C</w:t>
      </w:r>
      <w:r>
        <w:rPr>
          <w:rFonts w:ascii="Arial Bold" w:eastAsia="Arial Bold" w:hAnsi="Arial Bold" w:cs="Arial Bold"/>
          <w:b/>
          <w:color w:val="000000"/>
          <w:sz w:val="24"/>
          <w:szCs w:val="24"/>
        </w:rPr>
        <w:t>ircumstances beyond your control</w:t>
      </w:r>
    </w:p>
    <w:p w14:paraId="0000006C" w14:textId="77777777" w:rsidR="00877BDF" w:rsidRDefault="00E93EBD">
      <w:pPr>
        <w:numPr>
          <w:ilvl w:val="1"/>
          <w:numId w:val="1"/>
        </w:numPr>
        <w:pBdr>
          <w:top w:val="nil"/>
          <w:left w:val="nil"/>
          <w:bottom w:val="nil"/>
          <w:right w:val="nil"/>
          <w:between w:val="nil"/>
        </w:pBdr>
        <w:spacing w:before="120" w:after="120"/>
        <w:jc w:val="left"/>
        <w:rPr>
          <w:rFonts w:eastAsia="Arial"/>
          <w:color w:val="000000"/>
          <w:sz w:val="24"/>
          <w:szCs w:val="24"/>
        </w:rPr>
      </w:pPr>
      <w:r>
        <w:rPr>
          <w:rFonts w:eastAsia="Arial"/>
          <w:color w:val="000000"/>
          <w:sz w:val="24"/>
          <w:szCs w:val="24"/>
        </w:rPr>
        <w:t xml:space="preserve">The Supplier shall not be entitled to relief under Clause 20 (Circumstances beyond your control) if it would not have been impacted by the Force Majeure Event had it not failed to comply with its obligations under this Schedule. </w:t>
      </w:r>
    </w:p>
    <w:sectPr w:rsidR="00877BDF">
      <w:headerReference w:type="default" r:id="rId10"/>
      <w:footerReference w:type="default" r:id="rId11"/>
      <w:footerReference w:type="first" r:id="rId12"/>
      <w:pgSz w:w="11906" w:h="16838"/>
      <w:pgMar w:top="1440" w:right="1440" w:bottom="1440" w:left="1440"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ugo Delamain" w:date="2020-08-21T14:25:00Z" w:initials="">
    <w:p w14:paraId="00000078" w14:textId="77777777" w:rsidR="00877BDF" w:rsidRDefault="00E93EBD">
      <w:pPr>
        <w:widowControl w:val="0"/>
        <w:pBdr>
          <w:top w:val="nil"/>
          <w:left w:val="nil"/>
          <w:bottom w:val="nil"/>
          <w:right w:val="nil"/>
          <w:between w:val="nil"/>
        </w:pBdr>
        <w:spacing w:after="0"/>
        <w:ind w:left="0"/>
        <w:jc w:val="left"/>
        <w:rPr>
          <w:rFonts w:eastAsia="Arial"/>
          <w:color w:val="000000"/>
        </w:rPr>
      </w:pPr>
      <w:r>
        <w:rPr>
          <w:rFonts w:eastAsia="Arial"/>
          <w:color w:val="000000"/>
        </w:rPr>
        <w:t>Wording to say the supplier shall have an BCDR plan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7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EC145" w14:textId="77777777" w:rsidR="00D20A61" w:rsidRDefault="00D20A61">
      <w:pPr>
        <w:spacing w:after="0"/>
      </w:pPr>
      <w:r>
        <w:separator/>
      </w:r>
    </w:p>
  </w:endnote>
  <w:endnote w:type="continuationSeparator" w:id="0">
    <w:p w14:paraId="496CBE8B" w14:textId="77777777" w:rsidR="00D20A61" w:rsidRDefault="00D20A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STZhongsong">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1" w14:textId="77777777" w:rsidR="00877BDF" w:rsidRDefault="00877BDF">
    <w:pPr>
      <w:tabs>
        <w:tab w:val="center" w:pos="4513"/>
        <w:tab w:val="right" w:pos="9026"/>
      </w:tabs>
      <w:spacing w:after="0"/>
      <w:ind w:left="0"/>
      <w:rPr>
        <w:rFonts w:ascii="Calibri" w:eastAsia="Calibri" w:hAnsi="Calibri" w:cs="Calibri"/>
        <w:color w:val="A6A6A6"/>
      </w:rPr>
    </w:pPr>
  </w:p>
  <w:p w14:paraId="00000072" w14:textId="77777777" w:rsidR="00877BDF" w:rsidRDefault="00E93EBD">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Framework Ref: RM619</w:t>
    </w:r>
    <w:r>
      <w:rPr>
        <w:sz w:val="20"/>
        <w:szCs w:val="20"/>
      </w:rPr>
      <w:t>3</w:t>
    </w:r>
  </w:p>
  <w:p w14:paraId="00000073" w14:textId="305E8D0A" w:rsidR="00877BDF" w:rsidRDefault="00E93EBD">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Project Version: v1.0</w:t>
    </w:r>
    <w:r>
      <w:rPr>
        <w:rFonts w:eastAsia="Arial"/>
        <w:color w:val="000000"/>
        <w:sz w:val="20"/>
        <w:szCs w:val="20"/>
      </w:rPr>
      <w:tab/>
    </w:r>
    <w:r>
      <w:rPr>
        <w:rFonts w:eastAsia="Arial"/>
        <w:color w:val="000000"/>
        <w:sz w:val="20"/>
        <w:szCs w:val="20"/>
      </w:rPr>
      <w:tab/>
      <w:t xml:space="preserve"> </w:t>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separate"/>
    </w:r>
    <w:r w:rsidR="009F08A7">
      <w:rPr>
        <w:rFonts w:eastAsia="Arial"/>
        <w:noProof/>
        <w:color w:val="000000"/>
        <w:sz w:val="20"/>
        <w:szCs w:val="20"/>
      </w:rPr>
      <w:t>1</w:t>
    </w:r>
    <w:r>
      <w:rPr>
        <w:rFonts w:eastAsia="Arial"/>
        <w:color w:val="000000"/>
        <w:sz w:val="20"/>
        <w:szCs w:val="20"/>
      </w:rPr>
      <w:fldChar w:fldCharType="end"/>
    </w:r>
  </w:p>
  <w:p w14:paraId="00000074" w14:textId="77777777" w:rsidR="00877BDF" w:rsidRDefault="00E93EBD">
    <w:pPr>
      <w:pBdr>
        <w:top w:val="nil"/>
        <w:left w:val="nil"/>
        <w:bottom w:val="nil"/>
        <w:right w:val="nil"/>
        <w:between w:val="nil"/>
      </w:pBdr>
      <w:tabs>
        <w:tab w:val="center" w:pos="4513"/>
        <w:tab w:val="right" w:pos="9026"/>
      </w:tabs>
      <w:spacing w:after="0"/>
      <w:ind w:left="0"/>
      <w:rPr>
        <w:rFonts w:eastAsia="Arial"/>
        <w:color w:val="A6A6A6"/>
        <w:sz w:val="20"/>
        <w:szCs w:val="20"/>
      </w:rPr>
    </w:pPr>
    <w:r>
      <w:rPr>
        <w:rFonts w:eastAsia="Arial"/>
        <w:color w:val="000000"/>
        <w:sz w:val="20"/>
        <w:szCs w:val="20"/>
      </w:rPr>
      <w:t>Model Version: v3.2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5" w14:textId="77777777" w:rsidR="00877BDF" w:rsidRDefault="00E93EBD">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Framework Ref: RM</w:t>
    </w:r>
    <w:r>
      <w:rPr>
        <w:rFonts w:eastAsia="Arial"/>
        <w:color w:val="000000"/>
        <w:sz w:val="20"/>
        <w:szCs w:val="20"/>
      </w:rPr>
      <w:tab/>
      <w:t xml:space="preserve">                                           </w:t>
    </w:r>
  </w:p>
  <w:p w14:paraId="00000076" w14:textId="77777777" w:rsidR="00877BDF" w:rsidRDefault="00E93EBD">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Project Version: v1.0</w:t>
    </w:r>
    <w:r>
      <w:rPr>
        <w:rFonts w:eastAsia="Arial"/>
        <w:color w:val="000000"/>
        <w:sz w:val="20"/>
        <w:szCs w:val="20"/>
      </w:rPr>
      <w:tab/>
    </w:r>
    <w:r>
      <w:rPr>
        <w:rFonts w:eastAsia="Arial"/>
        <w:color w:val="000000"/>
        <w:sz w:val="20"/>
        <w:szCs w:val="20"/>
      </w:rPr>
      <w:tab/>
    </w:r>
    <w:r>
      <w:rPr>
        <w:rFonts w:eastAsia="Arial"/>
        <w:color w:val="000000"/>
        <w:sz w:val="20"/>
        <w:szCs w:val="20"/>
      </w:rPr>
      <w:tab/>
      <w:t>-</w:t>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end"/>
    </w:r>
    <w:r>
      <w:rPr>
        <w:rFonts w:eastAsia="Arial"/>
        <w:color w:val="000000"/>
        <w:sz w:val="20"/>
        <w:szCs w:val="20"/>
      </w:rPr>
      <w:t>-</w:t>
    </w:r>
  </w:p>
  <w:p w14:paraId="00000077" w14:textId="77777777" w:rsidR="00877BDF" w:rsidRDefault="00E93EBD">
    <w:pPr>
      <w:pBdr>
        <w:top w:val="nil"/>
        <w:left w:val="nil"/>
        <w:bottom w:val="nil"/>
        <w:right w:val="nil"/>
        <w:between w:val="nil"/>
      </w:pBdr>
      <w:tabs>
        <w:tab w:val="center" w:pos="4513"/>
        <w:tab w:val="right" w:pos="9026"/>
      </w:tabs>
      <w:spacing w:after="0"/>
      <w:ind w:left="0"/>
      <w:rPr>
        <w:rFonts w:eastAsia="Arial"/>
        <w:color w:val="000000"/>
        <w:sz w:val="20"/>
        <w:szCs w:val="20"/>
      </w:rPr>
    </w:pPr>
    <w:r>
      <w:rPr>
        <w:rFonts w:eastAsia="Arial"/>
        <w:color w:val="000000"/>
        <w:sz w:val="20"/>
        <w:szCs w:val="20"/>
      </w:rPr>
      <w:t>Model Version: v2.9</w:t>
    </w:r>
    <w:r>
      <w:rPr>
        <w:rFonts w:eastAsia="Arial"/>
        <w:color w:val="000000"/>
        <w:sz w:val="20"/>
        <w:szCs w:val="20"/>
      </w:rPr>
      <w:tab/>
    </w:r>
    <w:r>
      <w:rPr>
        <w:rFonts w:eastAsia="Arial"/>
        <w:color w:val="000000"/>
        <w:sz w:val="20"/>
        <w:szCs w:val="20"/>
      </w:rPr>
      <w:tab/>
    </w:r>
    <w:r>
      <w:rPr>
        <w:rFonts w:eastAsia="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8EEC4" w14:textId="77777777" w:rsidR="00D20A61" w:rsidRDefault="00D20A61">
      <w:pPr>
        <w:spacing w:after="0"/>
      </w:pPr>
      <w:r>
        <w:separator/>
      </w:r>
    </w:p>
  </w:footnote>
  <w:footnote w:type="continuationSeparator" w:id="0">
    <w:p w14:paraId="4E999EE6" w14:textId="77777777" w:rsidR="00D20A61" w:rsidRDefault="00D20A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D" w14:textId="77777777" w:rsidR="00877BDF" w:rsidRDefault="00E93EBD">
    <w:pPr>
      <w:tabs>
        <w:tab w:val="center" w:pos="4513"/>
        <w:tab w:val="right" w:pos="9026"/>
      </w:tabs>
      <w:spacing w:after="0"/>
      <w:ind w:left="0"/>
      <w:jc w:val="left"/>
      <w:rPr>
        <w:sz w:val="20"/>
        <w:szCs w:val="20"/>
      </w:rPr>
    </w:pPr>
    <w:r>
      <w:rPr>
        <w:b/>
        <w:sz w:val="20"/>
        <w:szCs w:val="20"/>
      </w:rPr>
      <w:t>Call-Off Schedule 8 (Business Continuity and Disaster Recovery)</w:t>
    </w:r>
  </w:p>
  <w:p w14:paraId="0000006E" w14:textId="77777777" w:rsidR="00877BDF" w:rsidRDefault="00E93EBD">
    <w:pPr>
      <w:tabs>
        <w:tab w:val="center" w:pos="4513"/>
        <w:tab w:val="right" w:pos="9026"/>
      </w:tabs>
      <w:spacing w:after="0"/>
      <w:ind w:left="0"/>
      <w:jc w:val="left"/>
      <w:rPr>
        <w:sz w:val="20"/>
        <w:szCs w:val="20"/>
      </w:rPr>
    </w:pPr>
    <w:r>
      <w:rPr>
        <w:sz w:val="20"/>
        <w:szCs w:val="20"/>
      </w:rPr>
      <w:t>Call-Off Ref:</w:t>
    </w:r>
  </w:p>
  <w:p w14:paraId="0000006F" w14:textId="77777777" w:rsidR="00877BDF" w:rsidRDefault="00E93EBD">
    <w:pPr>
      <w:tabs>
        <w:tab w:val="center" w:pos="4513"/>
        <w:tab w:val="right" w:pos="9026"/>
      </w:tabs>
      <w:spacing w:after="0"/>
      <w:ind w:left="0"/>
      <w:jc w:val="left"/>
      <w:rPr>
        <w:sz w:val="20"/>
        <w:szCs w:val="20"/>
      </w:rPr>
    </w:pPr>
    <w:r>
      <w:rPr>
        <w:sz w:val="20"/>
        <w:szCs w:val="20"/>
      </w:rPr>
      <w:t>Crown Copyright 2020</w:t>
    </w:r>
  </w:p>
  <w:p w14:paraId="00000070" w14:textId="77777777" w:rsidR="00877BDF" w:rsidRDefault="00877BDF">
    <w:pPr>
      <w:tabs>
        <w:tab w:val="center" w:pos="4513"/>
        <w:tab w:val="right" w:pos="9026"/>
      </w:tabs>
      <w:spacing w:after="0"/>
      <w:ind w:left="0"/>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53DD7"/>
    <w:multiLevelType w:val="multilevel"/>
    <w:tmpl w:val="4F840B40"/>
    <w:lvl w:ilvl="0">
      <w:start w:val="1"/>
      <w:numFmt w:val="decimal"/>
      <w:pStyle w:val="GPSL1CLAUSEHEADING"/>
      <w:lvlText w:val="%1."/>
      <w:lvlJc w:val="left"/>
      <w:pPr>
        <w:ind w:left="720" w:hanging="720"/>
      </w:pPr>
      <w:rPr>
        <w:smallCaps w:val="0"/>
        <w:strike w:val="0"/>
        <w:color w:val="000000"/>
        <w:u w:val="none"/>
        <w:vertAlign w:val="baseline"/>
      </w:rPr>
    </w:lvl>
    <w:lvl w:ilvl="1">
      <w:start w:val="1"/>
      <w:numFmt w:val="decimal"/>
      <w:pStyle w:val="GPSL2numberedclause"/>
      <w:lvlText w:val="%1.%2"/>
      <w:lvlJc w:val="left"/>
      <w:pPr>
        <w:ind w:left="720" w:hanging="720"/>
      </w:pPr>
      <w:rPr>
        <w:rFonts w:ascii="Arial" w:eastAsia="Arial" w:hAnsi="Arial" w:cs="Arial"/>
        <w:i w:val="0"/>
        <w:smallCaps w:val="0"/>
        <w:strike w:val="0"/>
        <w:color w:val="000000"/>
        <w:u w:val="none"/>
        <w:vertAlign w:val="baseline"/>
      </w:rPr>
    </w:lvl>
    <w:lvl w:ilvl="2">
      <w:start w:val="1"/>
      <w:numFmt w:val="decimal"/>
      <w:pStyle w:val="GPSL3numberedclause"/>
      <w:lvlText w:val="%1.%2.%3"/>
      <w:lvlJc w:val="left"/>
      <w:pPr>
        <w:ind w:left="1440" w:hanging="720"/>
      </w:pPr>
      <w:rPr>
        <w:i w:val="0"/>
        <w:smallCaps w:val="0"/>
        <w:strike w:val="0"/>
        <w:color w:val="000000"/>
        <w:u w:val="none"/>
        <w:vertAlign w:val="baseline"/>
      </w:rPr>
    </w:lvl>
    <w:lvl w:ilvl="3">
      <w:start w:val="1"/>
      <w:numFmt w:val="lowerLetter"/>
      <w:pStyle w:val="GPSL4numberedclause"/>
      <w:lvlText w:val="(%4)"/>
      <w:lvlJc w:val="left"/>
      <w:pPr>
        <w:ind w:left="1440" w:hanging="720"/>
      </w:pPr>
      <w:rPr>
        <w:rFonts w:ascii="Calibri" w:eastAsia="Calibri" w:hAnsi="Calibri" w:cs="Calibri"/>
        <w:i w:val="0"/>
        <w:smallCaps w:val="0"/>
        <w:strike w:val="0"/>
        <w:color w:val="000000"/>
        <w:u w:val="none"/>
        <w:vertAlign w:val="baseline"/>
      </w:rPr>
    </w:lvl>
    <w:lvl w:ilvl="4">
      <w:start w:val="1"/>
      <w:numFmt w:val="lowerRoman"/>
      <w:pStyle w:val="GPSL5numberedclause"/>
      <w:lvlText w:val="(%5)"/>
      <w:lvlJc w:val="left"/>
      <w:pPr>
        <w:ind w:left="3207" w:hanging="1080"/>
      </w:pPr>
      <w:rPr>
        <w:b w:val="0"/>
        <w:i w:val="0"/>
        <w:smallCaps w:val="0"/>
        <w:strike w:val="0"/>
        <w:color w:val="000000"/>
        <w:u w:val="none"/>
        <w:vertAlign w:val="baseline"/>
      </w:rPr>
    </w:lvl>
    <w:lvl w:ilvl="5">
      <w:start w:val="1"/>
      <w:numFmt w:val="upperLetter"/>
      <w:pStyle w:val="GPSL6numbered"/>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1" w15:restartNumberingAfterBreak="0">
    <w:nsid w:val="7F122EFE"/>
    <w:multiLevelType w:val="multilevel"/>
    <w:tmpl w:val="E242B0E0"/>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DF"/>
    <w:rsid w:val="00345A3C"/>
    <w:rsid w:val="00877BDF"/>
    <w:rsid w:val="009F08A7"/>
    <w:rsid w:val="00D20A61"/>
    <w:rsid w:val="00E93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6C477-BF0A-41E2-A545-A0A6A04A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240"/>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pPr>
      <w:numPr>
        <w:numId w:val="1"/>
      </w:numPr>
      <w:tabs>
        <w:tab w:val="left" w:pos="0"/>
      </w:tabs>
      <w:overflowPunct/>
      <w:autoSpaceDE/>
      <w:autoSpaceDN/>
      <w:spacing w:before="240"/>
      <w:ind w:left="360" w:hanging="360"/>
      <w:textAlignment w:val="auto"/>
      <w:outlineLvl w:val="1"/>
    </w:pPr>
    <w:rPr>
      <w:rFonts w:ascii="Arial Bold" w:eastAsia="STZhongsong" w:hAnsi="Arial Bold"/>
      <w:b/>
      <w:caps/>
      <w:lang w:eastAsia="zh-CN"/>
    </w:rPr>
  </w:style>
  <w:style w:type="paragraph" w:customStyle="1" w:styleId="GPSL2numberedclause">
    <w:name w:val="GPS L2 numbered clause"/>
    <w:basedOn w:val="Normal"/>
    <w:link w:val="GPSL2numberedclauseChar1"/>
    <w:qFormat/>
    <w:pPr>
      <w:numPr>
        <w:ilvl w:val="1"/>
        <w:numId w:val="1"/>
      </w:numPr>
      <w:overflowPunct/>
      <w:autoSpaceDE/>
      <w:autoSpaceDN/>
      <w:spacing w:before="120" w:after="120"/>
      <w:ind w:left="936" w:hanging="576"/>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pPr>
      <w:numPr>
        <w:numId w:val="2"/>
      </w:numPr>
      <w:tabs>
        <w:tab w:val="left" w:pos="-9"/>
      </w:tabs>
      <w:spacing w:after="120"/>
    </w:p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pPr>
    <w:rPr>
      <w:rFonts w:eastAsia="Times New Roman"/>
    </w:rPr>
  </w:style>
  <w:style w:type="table" w:styleId="TableGrid">
    <w:name w:val="Table Grid"/>
    <w:basedOn w:val="TableNormal"/>
    <w:uiPriority w:val="59"/>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rPr>
      <w:rFonts w:ascii="Calibri" w:eastAsia="Calibri" w:hAnsi="Calibri" w:cs="Calibri"/>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KalNf21byypeOsWvSSC0ZedscA==">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Landor</dc:creator>
  <cp:lastModifiedBy>steve hopkins</cp:lastModifiedBy>
  <cp:revision>2</cp:revision>
  <dcterms:created xsi:type="dcterms:W3CDTF">2021-06-07T12:49:00Z</dcterms:created>
  <dcterms:modified xsi:type="dcterms:W3CDTF">2021-06-07T12:49:00Z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