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32" w:rsidRDefault="00D848F2">
      <w:pPr>
        <w:rPr>
          <w:rFonts w:ascii="Arial" w:eastAsia="Arial" w:hAnsi="Arial" w:cs="Arial"/>
          <w:b/>
          <w:sz w:val="36"/>
          <w:szCs w:val="36"/>
        </w:rPr>
      </w:pPr>
      <w:bookmarkStart w:id="0" w:name="_heading=h.gjdgxs" w:colFirst="0" w:colLast="0"/>
      <w:bookmarkStart w:id="1" w:name="_GoBack"/>
      <w:bookmarkEnd w:id="0"/>
      <w:bookmarkEnd w:id="1"/>
      <w:r>
        <w:rPr>
          <w:rFonts w:ascii="Arial" w:eastAsia="Arial" w:hAnsi="Arial" w:cs="Arial"/>
          <w:b/>
          <w:sz w:val="36"/>
          <w:szCs w:val="36"/>
        </w:rPr>
        <w:t>Joint Schedule 1 (Definitions)</w:t>
      </w:r>
    </w:p>
    <w:p w:rsidR="00876E32" w:rsidRDefault="00D848F2">
      <w:pPr>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w:t>
      </w:r>
      <w:bookmarkStart w:id="2" w:name="bookmark=id.30j0zll" w:colFirst="0" w:colLast="0"/>
      <w:bookmarkEnd w:id="2"/>
      <w:r>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rsidR="00876E32" w:rsidRDefault="00D848F2">
      <w:pPr>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bookmarkStart w:id="3" w:name="_heading=h.1fob9te" w:colFirst="0" w:colLast="0"/>
      <w:bookmarkEnd w:id="3"/>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876E32" w:rsidRDefault="00D848F2">
      <w:pPr>
        <w:keepNext/>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singular includes the plural and vice versa;</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 to a gender includes the other gender and the neuter;</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a person include an individual, company, body corporate, corporation, unincorporated association, firm, partnership or other legal entity or Crown Body;</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appropriate Schedules unless otherwise provided; </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a series of Clauses or Paragraphs shall be inclusive of the clause numbers specified;</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headings in each Contract are for ease of reference only and shall not affect the interpretation or construction of a Contract; and</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where the Buyer is a Crown Body it shall be treated as contracting with the Crown as a whole.</w:t>
      </w:r>
    </w:p>
    <w:p w:rsidR="00876E32" w:rsidRDefault="00D848F2">
      <w:pPr>
        <w:keepNext/>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In each Contract, unless the context otherwise requires, the following words shall have the following meanings:</w:t>
      </w:r>
    </w:p>
    <w:p w:rsidR="00876E32" w:rsidRDefault="00876E32">
      <w:pPr>
        <w:keepNext/>
        <w:pBdr>
          <w:top w:val="nil"/>
          <w:left w:val="nil"/>
          <w:bottom w:val="nil"/>
          <w:right w:val="nil"/>
          <w:between w:val="nil"/>
        </w:pBdr>
        <w:tabs>
          <w:tab w:val="left" w:pos="1134"/>
        </w:tabs>
        <w:spacing w:before="120" w:after="120" w:line="240" w:lineRule="auto"/>
        <w:ind w:left="567" w:hanging="567"/>
        <w:jc w:val="both"/>
        <w:rPr>
          <w:rFonts w:ascii="Arial" w:eastAsia="Arial" w:hAnsi="Arial" w:cs="Arial"/>
          <w:color w:val="000000"/>
          <w:sz w:val="24"/>
          <w:szCs w:val="24"/>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1"/>
        <w:gridCol w:w="7566"/>
      </w:tblGrid>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bookmarkStart w:id="4" w:name="_heading=h.3znysh7" w:colFirst="0" w:colLast="0"/>
            <w:bookmarkEnd w:id="4"/>
            <w:r>
              <w:rPr>
                <w:rFonts w:ascii="Arial" w:eastAsia="Arial" w:hAnsi="Arial" w:cs="Arial"/>
                <w:b/>
                <w:color w:val="000000"/>
                <w:sz w:val="24"/>
                <w:szCs w:val="24"/>
              </w:rPr>
              <w:t>"Achieve"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respect of a Test, to successfully pass such Test without any Test Issues and in respect of a Milestone, the issue of a Satisfaction Certificate in respect of that Milestone and "</w:t>
            </w:r>
            <w:r>
              <w:rPr>
                <w:rFonts w:ascii="Arial" w:eastAsia="Arial" w:hAnsi="Arial" w:cs="Arial"/>
                <w:b/>
                <w:color w:val="000000"/>
                <w:sz w:val="24"/>
                <w:szCs w:val="24"/>
              </w:rPr>
              <w:t>Achieved</w:t>
            </w:r>
            <w:r>
              <w:rPr>
                <w:rFonts w:ascii="Arial" w:eastAsia="Arial" w:hAnsi="Arial" w:cs="Arial"/>
                <w:color w:val="000000"/>
                <w:sz w:val="24"/>
                <w:szCs w:val="24"/>
              </w:rPr>
              <w:t>", "</w:t>
            </w:r>
            <w:r>
              <w:rPr>
                <w:rFonts w:ascii="Arial" w:eastAsia="Arial" w:hAnsi="Arial" w:cs="Arial"/>
                <w:b/>
                <w:color w:val="000000"/>
                <w:sz w:val="24"/>
                <w:szCs w:val="24"/>
              </w:rPr>
              <w:t>Achieving</w:t>
            </w:r>
            <w:r>
              <w:rPr>
                <w:rFonts w:ascii="Arial" w:eastAsia="Arial" w:hAnsi="Arial" w:cs="Arial"/>
                <w:color w:val="000000"/>
                <w:sz w:val="24"/>
                <w:szCs w:val="24"/>
              </w:rPr>
              <w:t>" and "</w:t>
            </w:r>
            <w:r>
              <w:rPr>
                <w:rFonts w:ascii="Arial" w:eastAsia="Arial" w:hAnsi="Arial" w:cs="Arial"/>
                <w:b/>
                <w:color w:val="000000"/>
                <w:sz w:val="24"/>
                <w:szCs w:val="24"/>
              </w:rPr>
              <w:t>Achievement</w:t>
            </w:r>
            <w:r>
              <w:rPr>
                <w:rFonts w:ascii="Arial" w:eastAsia="Arial" w:hAnsi="Arial" w:cs="Arial"/>
                <w:color w:val="000000"/>
                <w:sz w:val="24"/>
                <w:szCs w:val="24"/>
              </w:rPr>
              <w:t>" shall be construed accordingly;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"Additional Insurances"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insurance requirements relating to a Call-Off Contract specified in the Order Form additional to those outlined in Joint Schedule 3 (Insurance Requirements);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"Admin Fee”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costs incurred by CCS in dealing with MI Failures calculated in accordance with the tariff of administration charges published by the CCS on: http://CCS.cabinetoffice.gov.uk/i-am-supplier/management-information/admin-fees;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"Affected Party"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seeking to claim relief in respect of a Force Majeure Event;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"Affiliates"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“Annex”</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extra information which supports a Schedule;</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sz w:val="24"/>
                <w:szCs w:val="24"/>
              </w:rPr>
              <w:t>“Application Support”</w:t>
            </w:r>
          </w:p>
        </w:tc>
        <w:tc>
          <w:tcPr>
            <w:tcW w:w="7566" w:type="dxa"/>
          </w:tcPr>
          <w:p w:rsidR="00876E32" w:rsidRDefault="00D848F2">
            <w:pPr>
              <w:pBdr>
                <w:top w:val="nil"/>
                <w:left w:val="nil"/>
                <w:bottom w:val="nil"/>
                <w:right w:val="nil"/>
                <w:between w:val="nil"/>
              </w:pBdr>
              <w:tabs>
                <w:tab w:val="left" w:pos="-179"/>
                <w:tab w:val="left" w:pos="-9"/>
              </w:tabs>
              <w:spacing w:after="120"/>
              <w:jc w:val="both"/>
              <w:rPr>
                <w:rFonts w:ascii="Arial" w:eastAsia="Arial" w:hAnsi="Arial" w:cs="Arial"/>
                <w:sz w:val="24"/>
                <w:szCs w:val="24"/>
              </w:rPr>
            </w:pPr>
            <w:r>
              <w:rPr>
                <w:rFonts w:ascii="Arial" w:eastAsia="Arial" w:hAnsi="Arial" w:cs="Arial"/>
                <w:sz w:val="24"/>
                <w:szCs w:val="24"/>
              </w:rPr>
              <w:t>a wide variety of application services, processes and methodologies for maintaining, enhancing, managing and supporting custom or enterprise applications, packaged software applications, or network-delivered applications.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"Approval"</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prior written consent of the Buyer and "</w:t>
            </w:r>
            <w:r>
              <w:rPr>
                <w:rFonts w:ascii="Arial" w:eastAsia="Arial" w:hAnsi="Arial" w:cs="Arial"/>
                <w:b/>
                <w:color w:val="000000"/>
                <w:sz w:val="24"/>
                <w:szCs w:val="24"/>
              </w:rPr>
              <w:t>Approve</w:t>
            </w:r>
            <w:r>
              <w:rPr>
                <w:rFonts w:ascii="Arial" w:eastAsia="Arial" w:hAnsi="Arial" w:cs="Arial"/>
                <w:color w:val="000000"/>
                <w:sz w:val="24"/>
                <w:szCs w:val="24"/>
              </w:rPr>
              <w:t>" and "</w:t>
            </w:r>
            <w:r>
              <w:rPr>
                <w:rFonts w:ascii="Arial" w:eastAsia="Arial" w:hAnsi="Arial" w:cs="Arial"/>
                <w:b/>
                <w:color w:val="000000"/>
                <w:sz w:val="24"/>
                <w:szCs w:val="24"/>
              </w:rPr>
              <w:t>Approved</w:t>
            </w:r>
            <w:r>
              <w:rPr>
                <w:rFonts w:ascii="Arial" w:eastAsia="Arial" w:hAnsi="Arial" w:cs="Arial"/>
                <w:color w:val="000000"/>
                <w:sz w:val="24"/>
                <w:szCs w:val="24"/>
              </w:rPr>
              <w:t>" shall be construed accordingly;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"Audit"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Relevant Authority’s right to: </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accuracy of the Charges and any other amounts payable by a Buyer under a Call-Off Contract (including proposed or actual variations to them in accordance with the Contract); </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costs of the Supplier (including the costs of all Subcontractors and any third party suppliers) in connection with the provision of the Services;</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Open Book Data;</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Supplier’s and each Subcontractor’s compliance with the applicable Law;</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lastRenderedPageBreak/>
              <w:t>identify or investigate any circumstances which may impact upon the financial stability of the Supplier, any Guarantor, and/or any Subcontractors or their ability to provide the Deliverables;</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review any books of account and the internal contract management accounts kept by the Supplier in connection with each Contract;</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carry out the Relevant Authority’s internal and statutory audits and to prepare, examine and/or certify the Relevant Authority's annual and interim reports and accounts;</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enable the National Audit Office to carry out an examination pursuant to Section 6(1) of the National Audit Act 1983 of the economy, efficiency and effectiveness with which the Relevant Authority has used its resources; or</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accuracy and completeness of any Management Information delivered or required by the Framework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"Auditor"</w:t>
            </w:r>
          </w:p>
        </w:tc>
        <w:tc>
          <w:tcPr>
            <w:tcW w:w="7566" w:type="dxa"/>
          </w:tcPr>
          <w:p w:rsidR="00876E32" w:rsidRDefault="00D848F2">
            <w:pPr>
              <w:numPr>
                <w:ilvl w:val="0"/>
                <w:numId w:val="7"/>
              </w:numPr>
              <w:pBdr>
                <w:top w:val="nil"/>
                <w:left w:val="nil"/>
                <w:bottom w:val="nil"/>
                <w:right w:val="nil"/>
                <w:between w:val="nil"/>
              </w:pBdr>
              <w:tabs>
                <w:tab w:val="left" w:pos="-179"/>
                <w:tab w:val="left" w:pos="-9"/>
              </w:tabs>
              <w:spacing w:after="120"/>
              <w:ind w:left="501" w:hanging="331"/>
              <w:jc w:val="both"/>
              <w:rPr>
                <w:rFonts w:ascii="Arial" w:eastAsia="Arial" w:hAnsi="Arial" w:cs="Arial"/>
                <w:color w:val="000000"/>
                <w:sz w:val="24"/>
                <w:szCs w:val="24"/>
              </w:rPr>
            </w:pPr>
            <w:r>
              <w:rPr>
                <w:rFonts w:ascii="Arial" w:eastAsia="Arial" w:hAnsi="Arial" w:cs="Arial"/>
                <w:color w:val="000000"/>
                <w:sz w:val="24"/>
                <w:szCs w:val="24"/>
              </w:rPr>
              <w:t>the Buyer’s internal and external auditors;</w:t>
            </w:r>
          </w:p>
          <w:p w:rsidR="00876E32" w:rsidRDefault="00D848F2">
            <w:pPr>
              <w:numPr>
                <w:ilvl w:val="0"/>
                <w:numId w:val="7"/>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Buyer’s statutory or regulatory auditors;</w:t>
            </w:r>
          </w:p>
          <w:p w:rsidR="00876E32" w:rsidRDefault="00D848F2">
            <w:pPr>
              <w:numPr>
                <w:ilvl w:val="0"/>
                <w:numId w:val="7"/>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Comptroller and Auditor General, their staff and/or any appointed representatives of the National Audit Office;</w:t>
            </w:r>
          </w:p>
          <w:p w:rsidR="00876E32" w:rsidRDefault="00D848F2">
            <w:pPr>
              <w:numPr>
                <w:ilvl w:val="0"/>
                <w:numId w:val="7"/>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HM Treasury or the Cabinet Office;</w:t>
            </w:r>
          </w:p>
          <w:p w:rsidR="00876E32" w:rsidRDefault="00D848F2">
            <w:pPr>
              <w:numPr>
                <w:ilvl w:val="0"/>
                <w:numId w:val="7"/>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any party formally appointed by the Buyer to carry out audit or similar review functions; and</w:t>
            </w:r>
          </w:p>
          <w:p w:rsidR="00876E32" w:rsidRDefault="00D848F2">
            <w:pPr>
              <w:numPr>
                <w:ilvl w:val="0"/>
                <w:numId w:val="7"/>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successors or assigns of any of the above;</w:t>
            </w:r>
          </w:p>
        </w:tc>
      </w:tr>
      <w:tr w:rsidR="00876E32">
        <w:trPr>
          <w:trHeight w:val="601"/>
        </w:trPr>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"Authority"</w:t>
            </w:r>
          </w:p>
        </w:tc>
        <w:tc>
          <w:tcPr>
            <w:tcW w:w="7566" w:type="dxa"/>
          </w:tcPr>
          <w:p w:rsidR="00876E32" w:rsidRDefault="00D848F2">
            <w:pPr>
              <w:rPr>
                <w:rFonts w:ascii="Arial" w:eastAsia="Arial" w:hAnsi="Arial" w:cs="Arial"/>
                <w:sz w:val="24"/>
                <w:szCs w:val="24"/>
              </w:rPr>
            </w:pPr>
            <w:r>
              <w:rPr>
                <w:rFonts w:ascii="Arial" w:eastAsia="Arial" w:hAnsi="Arial" w:cs="Arial"/>
                <w:sz w:val="24"/>
                <w:szCs w:val="24"/>
              </w:rPr>
              <w:t xml:space="preserve">   CCS and each Buyer;</w:t>
            </w:r>
          </w:p>
        </w:tc>
      </w:tr>
      <w:tr w:rsidR="00876E32">
        <w:tc>
          <w:tcPr>
            <w:tcW w:w="2181" w:type="dxa"/>
          </w:tcPr>
          <w:p w:rsidR="00876E32" w:rsidRDefault="00D848F2">
            <w:pPr>
              <w:pBdr>
                <w:top w:val="nil"/>
                <w:left w:val="nil"/>
                <w:bottom w:val="nil"/>
                <w:right w:val="nil"/>
                <w:between w:val="nil"/>
              </w:pBdr>
              <w:ind w:left="-108"/>
              <w:rPr>
                <w:rFonts w:ascii="Arial" w:eastAsia="Arial" w:hAnsi="Arial" w:cs="Arial"/>
                <w:b/>
                <w:color w:val="000000"/>
                <w:sz w:val="24"/>
                <w:szCs w:val="24"/>
              </w:rPr>
            </w:pPr>
            <w:r>
              <w:rPr>
                <w:rFonts w:ascii="Arial" w:eastAsia="Arial" w:hAnsi="Arial" w:cs="Arial"/>
                <w:b/>
                <w:color w:val="000000"/>
                <w:sz w:val="24"/>
                <w:szCs w:val="24"/>
              </w:rPr>
              <w:t>"Authority Cause"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"BACS"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Bankers’ Automated Clearing Services, which is a scheme for the electronic processing of financial transactions within the United Kingdom;</w:t>
            </w:r>
          </w:p>
        </w:tc>
      </w:tr>
      <w:tr w:rsidR="00876E32">
        <w:tc>
          <w:tcPr>
            <w:tcW w:w="2181"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“Balanced Scorecard”</w:t>
            </w:r>
          </w:p>
        </w:tc>
        <w:tc>
          <w:tcPr>
            <w:tcW w:w="7566"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a tool for Call-Off Contact management activity, through measurement of a Supplier’s performance against key performance indicator, which the Buyer and Supplier may agree at the Call-Off Contract Start Date;</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"Beneficiary"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having (or claiming to have) the benefit of an indemnity under this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"Buyer"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relevant public sector purchaser identified as such in the Order Form;</w:t>
            </w:r>
          </w:p>
        </w:tc>
      </w:tr>
      <w:tr w:rsidR="00876E32">
        <w:tc>
          <w:tcPr>
            <w:tcW w:w="2181"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Assets"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the Buyer from time to time in relation to the Call-Off Contract initially identified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Premises"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between the Buyer and the Supplier (entered into pursuant to the provisions of the Framework Contract), which consists of the terms set out and referred to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 Period"</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Period in respect of the Call-Off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Expiry Date"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the end of a Call-Off Contract as stated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Incorporated Terms"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Call-Off Contract specified under the relevant heading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Initial Period"</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Period of a Call-Off Contract specified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Optional Extension Period"</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Call-Off Initial Period may be extended up to a maximum of the number of years in total specified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Procedure"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process for awarding a Call-Off Contract pursuant to Clause 2 (How the contract works) and Framework Schedule 7 (Call-Off Procedure and Award Criteria);</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Special Terms"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additional terms and conditions specified in the Order Form incorporated into the applicable Call-Off Contract;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Start Date"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a Call-Off Contract as stated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Tender"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in response to the Buyer’s Statement of Requirements following a Further Competition Procedure and set out at Call-Off Schedule 4 (Call-Off Tender);</w:t>
            </w:r>
          </w:p>
        </w:tc>
      </w:tr>
      <w:tr w:rsidR="00876E32">
        <w:tc>
          <w:tcPr>
            <w:tcW w:w="2181"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“Cap”</w:t>
            </w:r>
          </w:p>
        </w:tc>
        <w:tc>
          <w:tcPr>
            <w:tcW w:w="7566"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maximum amount to be paid by the Buyer under a Time and Materials mechanism for the delivery of an agreed scope;</w:t>
            </w:r>
          </w:p>
        </w:tc>
      </w:tr>
      <w:tr w:rsidR="00876E32">
        <w:tc>
          <w:tcPr>
            <w:tcW w:w="2181"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“Capped Time and Materials”</w:t>
            </w:r>
          </w:p>
        </w:tc>
        <w:tc>
          <w:tcPr>
            <w:tcW w:w="7566"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Time and Materials payable up to a specified Cap for delivery of the agreed scope of Deliverables;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"CCS Authorised Representative"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876E32">
        <w:tc>
          <w:tcPr>
            <w:tcW w:w="2181"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"Central Government Body"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Government Department;</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Non-Departmental Public Body or Assembly Sponsored Public Body (advisory, executive, or tribunal);</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Non-Ministerial Department; or</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Executive Agency;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in Law"</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change in Law which impacts on the supply of the Deliverables and performance of the Contract which comes into force after the Start Date;</w:t>
            </w:r>
            <w:r>
              <w:rPr>
                <w:rFonts w:ascii="Arial" w:eastAsia="Arial" w:hAnsi="Arial" w:cs="Arial"/>
                <w:b/>
                <w:color w:val="000000"/>
                <w:sz w:val="24"/>
                <w:szCs w:val="24"/>
              </w:rPr>
              <w:t xml:space="preserve">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of Control"</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of control within the meaning of Section 450 of the Corporation Tax Act 2010;</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"Charges"</w:t>
            </w:r>
          </w:p>
        </w:tc>
        <w:tc>
          <w:tcPr>
            <w:tcW w:w="7566" w:type="dxa"/>
          </w:tcPr>
          <w:p w:rsidR="00876E32" w:rsidRDefault="00D848F2">
            <w:pPr>
              <w:pBdr>
                <w:top w:val="nil"/>
                <w:left w:val="nil"/>
                <w:bottom w:val="nil"/>
                <w:right w:val="nil"/>
                <w:between w:val="nil"/>
              </w:pBdr>
              <w:tabs>
                <w:tab w:val="left" w:pos="-179"/>
                <w:tab w:val="left" w:pos="-9"/>
              </w:tabs>
              <w:spacing w:after="120"/>
              <w:ind w:left="144"/>
              <w:jc w:val="both"/>
              <w:rPr>
                <w:rFonts w:ascii="Arial" w:eastAsia="Arial" w:hAnsi="Arial" w:cs="Arial"/>
                <w:color w:val="000000"/>
                <w:sz w:val="24"/>
                <w:szCs w:val="24"/>
              </w:rPr>
            </w:pPr>
            <w:r>
              <w:rPr>
                <w:rFonts w:ascii="Arial" w:eastAsia="Arial" w:hAnsi="Arial" w:cs="Arial"/>
                <w:color w:val="00000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"Claim"</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which it appears that a Beneficiary is, or may become, entitled to indemnification under this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"Commercially Sensitive Information"</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"Comparable Supply"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supply of Deliverables to another Buyer of the Supplier that are the same or similar to the Deliverables;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"Compliance Officer"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person(s) appointed by the Supplier who is responsible for ensuring that the Supplier complies with its legal obligations;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"Confidential Information"</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rFonts w:ascii="Arial" w:eastAsia="Arial" w:hAnsi="Arial" w:cs="Arial"/>
                <w:b/>
                <w:color w:val="000000"/>
                <w:sz w:val="24"/>
                <w:szCs w:val="24"/>
              </w:rPr>
              <w:t>"confidential"</w:t>
            </w:r>
            <w:r>
              <w:rPr>
                <w:rFonts w:ascii="Arial" w:eastAsia="Arial" w:hAnsi="Arial" w:cs="Arial"/>
                <w:color w:val="000000"/>
                <w:sz w:val="24"/>
                <w:szCs w:val="24"/>
              </w:rPr>
              <w:t>) or which ought reasonably to be considered to be confidential;</w:t>
            </w:r>
          </w:p>
        </w:tc>
      </w:tr>
      <w:tr w:rsidR="00876E32">
        <w:tc>
          <w:tcPr>
            <w:tcW w:w="2181"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"Conflict of Interest"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conflict between the financial or personal duties of the Supplier or the Supplier Staff and the duties owed to CCS or any Buyer under a Contract, in the reasonable opinion of the Buyer or CCS;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either the Framework Contract or the Call-Off Contract, as the context requires;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"Contracts Finder"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Government’s publishing portal for public sector procurement opportunities;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Period"</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term of either a Framework Contract or Call-Off Contract from the earlier of the:</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applicable Start Date; or</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the Effective Date</w:t>
            </w:r>
          </w:p>
          <w:p w:rsidR="00876E32" w:rsidRDefault="00D848F2">
            <w:pPr>
              <w:pBdr>
                <w:top w:val="nil"/>
                <w:left w:val="nil"/>
                <w:bottom w:val="nil"/>
                <w:right w:val="nil"/>
                <w:between w:val="nil"/>
              </w:pBdr>
              <w:tabs>
                <w:tab w:val="left" w:pos="-576"/>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until the applicable End Date;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Value"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higher of the actual or expected total Charges paid or payable under a Contract where all obligations are met by the Supplier;</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Year"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consecutive period of twelve (12) Months commencing on the Start Date or each anniversary thereof;</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control in either of the senses defined in sections 450 and 1124 of the Corporation Tax Act 2010 and "</w:t>
            </w:r>
            <w:r>
              <w:rPr>
                <w:rFonts w:ascii="Arial" w:eastAsia="Arial" w:hAnsi="Arial" w:cs="Arial"/>
                <w:b/>
                <w:color w:val="000000"/>
                <w:sz w:val="24"/>
                <w:szCs w:val="24"/>
              </w:rPr>
              <w:t>Controlled</w:t>
            </w:r>
            <w:r>
              <w:rPr>
                <w:rFonts w:ascii="Arial" w:eastAsia="Arial" w:hAnsi="Arial" w:cs="Arial"/>
                <w:color w:val="000000"/>
                <w:sz w:val="24"/>
                <w:szCs w:val="24"/>
              </w:rPr>
              <w:t>" shall be construed accordingly;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“Controller”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“Core Terms”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CCS’ standard terms and conditions for common goods and services which govern how Supplier must interact with CCS and Buyers under Framework Contracts and Call-Off Contracts;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"Costs"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following costs (without double recovery) to the extent that they are reasonably and properly incurred by the Supplier in providing the Deliverables: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cost to the Supplier or the Key Subcontractor (as the context requires), calculated per Man Day, of engaging the Supplier Staff, including:</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base salary paid to the Supplier Staff;</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employer’s National Insurance contributions;</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pension contributions;</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car allowances; </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other contractual employment benefits;</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staff training;</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work place accommodation;</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work place IT equipment and tools reasonably necessary to provide the Deliverables (but not including items included within limb (b) below); and</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reasonable recruitment costs, as agreed with the Buyer; </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operational costs which are not included within (a) or (b) above, to the extent that such costs are necessary and properly incurred by the Supplier in the provision of the Deliverables; and</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Reimbursable Expenses to the extent these have been specified as allowable in the Order Form and are incurred in delivering any Deliverables;</w:t>
            </w:r>
          </w:p>
          <w:p w:rsidR="00876E32" w:rsidRDefault="00D848F2">
            <w:pPr>
              <w:pBdr>
                <w:top w:val="nil"/>
                <w:left w:val="nil"/>
                <w:bottom w:val="nil"/>
                <w:right w:val="nil"/>
                <w:between w:val="nil"/>
              </w:pBdr>
              <w:tabs>
                <w:tab w:val="left" w:pos="-179"/>
                <w:tab w:val="left" w:pos="411"/>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b/>
              <w:t>but excluding:</w:t>
            </w:r>
          </w:p>
          <w:p w:rsidR="00876E32" w:rsidRDefault="00D848F2">
            <w:pPr>
              <w:numPr>
                <w:ilvl w:val="1"/>
                <w:numId w:val="4"/>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Overhead;</w:t>
            </w:r>
          </w:p>
          <w:p w:rsidR="00876E32" w:rsidRDefault="00D848F2">
            <w:pPr>
              <w:numPr>
                <w:ilvl w:val="1"/>
                <w:numId w:val="4"/>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financing or similar costs;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Supplier Assets or otherwise;</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taxation;</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fines and penalties;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amounts payable under Call-Off Schedule 16 (Benchmarking) where such Schedule is used; and</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non-cash items (including depreciation, amortisation, impairments and movements in provisions);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"Crown Body"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"CRTPA"</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Rights of Third Parties Act 1999;</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Impact Assessment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Legislation"</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Liability Cap”</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amount specified in the Framework Award Form.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Officer"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"Deductions"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Service Credits, Delay Payments (if applicable), or any other deduction which the Buyer is paid or is payable to the Buyer under a Call-Off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 Management Charge"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Paragraph 8.1.1 of Framework Schedule 5 (Management Charges and Information);</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"Delay Payments"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amounts (if any) payable by the Supplier to the Buyer in respect of a delay in respect of a Milestone as specified in the Implementation Plan;</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"Deliverables"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Goods and/or Services that may be ordered under the Contract including the Documentation;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shall be construed accordingly;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"Disaster"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Pr>
                <w:rFonts w:ascii="Arial" w:eastAsia="Arial" w:hAnsi="Arial" w:cs="Arial"/>
                <w:b/>
                <w:color w:val="000000"/>
                <w:sz w:val="24"/>
                <w:szCs w:val="24"/>
              </w:rPr>
              <w:t>"Disaster Period</w:t>
            </w:r>
            <w:r>
              <w:rPr>
                <w:rFonts w:ascii="Arial" w:eastAsia="Arial" w:hAnsi="Arial" w:cs="Arial"/>
                <w:color w:val="000000"/>
                <w:sz w:val="24"/>
                <w:szCs w:val="24"/>
              </w:rPr>
              <w:t xml:space="preserve">");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"Disclosing Party"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876E32">
        <w:tc>
          <w:tcPr>
            <w:tcW w:w="2181"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 Resolution Procedure"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dispute resolution procedure set out in Clause 34 (Resolving disputes);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"Documentation"</w:t>
            </w:r>
          </w:p>
        </w:tc>
        <w:tc>
          <w:tcPr>
            <w:tcW w:w="7566" w:type="dxa"/>
          </w:tcPr>
          <w:p w:rsidR="00876E32" w:rsidRDefault="00D848F2">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would reasonably be required by a competent third party capable of Good Industry Practice contracted by the Buyer to develop, configure, build, deploy, run, maintain, upgrade and test the individual systems that provide the Deliverables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is required by the Supplier in order to provide the Deliverables; and/or</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has been or shall be generated for the purpose of providing the Deliverables;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"DOTAS"</w:t>
            </w:r>
          </w:p>
        </w:tc>
        <w:tc>
          <w:tcPr>
            <w:tcW w:w="7566" w:type="dxa"/>
          </w:tcPr>
          <w:p w:rsidR="00876E32" w:rsidRDefault="00D848F2">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“DPA 2018”</w:t>
            </w:r>
          </w:p>
        </w:tc>
        <w:tc>
          <w:tcPr>
            <w:tcW w:w="7566" w:type="dxa"/>
          </w:tcPr>
          <w:p w:rsidR="00876E32" w:rsidRDefault="00D848F2">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7566" w:type="dxa"/>
          </w:tcPr>
          <w:p w:rsidR="00876E32" w:rsidRDefault="00D848F2">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any information supplied to the Supplier by or on behalf of the Authority prior to the Start Date;</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"Effective Date"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on which the final Party has signed the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"EIR"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Environmental Information Regulations 2004;</w:t>
            </w:r>
          </w:p>
        </w:tc>
      </w:tr>
      <w:tr w:rsidR="00876E32">
        <w:tc>
          <w:tcPr>
            <w:tcW w:w="2181"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“Electronic Invoice”</w:t>
            </w:r>
          </w:p>
        </w:tc>
        <w:tc>
          <w:tcPr>
            <w:tcW w:w="7566"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"Employment Regulations"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Transfer of Undertakings (Protection of Employment) Regulations 2006 (SI 2006/246) as amended or replaced or any other Regulations implementing the European Council Directive 77/187/EEC;</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"End Date" </w:t>
            </w:r>
          </w:p>
        </w:tc>
        <w:tc>
          <w:tcPr>
            <w:tcW w:w="7566" w:type="dxa"/>
          </w:tcPr>
          <w:p w:rsidR="00876E32" w:rsidRDefault="00D848F2">
            <w:pPr>
              <w:pBdr>
                <w:top w:val="nil"/>
                <w:left w:val="nil"/>
                <w:bottom w:val="nil"/>
                <w:right w:val="nil"/>
                <w:between w:val="nil"/>
              </w:pBdr>
              <w:tabs>
                <w:tab w:val="left" w:pos="-576"/>
                <w:tab w:val="left" w:pos="144"/>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the earlier of: </w:t>
            </w:r>
          </w:p>
          <w:p w:rsidR="00876E32" w:rsidRDefault="00D848F2">
            <w:pPr>
              <w:numPr>
                <w:ilvl w:val="1"/>
                <w:numId w:val="4"/>
              </w:numPr>
              <w:pBdr>
                <w:top w:val="nil"/>
                <w:left w:val="nil"/>
                <w:bottom w:val="nil"/>
                <w:right w:val="nil"/>
                <w:between w:val="nil"/>
              </w:pBdr>
              <w:tabs>
                <w:tab w:val="left" w:pos="-576"/>
                <w:tab w:val="left" w:pos="144"/>
              </w:tabs>
              <w:spacing w:after="120"/>
              <w:ind w:hanging="291"/>
              <w:jc w:val="both"/>
              <w:rPr>
                <w:rFonts w:ascii="Arial" w:eastAsia="Arial" w:hAnsi="Arial" w:cs="Arial"/>
                <w:color w:val="000000"/>
                <w:sz w:val="24"/>
                <w:szCs w:val="24"/>
              </w:rPr>
            </w:pPr>
            <w:r>
              <w:rPr>
                <w:rFonts w:ascii="Arial" w:eastAsia="Arial" w:hAnsi="Arial" w:cs="Arial"/>
                <w:color w:val="000000"/>
                <w:sz w:val="24"/>
                <w:szCs w:val="24"/>
              </w:rPr>
              <w:t>the Expiry Date (as extended by any Extension Period exercised by the Authority under Clause 10.2); or</w:t>
            </w:r>
          </w:p>
          <w:p w:rsidR="00876E32" w:rsidRDefault="00D848F2">
            <w:pPr>
              <w:numPr>
                <w:ilvl w:val="1"/>
                <w:numId w:val="4"/>
              </w:numPr>
              <w:pBdr>
                <w:top w:val="nil"/>
                <w:left w:val="nil"/>
                <w:bottom w:val="nil"/>
                <w:right w:val="nil"/>
                <w:between w:val="nil"/>
              </w:pBdr>
              <w:tabs>
                <w:tab w:val="left" w:pos="-576"/>
                <w:tab w:val="left" w:pos="144"/>
              </w:tabs>
              <w:spacing w:after="120"/>
              <w:ind w:hanging="291"/>
              <w:jc w:val="both"/>
              <w:rPr>
                <w:rFonts w:ascii="Arial" w:eastAsia="Arial" w:hAnsi="Arial" w:cs="Arial"/>
                <w:color w:val="000000"/>
                <w:sz w:val="24"/>
                <w:szCs w:val="24"/>
              </w:rPr>
            </w:pPr>
            <w:r>
              <w:rPr>
                <w:rFonts w:ascii="Arial" w:eastAsia="Arial" w:hAnsi="Arial" w:cs="Arial"/>
                <w:color w:val="000000"/>
                <w:sz w:val="24"/>
                <w:szCs w:val="24"/>
              </w:rPr>
              <w:t>if a Contract is terminated before the date specified in (a) above, the date of termination of the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"Environmental Policy"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876E32">
        <w:tc>
          <w:tcPr>
            <w:tcW w:w="2181" w:type="dxa"/>
          </w:tcPr>
          <w:p w:rsidR="00876E32" w:rsidRDefault="00D848F2">
            <w:pPr>
              <w:pBdr>
                <w:top w:val="nil"/>
                <w:left w:val="nil"/>
                <w:bottom w:val="nil"/>
                <w:right w:val="nil"/>
                <w:between w:val="nil"/>
              </w:pBdr>
              <w:spacing w:after="120" w:line="480" w:lineRule="auto"/>
              <w:ind w:left="-108"/>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7566" w:type="dxa"/>
          </w:tcPr>
          <w:p w:rsidR="00876E32" w:rsidRDefault="00D848F2">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anticipated total Charges payable by the Buyer in the first Contract Year specified in the Order Form;</w:t>
            </w:r>
          </w:p>
          <w:p w:rsidR="00876E32" w:rsidRDefault="00876E3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
        </w:tc>
      </w:tr>
    </w:tbl>
    <w:p w:rsidR="00876E32" w:rsidRDefault="00876E32">
      <w:pPr>
        <w:widowControl w:val="0"/>
        <w:pBdr>
          <w:top w:val="nil"/>
          <w:left w:val="nil"/>
          <w:bottom w:val="nil"/>
          <w:right w:val="nil"/>
          <w:between w:val="nil"/>
        </w:pBdr>
        <w:spacing w:after="0"/>
        <w:rPr>
          <w:rFonts w:ascii="Arial" w:eastAsia="Arial" w:hAnsi="Arial" w:cs="Arial"/>
          <w:color w:val="000000"/>
          <w:sz w:val="24"/>
          <w:szCs w:val="24"/>
        </w:rPr>
      </w:pPr>
    </w:p>
    <w:tbl>
      <w:tblPr>
        <w:tblStyle w:val="a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7568"/>
      </w:tblGrid>
      <w:tr w:rsidR="00876E32">
        <w:tc>
          <w:tcPr>
            <w:tcW w:w="21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"Estimated Yearly Charges"</w:t>
            </w:r>
          </w:p>
        </w:tc>
        <w:tc>
          <w:tcPr>
            <w:tcW w:w="7568" w:type="dxa"/>
            <w:tcBorders>
              <w:top w:val="nil"/>
              <w:left w:val="nil"/>
              <w:bottom w:val="single" w:sz="8" w:space="0" w:color="000000"/>
              <w:right w:val="single" w:sz="8" w:space="0" w:color="000000"/>
            </w:tcBorders>
            <w:tcMar>
              <w:top w:w="0" w:type="dxa"/>
              <w:left w:w="108" w:type="dxa"/>
              <w:bottom w:w="0" w:type="dxa"/>
              <w:right w:w="108" w:type="dxa"/>
            </w:tcMar>
          </w:tcPr>
          <w:p w:rsidR="00876E32" w:rsidRDefault="00D848F2">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for the purposes of calculating each Party’s annual liability under clause 11.2 :</w:t>
            </w:r>
          </w:p>
          <w:p w:rsidR="00876E32" w:rsidRDefault="00D848F2">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  in the first Contract Year, the Estimated Year 1 Charges; or </w:t>
            </w:r>
          </w:p>
          <w:p w:rsidR="00876E32" w:rsidRDefault="00D848F2">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ii) in the any subsequent Contract Years, the Charges paid or payable in the previous Call-off Contract Year; or</w:t>
            </w:r>
          </w:p>
          <w:p w:rsidR="00876E32" w:rsidRDefault="00D848F2">
            <w:pPr>
              <w:pBdr>
                <w:top w:val="nil"/>
                <w:left w:val="nil"/>
                <w:bottom w:val="nil"/>
                <w:right w:val="nil"/>
                <w:between w:val="nil"/>
              </w:pBdr>
              <w:tabs>
                <w:tab w:val="left" w:pos="-17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  iii) after the end of the Call-off Contract, the Charges paid or payable in the last Contract Year during the Call-off Contract Period; </w:t>
            </w:r>
          </w:p>
          <w:p w:rsidR="00876E32" w:rsidRDefault="00876E32">
            <w:pPr>
              <w:pBdr>
                <w:top w:val="nil"/>
                <w:left w:val="nil"/>
                <w:bottom w:val="nil"/>
                <w:right w:val="nil"/>
                <w:between w:val="nil"/>
              </w:pBdr>
              <w:tabs>
                <w:tab w:val="left" w:pos="-179"/>
              </w:tabs>
              <w:spacing w:after="120"/>
              <w:jc w:val="both"/>
              <w:rPr>
                <w:rFonts w:ascii="Arial" w:eastAsia="Arial" w:hAnsi="Arial" w:cs="Arial"/>
                <w:color w:val="000000"/>
                <w:sz w:val="24"/>
                <w:szCs w:val="24"/>
              </w:rPr>
            </w:pPr>
          </w:p>
          <w:p w:rsidR="00876E32" w:rsidRDefault="00D848F2">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w:t>
            </w:r>
          </w:p>
        </w:tc>
      </w:tr>
    </w:tbl>
    <w:p w:rsidR="00876E32" w:rsidRDefault="00876E32">
      <w:pPr>
        <w:widowControl w:val="0"/>
        <w:pBdr>
          <w:top w:val="nil"/>
          <w:left w:val="nil"/>
          <w:bottom w:val="nil"/>
          <w:right w:val="nil"/>
          <w:between w:val="nil"/>
        </w:pBdr>
        <w:spacing w:after="0"/>
        <w:rPr>
          <w:rFonts w:ascii="Arial" w:eastAsia="Arial" w:hAnsi="Arial" w:cs="Arial"/>
          <w:color w:val="000000"/>
          <w:sz w:val="24"/>
          <w:szCs w:val="24"/>
        </w:rPr>
      </w:pPr>
    </w:p>
    <w:tbl>
      <w:tblPr>
        <w:tblStyle w:val="a4"/>
        <w:tblW w:w="97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560"/>
      </w:tblGrid>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"Equality and Human Rights Commission"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"Existing IPR"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and all IPR that are owned by or licensed to either Party and which are or have been developed independently of the Contract (whether prior to the Start Date or otherwise);</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“Exit Day”</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shall have the meaning in the European Union (Withdrawal) Act 2018;</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"Expiry Date"</w:t>
            </w:r>
          </w:p>
        </w:tc>
        <w:tc>
          <w:tcPr>
            <w:tcW w:w="7560" w:type="dxa"/>
          </w:tcPr>
          <w:p w:rsidR="00876E32" w:rsidRDefault="00D848F2">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 xml:space="preserve">the Framework Expiry Date or the Call-Off Expiry Date (as the context dictates);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"Extension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Framework Optional Extension Period or the Call-Off Optional Extension Period as the context dictates;</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“Fixed Price”</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pricing mechanism whereby the Buyer agrees to pay the Supplier based on a capped price which shall cover all work performed and Deliverables required to be provided by the Supplier Staff and all materials used in the project, no matter how much work us required to complete each identified Deliverable within the agreed scope;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"FOIA"</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Event"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event, occurrence, circumstance, matter or cause affecting the performance by either the Relevant Authority or the Supplier of its obligations arising from:</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events, omissions, happenings or non-happenings beyond the reasonable control of the Affected Party which prevent or materially delay the Affected Party from performing its obligations under a Contract;</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riots, civil commotion, war or armed conflict, acts of terrorism, nuclear, biological or chemical warfare;</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of a Crown Body, local government or regulatory bodies;</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fire, flood or any disaster; 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 industrial dispute affecting a third party for which a substitute third party is not reasonably available but excluding:</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any industrial dispute relating to the Supplier, the Supplier Staff (including any subsets of them) or any other failure in the Supplier or the Subcontractor's supply chain; </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event, occurrence, circumstance, matter or cause which is attributable to the wilful act, neglect or failure to take reasonable precautions against it by the Party concerned; and</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failure of delay caused by a lack of funds;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Notice"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Award Form"</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document outlining the Framework Incorporated Terms and crucial information required for the Framework Contract, to be executed by the Supplier and CCS;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framework agreement established between CCS and the Supplier in accordance with Regulation 33 by the Framework Award Form for the provision of the Deliverables to Buyers by the Supplier pursuant to the OJEU Notice;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period from the Framework Start Date until the End Date or earlier termination of the Framework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Expiry Date"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the end of the Framework Contract as stated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Incorporated Terms"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Framework Contract specified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Initial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term of the Framework Contract as specified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Optional Extension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Framework Initial Period may be extended up to a maximum of the number of years in total specified in the Framework Award Form;</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Price(s)"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price(s) applicable to the provision of the Deliverables set out in Framework Schedule 3 (Framework Prices);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Special Terms"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terms and conditions specified in the Framework Award Form incorporated into the Framework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Start Date"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the Framework Contract as stated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Tender Response"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to CCS and annexed to or referred to in Framework Schedule 2 (Framework Tender Response);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"Further Competition Procedure"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further competition procedure described in Framework Schedule 7 (Call-Off Procedure and Award Criteria);</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"GDPR"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General Data Protection Regulation (Regulation (EU) 2016/679);</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Anti-Abuse Rule"</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the legislation in Part 5 of the Finance Act 2013 and; and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Change in Law"</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where the change is of a general legislative nature (including taxation or duties of any sort affecting the Supplier) or which affects or relates to a Comparable Supply;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goods made available by the Supplier as specified in Framework Schedule 1 (Specification) and in relation to a Call-Off Contract as specified in the Order Form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 Data"</w:t>
            </w:r>
          </w:p>
        </w:tc>
        <w:tc>
          <w:tcPr>
            <w:tcW w:w="7560" w:type="dxa"/>
          </w:tcPr>
          <w:p w:rsidR="00876E32" w:rsidRDefault="00D848F2">
            <w:p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are supplied to the Supplier by or on behalf of the Authority; or</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the Supplier is required to generate, process, store or transmit pursuant to a Contract;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 Procurement Card"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Government’s preferred method of purchasing and payment for low value goods or services https://www.gov.uk/government/publications/government-procurement-card--2;</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"Guarantor"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(if any) who has entered into a guarantee in the form set out in Joint Schedule 8 (Guarantee) in relation to this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"Halifax Abuse Principle"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principle explained in the CJEU Case C-255/02 Halifax and others;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"HMRC"</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Her Majesty’s Revenue and Customs;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"ICT Policy"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of the impact of a Variation request by the Relevant Authority completed in good faith, including:</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details of the cost of implementing the proposed Variation;</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 timetable for the implementation, together with any proposals for the testing of the Variation; and</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such other information as the Relevant Authority may reasonably request in (or in response to) the Variation request;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"Implementation Plan"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“Incremental Fixed Price”</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pricing mechanism where the overall Statement of Work is based on Capped Time and Materials, but where the prices for individual Deliverables Increments are fixed prior to the work being undertaken. The Charges for the first Deliverable Increment or Deliverables Increments for the Statement of Work will be fixed, but the Charges for subsequent Deliverables Increments will be reviewed and refined prior to the execution of each subsequent Deliverables Increment within the same Statement of Work;</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"Indemnifier"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from whom an indemnity is sought under this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“Independent Control”</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rFonts w:ascii="Arial" w:eastAsia="Arial" w:hAnsi="Arial" w:cs="Arial"/>
                <w:b/>
                <w:color w:val="000000"/>
                <w:sz w:val="24"/>
                <w:szCs w:val="24"/>
              </w:rPr>
              <w:t>Independent Controller</w:t>
            </w:r>
            <w:r>
              <w:rPr>
                <w:rFonts w:ascii="Arial" w:eastAsia="Arial" w:hAnsi="Arial" w:cs="Arial"/>
                <w:color w:val="000000"/>
                <w:sz w:val="24"/>
                <w:szCs w:val="24"/>
              </w:rPr>
              <w:t>” shall be construed accordingly;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"Indexation"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adjustment of an amount or sum in accordance with Framework Schedule 3 (Framework Prices) and the relevant Order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under section 84 of the Freedom of Information Act 2000;</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"Initial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term of a Contract specified in the Framework Award Form or the Order Form, as the context requires;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"Insolvency Event"</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in respect of a person:</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 proposal is made for a voluntary arrangement within Part I of the Insolvency Act 1986 or of any other composition scheme or arrangement with, or assignment for the benefit of, its creditors;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 receiver, administrative receiver or similar officer is appointed over the whole or any part of its business or assets;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an application is made either for the appointment of an administrator or for an administration order, an administrator is appointed, or notice of intention to appoint an administrator is given;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it is or becomes insolvent within the meaning of section 123 of the Insolvency Act 1986;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being a "small company" within the meaning of section 382(3) of the Companies Act 2006, a moratorium comes into force pursuant to Schedule A1 of the Insolvency Act 1986;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where the person is an individual or partnership, any event analogous to those listed in limbs (a) to (g) (inclusive) occurs in relation to that individual or partnership;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event analogous to those listed in limbs (a) to (h) (inclusive) occurs under the law of any other jurisdiction;</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"Installation Works"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applications for registration, and the right to apply for registration, for any of the rights listed at (a) that are capable of being registered in any country or jurisdiction; and</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all other rights having equivalent or similar effect in any country or jurisdiction;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"Invoicing Address"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address to which the Supplier shall Invoice the Buyer as specified in the Order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"IPR Claim"</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"IR35"</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off-payroll rules requiring individuals who work through their company pay the same tax and National Insurance contributions as an employee which can be found online at: </w:t>
            </w:r>
            <w:hyperlink r:id="rId9">
              <w:r>
                <w:rPr>
                  <w:rFonts w:ascii="Arial" w:eastAsia="Arial" w:hAnsi="Arial" w:cs="Arial"/>
                  <w:color w:val="0000FF"/>
                  <w:sz w:val="24"/>
                  <w:szCs w:val="24"/>
                  <w:u w:val="single"/>
                </w:rPr>
                <w:t>https://www.gov.uk/guidance/ir35-find-out-if-it-applies</w:t>
              </w:r>
            </w:hyperlink>
            <w:r>
              <w:rPr>
                <w:rFonts w:ascii="Arial" w:eastAsia="Arial" w:hAnsi="Arial" w:cs="Arial"/>
                <w:color w:val="000000"/>
                <w:sz w:val="24"/>
                <w:szCs w:val="24"/>
              </w:rPr>
              <w: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 Agreement”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agreement (if any) entered into between the Relevant Authority and the Supplier substantially in the form set out in Annex 2 of Joint Schedule 11 (</w:t>
            </w:r>
            <w:r>
              <w:rPr>
                <w:rFonts w:ascii="Arial" w:eastAsia="Arial" w:hAnsi="Arial" w:cs="Arial"/>
                <w:i/>
                <w:color w:val="000000"/>
                <w:sz w:val="24"/>
                <w:szCs w:val="24"/>
              </w:rPr>
              <w:t>Processing Data</w:t>
            </w:r>
            <w:r>
              <w:rPr>
                <w:rFonts w:ascii="Arial" w:eastAsia="Arial" w:hAnsi="Arial" w:cs="Arial"/>
                <w:color w:val="000000"/>
                <w:sz w:val="24"/>
                <w:szCs w:val="24"/>
              </w:rPr>
              <w: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two or more Controllers jointly determine the purposes and means of Processing;</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“Joint Control”</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where two or more Controllers agree to jointly determine the purposes and means of Processing Personal Data;</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Personnel"</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individuals (if any) identified as such in the Order Form;</w:t>
            </w:r>
          </w:p>
        </w:tc>
      </w:tr>
      <w:tr w:rsidR="00876E32">
        <w:trPr>
          <w:trHeight w:val="357"/>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each Sub-Contract with a Key Subcontractor;</w:t>
            </w:r>
          </w:p>
        </w:tc>
      </w:tr>
      <w:tr w:rsidR="00876E32">
        <w:trPr>
          <w:trHeight w:val="426"/>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Subcontractor: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which is relied upon to deliver any work package within the Deliverables in their entirety; and/or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which, in the opinion of CCS or the Buyer performs (or would perform if appointed) a critical role in the provision of all or any part of the Deliverables; and/or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with a Sub-Contract with a contract value which at the time of appointment exceeds (or would exceed if appointed) 10% of the aggregate Charges forecast to be payable under the Call-Off Contract,</w:t>
            </w:r>
          </w:p>
          <w:p w:rsidR="00876E32" w:rsidRDefault="00D848F2">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and the Supplier shall list all such Key Subcontractors in section 19 of the Framework Award Form and in the Key Subcontractor Section in Order Form;</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"Know-How"</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t>“KPI Target”</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a key performance indicator target included in the Balanced Scorecard;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"Law"</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“LED”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Law Enforcement Directive (Directive (EU) 2016/680);</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"Losses"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Arial" w:eastAsia="Arial" w:hAnsi="Arial" w:cs="Arial"/>
                <w:b/>
                <w:color w:val="000000"/>
                <w:sz w:val="24"/>
                <w:szCs w:val="24"/>
              </w:rPr>
              <w:t>Loss</w:t>
            </w:r>
            <w:r>
              <w:rPr>
                <w:rFonts w:ascii="Arial" w:eastAsia="Arial" w:hAnsi="Arial" w:cs="Arial"/>
                <w:color w:val="000000"/>
                <w:sz w:val="24"/>
                <w:szCs w:val="24"/>
              </w:rPr>
              <w:t>" shall be interpreted accordingly;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"Lots"</w:t>
            </w:r>
          </w:p>
        </w:tc>
        <w:tc>
          <w:tcPr>
            <w:tcW w:w="7560" w:type="dxa"/>
          </w:tcPr>
          <w:p w:rsidR="00876E32" w:rsidRDefault="00D848F2">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number of lots specified in Framework Schedule 1 (Specification), if applicable;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 Day"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7.5 Man Hours, whether or not such hours are worked consecutively and whether or not they are worked on the same day;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 Hours"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Charge"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sum specified in the Framework Award Form payable by the Supplier to CCS in accordance with Framework Schedule 5 (Management Charges and Information);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Information" or “MI”</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management information specified in Framework Schedule 5 (Management Charges and Information);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"Marketing Contact"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shall be the person identified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Default”</w:t>
            </w:r>
          </w:p>
        </w:tc>
        <w:tc>
          <w:tcPr>
            <w:tcW w:w="7560" w:type="dxa"/>
          </w:tcPr>
          <w:p w:rsidR="00876E32" w:rsidRDefault="00D848F2">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222222"/>
                <w:sz w:val="24"/>
                <w:szCs w:val="24"/>
              </w:rPr>
              <w:t>means when</w:t>
            </w:r>
            <w:r>
              <w:rPr>
                <w:rFonts w:ascii="Arial" w:eastAsia="Arial" w:hAnsi="Arial" w:cs="Arial"/>
                <w:b/>
                <w:color w:val="222222"/>
                <w:sz w:val="24"/>
                <w:szCs w:val="24"/>
              </w:rPr>
              <w:t xml:space="preserve"> </w:t>
            </w:r>
            <w:r>
              <w:rPr>
                <w:rFonts w:ascii="Arial" w:eastAsia="Arial" w:hAnsi="Arial" w:cs="Arial"/>
                <w:color w:val="000000"/>
                <w:sz w:val="24"/>
                <w:szCs w:val="24"/>
              </w:rPr>
              <w:t>two (2) MI Reports are not provided in any rolling six (6) month period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Failure"</w:t>
            </w:r>
          </w:p>
        </w:tc>
        <w:tc>
          <w:tcPr>
            <w:tcW w:w="7560" w:type="dxa"/>
          </w:tcPr>
          <w:p w:rsidR="00876E32" w:rsidRDefault="00D848F2">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when an MI report:</w:t>
            </w:r>
          </w:p>
          <w:p w:rsidR="00876E32" w:rsidRDefault="00D848F2">
            <w:pPr>
              <w:numPr>
                <w:ilvl w:val="1"/>
                <w:numId w:val="3"/>
              </w:numPr>
              <w:pBdr>
                <w:top w:val="nil"/>
                <w:left w:val="nil"/>
                <w:bottom w:val="nil"/>
                <w:right w:val="nil"/>
                <w:between w:val="nil"/>
              </w:pBdr>
              <w:tabs>
                <w:tab w:val="left" w:pos="-576"/>
                <w:tab w:val="left" w:pos="175"/>
              </w:tabs>
              <w:spacing w:after="120"/>
              <w:ind w:left="720" w:hanging="544"/>
              <w:jc w:val="both"/>
              <w:rPr>
                <w:rFonts w:ascii="Arial" w:eastAsia="Arial" w:hAnsi="Arial" w:cs="Arial"/>
                <w:color w:val="000000"/>
                <w:sz w:val="24"/>
                <w:szCs w:val="24"/>
              </w:rPr>
            </w:pPr>
            <w:r>
              <w:rPr>
                <w:rFonts w:ascii="Arial" w:eastAsia="Arial" w:hAnsi="Arial" w:cs="Arial"/>
                <w:color w:val="000000"/>
                <w:sz w:val="24"/>
                <w:szCs w:val="24"/>
              </w:rPr>
              <w:t xml:space="preserve">contains any material errors or material omissions or a missing mandatory field; or  </w:t>
            </w:r>
          </w:p>
          <w:p w:rsidR="00876E32" w:rsidRDefault="00D848F2">
            <w:pPr>
              <w:numPr>
                <w:ilvl w:val="1"/>
                <w:numId w:val="3"/>
              </w:numPr>
              <w:pBdr>
                <w:top w:val="nil"/>
                <w:left w:val="nil"/>
                <w:bottom w:val="nil"/>
                <w:right w:val="nil"/>
                <w:between w:val="nil"/>
              </w:pBdr>
              <w:tabs>
                <w:tab w:val="left" w:pos="-576"/>
                <w:tab w:val="left" w:pos="175"/>
              </w:tabs>
              <w:spacing w:after="120"/>
              <w:ind w:left="720" w:hanging="544"/>
              <w:jc w:val="both"/>
              <w:rPr>
                <w:rFonts w:ascii="Arial" w:eastAsia="Arial" w:hAnsi="Arial" w:cs="Arial"/>
                <w:color w:val="000000"/>
                <w:sz w:val="24"/>
                <w:szCs w:val="24"/>
              </w:rPr>
            </w:pPr>
            <w:r>
              <w:rPr>
                <w:rFonts w:ascii="Arial" w:eastAsia="Arial" w:hAnsi="Arial" w:cs="Arial"/>
                <w:color w:val="000000"/>
                <w:sz w:val="24"/>
                <w:szCs w:val="24"/>
              </w:rPr>
              <w:t xml:space="preserve">is submitted using an incorrect MI reporting Template; or </w:t>
            </w:r>
          </w:p>
          <w:p w:rsidR="00876E32" w:rsidRDefault="00D848F2">
            <w:pPr>
              <w:numPr>
                <w:ilvl w:val="1"/>
                <w:numId w:val="3"/>
              </w:numPr>
              <w:pBdr>
                <w:top w:val="nil"/>
                <w:left w:val="nil"/>
                <w:bottom w:val="nil"/>
                <w:right w:val="nil"/>
                <w:between w:val="nil"/>
              </w:pBdr>
              <w:tabs>
                <w:tab w:val="left" w:pos="-576"/>
                <w:tab w:val="left" w:pos="175"/>
              </w:tabs>
              <w:spacing w:after="120"/>
              <w:ind w:left="720" w:hanging="544"/>
              <w:rPr>
                <w:rFonts w:ascii="Arial" w:eastAsia="Arial" w:hAnsi="Arial" w:cs="Arial"/>
                <w:color w:val="000000"/>
                <w:sz w:val="24"/>
                <w:szCs w:val="24"/>
              </w:rPr>
            </w:pPr>
            <w:r>
              <w:rPr>
                <w:rFonts w:ascii="Arial" w:eastAsia="Arial" w:hAnsi="Arial" w:cs="Arial"/>
                <w:color w:val="000000"/>
                <w:sz w:val="24"/>
                <w:szCs w:val="24"/>
              </w:rPr>
              <w:t>is not submitted by the reporting date (including where a declaration of no business should have been filed);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w:t>
            </w:r>
          </w:p>
        </w:tc>
        <w:tc>
          <w:tcPr>
            <w:tcW w:w="7560" w:type="dxa"/>
          </w:tcPr>
          <w:p w:rsidR="00876E32" w:rsidRDefault="00D848F2">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Reporting Template"</w:t>
            </w:r>
          </w:p>
        </w:tc>
        <w:tc>
          <w:tcPr>
            <w:tcW w:w="7560" w:type="dxa"/>
          </w:tcPr>
          <w:p w:rsidR="00876E32" w:rsidRDefault="00D848F2">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form of report set out in the Annex to Framework Schedule 5 (Management Charges and Information) setting out the information the Supplier is required to supply to the Authority;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event or task described in the Implementation Plan;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 Date"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target date set out against the relevant Milestone in the Implementation Plan by which the Milestone must be Achieved;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"Month"</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shall be interpreted accordingly;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contributions required by the National Insurance Contributions Regulations 2012 (SI 2012/1868) made under section 132A of  the Social Security Administration Act 1992;</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"New IPR"</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IPR in or arising as a result of the performance of the Supplier’s obligations under a Contract and all updates and amendments to the same; </w:t>
            </w:r>
          </w:p>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but shall not include the Supplier’s Existing IPR;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"Occasion of Tax Non–Compliance"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where: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is found on or after 1 April 2013 to be incorrect as a result of:</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"Open Book Data "</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Supplier’s Costs broken down against each Good and/or Service and/or Deliverable, including actual capital expenditure (including capital replacement costs) and the unit cost and total actual costs of all Deliverables;</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operating expenditure relating to the provision of the Deliverables including an analysis showing:</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the unit costs and quantity of Goods and any other consumables and bought-in Deliverables;</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manpower resources broken down into the number and grade/role of all Supplier Staff (free of any contingency) together with a list of agreed rates against each manpower grade;</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 list of Costs underpinning those rates for each manpower grade, being the agreed rate less the Supplier Profit Margin; and</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Reimbursable Expenses, if allowed under the Order Form; </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 xml:space="preserve">Overheads;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all interest, expenses and any other third party financing costs incurred in relation to the provision of the Deliverables;</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 Profit achieved over the Framework Contract Period and on an annual basis;</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confirmation that all methods of Cost apportionment and Overhead allocation are consistent with and not more onerous than such methods applied generally by the Supplier;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 explanation of the type and value of risk and contingencies associated with the provision of the Deliverables, including the amount of money attributed to each risk and/or contingency; and</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actual Costs profile for each Service Period;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an order for the provision of the Deliverables placed by a Buyer with the Supplier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completed Order Form Template (or equivalent information issued by the Buyer) used to create a Call-Off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 Template"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template in Framework Schedule 6 (Order Form Template and Call-Off Schedules);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"Other Contracting Authority"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actual or potential Buyer under the Framework Contract;</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"Overhead"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"Parliament"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takes its natural meaning as interpreted by Law;</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"Party"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the context of the Framework Contract, CCS or the Supplier, and in the in the context of a Call-Off Contract the Buyer or the Supplier.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"Performance Indicators" or "PIs"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 Breach”</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“Personnel”</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suppliers of a Party and/or of any Subcontractor and/or Subprocessor engaged in the performance of its obligations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"Prescribed Person"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10">
              <w:r>
                <w:rPr>
                  <w:rFonts w:ascii="Arial" w:eastAsia="Arial" w:hAnsi="Arial" w:cs="Arial"/>
                  <w:color w:val="0000FF"/>
                  <w:sz w:val="24"/>
                  <w:szCs w:val="24"/>
                  <w:u w:val="single"/>
                </w:rPr>
                <w:t>https://www.gov.uk/government/publications/blowing-the-whistle-list-of-prescribed-people-and-bodies--2/whistleblowing-list-of-prescribed-people-and-bodies</w:t>
              </w:r>
            </w:hyperlink>
            <w:r>
              <w:rPr>
                <w:rFonts w:ascii="Arial" w:eastAsia="Arial" w:hAnsi="Arial" w:cs="Arial"/>
                <w:color w:val="000000"/>
                <w:sz w:val="24"/>
                <w:szCs w:val="24"/>
              </w:rPr>
              <w: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“Processing”</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 Personnel”</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suppliers of the Processor and/or of any Subprocessor engaged in the performance of its obligations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meeting between the Buyer Authorised Representative and the Supplier Authorised Representative;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 Frequency"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conduct a Progress Meeting in accordance with Clause 6.1 as specified in the Order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report provided by the Supplier indicating the steps taken to achieve Milestones or delivery dates;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 Frequency”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deliver Progress Reports in accordance with Clause 6.1 as specified in the Order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“Prohibited Acts”</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to directly or indirectly offer, promise or give any person working for or engaged by a Buyer or any other public body a financial or other advantage to:</w:t>
            </w:r>
          </w:p>
          <w:p w:rsidR="00876E32" w:rsidRDefault="00D848F2">
            <w:pPr>
              <w:numPr>
                <w:ilvl w:val="2"/>
                <w:numId w:val="3"/>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induce that person to perform improperly a relevant function or activity; or</w:t>
            </w:r>
          </w:p>
          <w:p w:rsidR="00876E32" w:rsidRDefault="00D848F2">
            <w:pPr>
              <w:numPr>
                <w:ilvl w:val="2"/>
                <w:numId w:val="3"/>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reward that person for improper performance of a relevant function or activity;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to directly or indirectly request, agree to receive or accept any financial or other advantage as an inducement or a reward for improper performance of a relevant function or activity in connection with each Contract; or</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committing any offence:</w:t>
            </w:r>
            <w:r>
              <w:rPr>
                <w:rFonts w:ascii="Arial" w:eastAsia="Arial" w:hAnsi="Arial" w:cs="Arial"/>
                <w:color w:val="000000"/>
                <w:sz w:val="24"/>
                <w:szCs w:val="24"/>
              </w:rPr>
              <w:tab/>
            </w:r>
          </w:p>
          <w:p w:rsidR="00876E32" w:rsidRDefault="00D848F2">
            <w:pPr>
              <w:numPr>
                <w:ilvl w:val="2"/>
                <w:numId w:val="3"/>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under the Bribery Act 2010 (or any legislation repealed or revoked by such Act); or</w:t>
            </w:r>
          </w:p>
          <w:p w:rsidR="00876E32" w:rsidRDefault="00D848F2">
            <w:pPr>
              <w:numPr>
                <w:ilvl w:val="2"/>
                <w:numId w:val="3"/>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under legislation or common law concerning fraudulent acts; or</w:t>
            </w:r>
          </w:p>
          <w:p w:rsidR="00876E32" w:rsidRDefault="00D848F2">
            <w:pPr>
              <w:numPr>
                <w:ilvl w:val="2"/>
                <w:numId w:val="3"/>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defrauding, attempting to defraud or conspiring to defraud a Buyer or other public body;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activity, practice or conduct which would constitute one of the offences listed under (c) above if such activity, practice or conduct had been carried out in the UK;</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“Protective Measures”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if applicable, in the case of the Framework Contract or Call-Off Schedule 9 (Security), if applicable, in the case of a Call-Off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“Recall”</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"Recipient Party"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which receives or obtains directly or indirectly Confidential Information;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Supplier’s plan (or revised plan) to rectify it’s breach using the template in Joint Schedule 10 (Rectification Plan Template)which shall include:</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full details of the Default that has occurred, including a root cause analysis; </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the actual or anticipated effect of the Default; and</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 Process"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process set out in Clause 10.4.3 to 10.4.5 (Rectification Plan Process);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"Regulations"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Public Contracts Regulations 2015 and/or the Public Contracts (Scotland) Regulations 2015 (as the context requires);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"Reimbursable Expenses"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subsistence expenses incurred by Supplier Staff whilst performing the Services at their usual place of work, or to and from the premises at which the Services are principally to be performed;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Authority which is party to the Contract to which a right or obligation is owed, as the context requires;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Authority's Confidential Information"</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information derived from any of the above;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Requirements"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Tax Authority"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HMRC, or, if applicable, the tax authority in the jurisdiction in which the Supplier is established;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"Reminder Notice"</w:t>
            </w:r>
          </w:p>
        </w:tc>
        <w:tc>
          <w:tcPr>
            <w:tcW w:w="7560" w:type="dxa"/>
          </w:tcPr>
          <w:p w:rsidR="00876E32" w:rsidRDefault="00D848F2">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notice sent in accordance with Clause 10.6 given by the Supplier to the Buyer providing notification that payment has not been received on time;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7560" w:type="dxa"/>
          </w:tcPr>
          <w:p w:rsidR="00876E32" w:rsidRDefault="00D848F2">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Subcontractor"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Supplier"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"Request For Information"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"Required Insurances"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insurances required by Joint Schedule 3 (Insurance Requirements) or any additional insurances specified in the Order Form; </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“Restricted Staff”</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any person employed or engaged by either Party, in the capacity of director or in any research, technical, IT, security, engineering, procurement, financial, legal or managerial role who has been engaged in the provision of the Deliverables or management of the Contract either as principal, agent, employee, independent contractor or in any other form of employment or engagement over the previous 12 months, directly worked with or had any material dealings, but shall not include any person employed or engaged in an administrative, clerical, manual or secretarial capacity;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“Schedules"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attachment to a Framework Contract or Call-Off Contract which contains important information specific to each aspect of buying and selling;</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Management Plan"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Supplier's security management plan prepared pursuant to Call-Off Schedule 9 (Security) (if applicable);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Policy"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security policy, referred to in the Order Form, in force as at the Call-Off Start Date (a copy of which has been supplied to the Supplier), as updated from time to time and notified to the Supplier;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"Self Audit Certificate"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certificate in the form as set out in Framework Schedule 8 (Self Audit Certificate);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"Serious Fraud Office"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Levels”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Transfer"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highlight w:val="green"/>
              </w:rPr>
            </w:pPr>
            <w:r>
              <w:rPr>
                <w:rFonts w:ascii="Arial" w:eastAsia="Arial" w:hAnsi="Arial" w:cs="Arial"/>
                <w:b/>
                <w:color w:val="000000"/>
                <w:sz w:val="24"/>
                <w:szCs w:val="24"/>
              </w:rPr>
              <w:t>"Service Transfer Date"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a Service Transfer;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"Sites"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premises (including the Buyer Premises, the Supplier’s premises or third party premises) from, to or at which:</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the Deliverables are (or are to be) provided; 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w:t>
            </w:r>
          </w:p>
        </w:tc>
      </w:tr>
      <w:tr w:rsidR="00876E32">
        <w:trPr>
          <w:trHeight w:val="945"/>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"SME"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876E32">
        <w:trPr>
          <w:trHeight w:val="945"/>
        </w:trPr>
        <w:tc>
          <w:tcPr>
            <w:tcW w:w="2160" w:type="dxa"/>
          </w:tcPr>
          <w:p w:rsidR="00876E32" w:rsidRDefault="00D848F2">
            <w:pPr>
              <w:spacing w:after="120"/>
              <w:ind w:left="-108"/>
              <w:rPr>
                <w:rFonts w:ascii="Arial" w:eastAsia="Arial" w:hAnsi="Arial" w:cs="Arial"/>
                <w:b/>
                <w:color w:val="000000"/>
                <w:sz w:val="24"/>
                <w:szCs w:val="24"/>
              </w:rPr>
            </w:pPr>
            <w:r>
              <w:rPr>
                <w:rFonts w:ascii="Arial" w:eastAsia="Arial" w:hAnsi="Arial" w:cs="Arial"/>
                <w:b/>
                <w:sz w:val="24"/>
                <w:szCs w:val="24"/>
              </w:rPr>
              <w:t>“Software Support and Maintenance”</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color w:val="202124"/>
                <w:sz w:val="24"/>
                <w:szCs w:val="24"/>
                <w:highlight w:val="white"/>
              </w:rPr>
              <w:t>Software Support and Maintenance includes any software upgrades, annual updates, patches and fixes needed to improve functionality and keep the software in working order;</w:t>
            </w:r>
          </w:p>
        </w:tc>
      </w:tr>
      <w:tr w:rsidR="00876E32">
        <w:trPr>
          <w:trHeight w:val="945"/>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"Special Terms"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Clauses set out in the Framework Award Form or Order Form which shall form part of the respective Contract;</w:t>
            </w:r>
          </w:p>
        </w:tc>
      </w:tr>
      <w:tr w:rsidR="00876E32">
        <w:trPr>
          <w:trHeight w:val="945"/>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 Change in Law"</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876E32">
        <w:trPr>
          <w:trHeight w:val="945"/>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specification set out in Framework Schedule 1 (Specification), as may, in relation to a Call-Off Contract, be supplemented by the Order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"Standards"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standards detailed in the specification in Schedule 1 (Specification);</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standards detailed by the Buyer in the Order Form or agreed between the Parties from time to time;</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relevant Government codes of practice and guidance applicable from time to time;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"Start Date"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"Statement of Requirements"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statement issued by the Buyer detailing its requirements in respect of Deliverables issued in accordance with the Call-Off Procedure;</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t>“Statement of Works” “(SOW)”</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document which, upon its execution by the Buyer and Supplier, shall become incorporated into their Call-Off Contract and outlines the agreed body of works to be undertaken as part of the Call-Off Contract Deliverables. There may be any number of Statements of Work incorporated into a Call-Off Contract and each Statement of Work may include (but is not limited to) the Statement of Requirements, identified output(s), completion date(s) and charging method(s);</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t>“SOW End Date”</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date up to and including this date when the supply of the Deliverables under the Statement of Work shall cease;</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t>“SOW Start Date”</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 xml:space="preserve">the date of the start of the Statement of Works as stated in the SOW;  </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t>“Standing Instructions”</w:t>
            </w:r>
          </w:p>
        </w:tc>
        <w:tc>
          <w:tcPr>
            <w:tcW w:w="7560" w:type="dxa"/>
          </w:tcPr>
          <w:p w:rsidR="00876E32" w:rsidRDefault="00D848F2">
            <w:pPr>
              <w:spacing w:before="120" w:after="120" w:line="276" w:lineRule="auto"/>
              <w:jc w:val="both"/>
              <w:rPr>
                <w:rFonts w:ascii="Arial" w:eastAsia="Arial" w:hAnsi="Arial" w:cs="Arial"/>
                <w:sz w:val="24"/>
                <w:szCs w:val="24"/>
              </w:rPr>
            </w:pPr>
            <w:r>
              <w:rPr>
                <w:rFonts w:ascii="Arial" w:eastAsia="Arial" w:hAnsi="Arial" w:cs="Arial"/>
                <w:sz w:val="24"/>
                <w:szCs w:val="24"/>
              </w:rPr>
              <w:t xml:space="preserve">Standing Instructions are a mechanism that supports the implementation of new policy that is mandated across government as a whole or in certain sectors. It is not possible at the Framework Agreement procurement stage to provide for every instance but examples such as the mandate of technical standards i.e. the use of Greening government ICT strategy; or implementation of standardisation across government. </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"Storage Media"</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 xml:space="preserve">the part of any device that is capable of storing and retrieving data; </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t>"Sub-Contract"</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any contract or agreement (or proposed contract or agreement), other than a Call-Off Contract or the Framework Contract, pursuant to which a third party:</w:t>
            </w:r>
          </w:p>
          <w:p w:rsidR="00876E32" w:rsidRDefault="00D848F2">
            <w:pPr>
              <w:numPr>
                <w:ilvl w:val="1"/>
                <w:numId w:val="5"/>
              </w:numPr>
              <w:tabs>
                <w:tab w:val="left" w:pos="-576"/>
                <w:tab w:val="left" w:pos="144"/>
              </w:tabs>
              <w:spacing w:after="120"/>
              <w:ind w:left="576" w:hanging="432"/>
              <w:jc w:val="both"/>
              <w:rPr>
                <w:sz w:val="24"/>
                <w:szCs w:val="24"/>
              </w:rPr>
            </w:pPr>
            <w:r>
              <w:rPr>
                <w:rFonts w:ascii="Arial" w:eastAsia="Arial" w:hAnsi="Arial" w:cs="Arial"/>
                <w:sz w:val="24"/>
                <w:szCs w:val="24"/>
              </w:rPr>
              <w:t>provides the Deliverables (or any part of them);</w:t>
            </w:r>
          </w:p>
          <w:p w:rsidR="00876E32" w:rsidRDefault="00D848F2">
            <w:pPr>
              <w:numPr>
                <w:ilvl w:val="1"/>
                <w:numId w:val="5"/>
              </w:numPr>
              <w:tabs>
                <w:tab w:val="left" w:pos="-576"/>
                <w:tab w:val="left" w:pos="144"/>
              </w:tabs>
              <w:spacing w:after="120"/>
              <w:ind w:hanging="288"/>
              <w:jc w:val="both"/>
              <w:rPr>
                <w:sz w:val="24"/>
                <w:szCs w:val="24"/>
              </w:rPr>
            </w:pPr>
            <w:r>
              <w:rPr>
                <w:rFonts w:ascii="Arial" w:eastAsia="Arial" w:hAnsi="Arial" w:cs="Arial"/>
                <w:sz w:val="24"/>
                <w:szCs w:val="24"/>
              </w:rPr>
              <w:t>provides facilities or services necessary for the provision of the Deliverables (or any part of them); and/or</w:t>
            </w:r>
          </w:p>
          <w:p w:rsidR="00876E32" w:rsidRDefault="00D848F2">
            <w:pPr>
              <w:numPr>
                <w:ilvl w:val="1"/>
                <w:numId w:val="5"/>
              </w:numPr>
              <w:tabs>
                <w:tab w:val="left" w:pos="-576"/>
                <w:tab w:val="left" w:pos="144"/>
              </w:tabs>
              <w:spacing w:after="120"/>
              <w:ind w:hanging="288"/>
              <w:jc w:val="both"/>
              <w:rPr>
                <w:sz w:val="24"/>
                <w:szCs w:val="24"/>
              </w:rPr>
            </w:pPr>
            <w:r>
              <w:rPr>
                <w:rFonts w:ascii="Arial" w:eastAsia="Arial" w:hAnsi="Arial" w:cs="Arial"/>
                <w:sz w:val="24"/>
                <w:szCs w:val="24"/>
              </w:rPr>
              <w:t>is responsible for the management, direction or control of the provision of the Deliverables (or any part of them);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person other than the Supplier, who is a party to a Sub-Contract and the servants or agents of that person;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"Subprocessor"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third Party appointed to process Personal Data on behalf of that Processor related to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firm or company identified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Assets"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Supplier named in the Framework Award Form, or later defined in a Call-Off Contract; </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"Supplier Compliance Officer"</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person(s) appointed by the Supplier who is responsible for ensuring that the Supplier complies with its legal obligations;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Information derived from any of (a) and (b) above;</w:t>
            </w:r>
          </w:p>
        </w:tc>
      </w:tr>
      <w:tr w:rsidR="00876E32">
        <w:tc>
          <w:tcPr>
            <w:tcW w:w="2160" w:type="dxa"/>
          </w:tcPr>
          <w:p w:rsidR="00876E32" w:rsidRDefault="00D848F2">
            <w:pPr>
              <w:pBdr>
                <w:top w:val="nil"/>
                <w:left w:val="nil"/>
                <w:bottom w:val="nil"/>
                <w:right w:val="nil"/>
                <w:between w:val="nil"/>
              </w:pBdr>
              <w:tabs>
                <w:tab w:val="left" w:pos="1134"/>
              </w:tabs>
              <w:spacing w:before="120" w:after="120"/>
              <w:ind w:left="567"/>
              <w:rPr>
                <w:rFonts w:ascii="Arial" w:eastAsia="Arial" w:hAnsi="Arial" w:cs="Arial"/>
                <w:b/>
                <w:color w:val="000000"/>
                <w:sz w:val="24"/>
                <w:szCs w:val="24"/>
              </w:rPr>
            </w:pPr>
            <w:r>
              <w:rPr>
                <w:rFonts w:ascii="Arial" w:eastAsia="Arial" w:hAnsi="Arial" w:cs="Arial"/>
                <w:b/>
                <w:color w:val="000000"/>
                <w:sz w:val="24"/>
                <w:szCs w:val="24"/>
              </w:rPr>
              <w:t>"Supplier'sContract Manager</w:t>
            </w:r>
            <w:r>
              <w:rPr>
                <w:rFonts w:ascii="Arial" w:eastAsia="Arial" w:hAnsi="Arial" w:cs="Arial"/>
                <w:b/>
                <w:sz w:val="24"/>
                <w:szCs w:val="24"/>
              </w:rPr>
              <w:t>”</w:t>
            </w:r>
            <w:r>
              <w:rPr>
                <w:rFonts w:ascii="Arial" w:eastAsia="Arial" w:hAnsi="Arial" w:cs="Arial"/>
                <w:b/>
                <w:color w:val="000000"/>
                <w:sz w:val="24"/>
                <w:szCs w:val="24"/>
              </w:rPr>
              <w:t xml:space="preserve"> </w:t>
            </w:r>
          </w:p>
        </w:tc>
        <w:tc>
          <w:tcPr>
            <w:tcW w:w="7560" w:type="dxa"/>
          </w:tcPr>
          <w:p w:rsidR="00876E32" w:rsidRDefault="00D848F2">
            <w:pPr>
              <w:pBdr>
                <w:top w:val="nil"/>
                <w:left w:val="nil"/>
                <w:bottom w:val="nil"/>
                <w:right w:val="nil"/>
                <w:between w:val="nil"/>
              </w:pBdr>
              <w:tabs>
                <w:tab w:val="left" w:pos="1134"/>
              </w:tabs>
              <w:spacing w:before="120" w:after="120"/>
              <w:ind w:left="1134" w:hanging="567"/>
              <w:jc w:val="both"/>
              <w:rPr>
                <w:rFonts w:ascii="Arial" w:eastAsia="Arial" w:hAnsi="Arial" w:cs="Arial"/>
                <w:b/>
                <w:color w:val="000000"/>
                <w:sz w:val="24"/>
                <w:szCs w:val="24"/>
              </w:rPr>
            </w:pPr>
            <w:r>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"Supplier Marketing Contact"</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shall be the person identified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Non-Performance"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the Supplier has failed to:</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Achieve a Milestone by its Milestone Date;</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provide the Goods and/or Services in accordance with the Service Levels ; and/or</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comply with an obligation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 Margin"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Staff"</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document at Annex 1 of Schedule 12  Supply Chain Visibility;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“Tax”</w:t>
            </w:r>
          </w:p>
        </w:tc>
        <w:tc>
          <w:tcPr>
            <w:tcW w:w="7560" w:type="dxa"/>
          </w:tcPr>
          <w:p w:rsidR="00876E32" w:rsidRDefault="00D848F2">
            <w:pPr>
              <w:numPr>
                <w:ilvl w:val="0"/>
                <w:numId w:val="2"/>
              </w:numPr>
              <w:tabs>
                <w:tab w:val="left" w:pos="-179"/>
                <w:tab w:val="left" w:pos="-9"/>
              </w:tabs>
              <w:spacing w:after="120"/>
              <w:ind w:left="316"/>
              <w:jc w:val="both"/>
              <w:rPr>
                <w:rFonts w:ascii="Arial" w:eastAsia="Arial" w:hAnsi="Arial" w:cs="Arial"/>
                <w:sz w:val="24"/>
                <w:szCs w:val="24"/>
              </w:rPr>
            </w:pPr>
            <w:r>
              <w:rPr>
                <w:rFonts w:ascii="Arial" w:eastAsia="Arial" w:hAnsi="Arial" w:cs="Arial"/>
                <w:sz w:val="24"/>
                <w:szCs w:val="24"/>
              </w:rPr>
              <w:t>all forms of taxation whether direct or indirect;</w:t>
            </w:r>
          </w:p>
          <w:p w:rsidR="00876E32" w:rsidRDefault="00D848F2">
            <w:pPr>
              <w:numPr>
                <w:ilvl w:val="0"/>
                <w:numId w:val="2"/>
              </w:numPr>
              <w:tabs>
                <w:tab w:val="left" w:pos="-179"/>
                <w:tab w:val="left" w:pos="-9"/>
              </w:tabs>
              <w:spacing w:after="120"/>
              <w:ind w:left="316"/>
              <w:jc w:val="both"/>
              <w:rPr>
                <w:rFonts w:ascii="Arial" w:eastAsia="Arial" w:hAnsi="Arial" w:cs="Arial"/>
                <w:sz w:val="24"/>
                <w:szCs w:val="24"/>
              </w:rPr>
            </w:pPr>
            <w:r>
              <w:rPr>
                <w:rFonts w:ascii="Arial" w:eastAsia="Arial" w:hAnsi="Arial" w:cs="Arial"/>
                <w:sz w:val="24"/>
                <w:szCs w:val="24"/>
              </w:rPr>
              <w:t>national insurance contributions in the United Kingdom and similar contributions or obligations in any other jurisdiction;</w:t>
            </w:r>
          </w:p>
          <w:p w:rsidR="00876E32" w:rsidRDefault="00D848F2">
            <w:pPr>
              <w:numPr>
                <w:ilvl w:val="0"/>
                <w:numId w:val="2"/>
              </w:numPr>
              <w:tabs>
                <w:tab w:val="left" w:pos="-179"/>
                <w:tab w:val="left" w:pos="-9"/>
              </w:tabs>
              <w:spacing w:after="120"/>
              <w:ind w:left="316"/>
              <w:jc w:val="both"/>
              <w:rPr>
                <w:rFonts w:ascii="Arial" w:eastAsia="Arial" w:hAnsi="Arial" w:cs="Arial"/>
                <w:sz w:val="24"/>
                <w:szCs w:val="24"/>
              </w:rPr>
            </w:pPr>
            <w:r>
              <w:rPr>
                <w:rFonts w:ascii="Arial" w:eastAsia="Arial" w:hAnsi="Arial" w:cs="Arial"/>
                <w:sz w:val="24"/>
                <w:szCs w:val="24"/>
              </w:rPr>
              <w:t>all statutory, governmental, state, federal, provincial, local government or municipal charges, duties, imports, contributions. levies or liabilities (other than in return  for goods or services supplied or performed or to be performed) and withholdings; and</w:t>
            </w:r>
          </w:p>
          <w:p w:rsidR="00876E32" w:rsidRDefault="00D848F2">
            <w:pPr>
              <w:numPr>
                <w:ilvl w:val="0"/>
                <w:numId w:val="2"/>
              </w:numPr>
              <w:tabs>
                <w:tab w:val="left" w:pos="-179"/>
                <w:tab w:val="left" w:pos="-9"/>
              </w:tabs>
              <w:spacing w:after="120"/>
              <w:ind w:left="316"/>
              <w:jc w:val="both"/>
              <w:rPr>
                <w:rFonts w:ascii="Arial" w:eastAsia="Arial" w:hAnsi="Arial" w:cs="Arial"/>
                <w:sz w:val="24"/>
                <w:szCs w:val="24"/>
              </w:rPr>
            </w:pPr>
            <w:r>
              <w:rPr>
                <w:rFonts w:ascii="Arial" w:eastAsia="Arial" w:hAnsi="Arial" w:cs="Arial"/>
                <w:sz w:val="24"/>
                <w:szCs w:val="24"/>
              </w:rPr>
              <w:t>any penalty, fine, surcharge, interest, charges or costs relating to any of the above,</w:t>
            </w:r>
          </w:p>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in each case wherever chargeable and whether of the United Kingdom and any other jurisdiction;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Notice"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Issue"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variance or non-conformity of the Deliverables or Deliverables from their requirements as set out in a Call-Off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Plan"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plan:</w:t>
            </w:r>
          </w:p>
          <w:p w:rsidR="00876E32" w:rsidRDefault="00D848F2">
            <w:pPr>
              <w:numPr>
                <w:ilvl w:val="1"/>
                <w:numId w:val="3"/>
              </w:numPr>
              <w:pBdr>
                <w:top w:val="nil"/>
                <w:left w:val="nil"/>
                <w:bottom w:val="nil"/>
                <w:right w:val="nil"/>
                <w:between w:val="nil"/>
              </w:pBdr>
              <w:tabs>
                <w:tab w:val="left" w:pos="-576"/>
                <w:tab w:val="left" w:pos="141"/>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 xml:space="preserve">for the Testing of the Deliverables; and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setting out other agreed criteria related to the achievement of Milestones;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"Tests and Testing"</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tests required to be carried out pursuant to a Call-Off Contract as set out in the Test Plan or elsewhere in a Call-Off Contract and "</w:t>
            </w:r>
            <w:r>
              <w:rPr>
                <w:rFonts w:ascii="Arial" w:eastAsia="Arial" w:hAnsi="Arial" w:cs="Arial"/>
                <w:b/>
                <w:color w:val="000000"/>
                <w:sz w:val="24"/>
                <w:szCs w:val="24"/>
              </w:rPr>
              <w:t>Tested</w:t>
            </w:r>
            <w:r>
              <w:rPr>
                <w:rFonts w:ascii="Arial" w:eastAsia="Arial" w:hAnsi="Arial" w:cs="Arial"/>
                <w:color w:val="000000"/>
                <w:sz w:val="24"/>
                <w:szCs w:val="24"/>
              </w:rPr>
              <w:t>" shall be construed accordingly;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"Third Party IPR"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Supplier Employees"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those employees of the Supplier and/or the Supplier’s Subcontractors to whom the Employment Regulations will apply on the Service Transfer Date; </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Information"</w:t>
            </w:r>
          </w:p>
        </w:tc>
        <w:tc>
          <w:tcPr>
            <w:tcW w:w="7560" w:type="dxa"/>
          </w:tcPr>
          <w:p w:rsidR="00876E32" w:rsidRDefault="00D848F2">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Transparency Reports and the content of a Contract, including any changes to this Contract agreed from time to time, except for – </w:t>
            </w:r>
          </w:p>
          <w:p w:rsidR="00876E32" w:rsidRDefault="00D848F2">
            <w:pPr>
              <w:keepNext/>
              <w:pBdr>
                <w:top w:val="nil"/>
                <w:left w:val="nil"/>
                <w:bottom w:val="nil"/>
                <w:right w:val="nil"/>
                <w:between w:val="nil"/>
              </w:pBdr>
              <w:tabs>
                <w:tab w:val="left" w:pos="-179"/>
                <w:tab w:val="left" w:pos="-9"/>
              </w:tabs>
              <w:spacing w:after="120"/>
              <w:ind w:left="720"/>
              <w:jc w:val="both"/>
              <w:rPr>
                <w:rFonts w:ascii="Arial" w:eastAsia="Arial" w:hAnsi="Arial" w:cs="Arial"/>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ab/>
              <w:t>any information which is exempt from disclosure in accordance with the provisions of the FOIA, which shall be determined by the Relevant Authority; and</w:t>
            </w:r>
          </w:p>
          <w:p w:rsidR="00876E32" w:rsidRDefault="00D848F2">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 (ii)</w:t>
            </w:r>
            <w:r>
              <w:rPr>
                <w:rFonts w:ascii="Arial" w:eastAsia="Arial" w:hAnsi="Arial" w:cs="Arial"/>
                <w:color w:val="000000"/>
                <w:sz w:val="24"/>
                <w:szCs w:val="24"/>
              </w:rPr>
              <w:tab/>
              <w:t>Commercially Sensitive Information;</w:t>
            </w:r>
          </w:p>
          <w:p w:rsidR="00876E32" w:rsidRDefault="00876E32">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Clause 24 (Changing the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Form"</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form set out in Joint Schedule 2 (Variation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Procedure"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procedure set out in Clause 24 (Changing the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value added tax in accordance with the provisions of the Value Added Tax Act 1994;</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"VCSE"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"Working Day"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day other than a Saturday or Sunday or public holiday in England and Wales unless specified otherwise by the Parties in the</w:t>
            </w:r>
            <w:r>
              <w:rPr>
                <w:rFonts w:ascii="Arial" w:eastAsia="Arial" w:hAnsi="Arial" w:cs="Arial"/>
                <w:sz w:val="24"/>
                <w:szCs w:val="24"/>
              </w:rPr>
              <w:t xml:space="preserve"> </w:t>
            </w:r>
            <w:r>
              <w:rPr>
                <w:rFonts w:ascii="Arial" w:eastAsia="Arial" w:hAnsi="Arial" w:cs="Arial"/>
                <w:color w:val="000000"/>
                <w:sz w:val="24"/>
                <w:szCs w:val="24"/>
              </w:rPr>
              <w:t xml:space="preserve">Order Form. </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"Work Day"</w:t>
            </w:r>
          </w:p>
        </w:tc>
        <w:tc>
          <w:tcPr>
            <w:tcW w:w="7560" w:type="dxa"/>
          </w:tcPr>
          <w:p w:rsidR="00876E32" w:rsidRDefault="009E0128" w:rsidP="009E0128">
            <w:pPr>
              <w:tabs>
                <w:tab w:val="left" w:pos="-179"/>
                <w:tab w:val="left" w:pos="-9"/>
              </w:tabs>
              <w:spacing w:after="120"/>
              <w:ind w:left="170"/>
              <w:jc w:val="both"/>
              <w:rPr>
                <w:rFonts w:ascii="Arial" w:eastAsia="Arial" w:hAnsi="Arial" w:cs="Arial"/>
                <w:sz w:val="24"/>
                <w:szCs w:val="24"/>
              </w:rPr>
            </w:pPr>
            <w:r w:rsidRPr="009E0128">
              <w:rPr>
                <w:rFonts w:ascii="Arial" w:eastAsia="Arial" w:hAnsi="Arial" w:cs="Arial"/>
                <w:sz w:val="24"/>
                <w:szCs w:val="24"/>
              </w:rPr>
              <w:t>8.0 Work Hours, whether or not such hours are worked consecutively and whether or not they are worked on the same day; and</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"Work Hours"</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hours spent by the Supplier Staff properly working on the provision of the Deliverables including time spent travelling (other than to and from the Supplier's offices, or to and from the Sites) but excluding lunch breaks.</w:t>
            </w:r>
          </w:p>
        </w:tc>
      </w:tr>
    </w:tbl>
    <w:p w:rsidR="00876E32" w:rsidRDefault="00876E32">
      <w:pPr>
        <w:spacing w:after="0" w:line="240" w:lineRule="auto"/>
        <w:rPr>
          <w:rFonts w:ascii="Arial" w:eastAsia="Arial" w:hAnsi="Arial" w:cs="Arial"/>
          <w:sz w:val="24"/>
          <w:szCs w:val="24"/>
        </w:rPr>
      </w:pPr>
    </w:p>
    <w:p w:rsidR="00876E32" w:rsidRDefault="00876E32">
      <w:pPr>
        <w:spacing w:after="0" w:line="240" w:lineRule="auto"/>
        <w:rPr>
          <w:rFonts w:ascii="Arial" w:eastAsia="Arial" w:hAnsi="Arial" w:cs="Arial"/>
          <w:sz w:val="24"/>
          <w:szCs w:val="24"/>
        </w:rPr>
      </w:pPr>
    </w:p>
    <w:sectPr w:rsidR="00876E32">
      <w:headerReference w:type="default"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27" w:rsidRDefault="00704227">
      <w:pPr>
        <w:spacing w:after="0" w:line="240" w:lineRule="auto"/>
      </w:pPr>
      <w:r>
        <w:separator/>
      </w:r>
    </w:p>
  </w:endnote>
  <w:endnote w:type="continuationSeparator" w:id="0">
    <w:p w:rsidR="00704227" w:rsidRDefault="0070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STZhongson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32" w:rsidRDefault="00D848F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RM6193</w:t>
    </w:r>
    <w:r>
      <w:rPr>
        <w:rFonts w:ascii="Arial" w:eastAsia="Arial" w:hAnsi="Arial" w:cs="Arial"/>
        <w:sz w:val="20"/>
        <w:szCs w:val="20"/>
      </w:rPr>
      <w:tab/>
      <w:t xml:space="preserve">                                           </w:t>
    </w:r>
  </w:p>
  <w:p w:rsidR="00876E32" w:rsidRDefault="00D848F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92DC7">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876E32" w:rsidRDefault="00D84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color w:val="BFBFBF"/>
        <w:sz w:val="20"/>
        <w:szCs w:val="20"/>
      </w:rPr>
    </w:pPr>
    <w:r>
      <w:rPr>
        <w:rFonts w:ascii="Arial" w:eastAsia="Arial" w:hAnsi="Arial" w:cs="Arial"/>
        <w:sz w:val="20"/>
        <w:szCs w:val="20"/>
      </w:rPr>
      <w:t>Model Version: v3.6</w:t>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32" w:rsidRDefault="00D848F2">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rsidR="00876E32" w:rsidRDefault="00D848F2">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rsidR="00876E32" w:rsidRDefault="00D84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27" w:rsidRDefault="00704227">
      <w:pPr>
        <w:spacing w:after="0" w:line="240" w:lineRule="auto"/>
      </w:pPr>
      <w:r>
        <w:separator/>
      </w:r>
    </w:p>
  </w:footnote>
  <w:footnote w:type="continuationSeparator" w:id="0">
    <w:p w:rsidR="00704227" w:rsidRDefault="00704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32" w:rsidRDefault="00D848F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Joint Schedule 1 (Definitions) </w:t>
    </w:r>
  </w:p>
  <w:p w:rsidR="00876E32" w:rsidRDefault="00D848F2">
    <w:pPr>
      <w:pBdr>
        <w:top w:val="nil"/>
        <w:left w:val="nil"/>
        <w:bottom w:val="nil"/>
        <w:right w:val="nil"/>
        <w:between w:val="nil"/>
      </w:pBdr>
      <w:tabs>
        <w:tab w:val="center" w:pos="4513"/>
        <w:tab w:val="right" w:pos="9026"/>
        <w:tab w:val="left" w:pos="3800"/>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w:t>
    </w:r>
    <w:r>
      <w:rPr>
        <w:rFonts w:ascii="Arial" w:eastAsia="Arial" w:hAnsi="Arial" w:cs="Arial"/>
        <w:sz w:val="20"/>
        <w:szCs w:val="20"/>
      </w:rPr>
      <w:t>20</w:t>
    </w:r>
    <w:r>
      <w:rPr>
        <w:rFonts w:ascii="Arial" w:eastAsia="Arial" w:hAnsi="Arial" w:cs="Arial"/>
        <w:color w:val="BFBFBF"/>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32" w:rsidRDefault="00D848F2">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b/>
        <w:color w:val="BFBFBF"/>
        <w:sz w:val="20"/>
        <w:szCs w:val="20"/>
      </w:rPr>
      <w:t xml:space="preserve">Joint Schedule 1 (Definitions) </w:t>
    </w:r>
  </w:p>
  <w:p w:rsidR="00876E32" w:rsidRDefault="00D848F2">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617"/>
    <w:multiLevelType w:val="multilevel"/>
    <w:tmpl w:val="2E0A95E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Letter"/>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FB5430"/>
    <w:multiLevelType w:val="multilevel"/>
    <w:tmpl w:val="1EA03166"/>
    <w:lvl w:ilvl="0">
      <w:start w:val="1"/>
      <w:numFmt w:val="decimal"/>
      <w:pStyle w:val="GPSL1CLAUSEHEADING"/>
      <w:lvlText w:val="%1."/>
      <w:lvlJc w:val="left"/>
      <w:pPr>
        <w:ind w:left="644" w:hanging="359"/>
      </w:pPr>
      <w:rPr>
        <w:smallCaps w:val="0"/>
        <w:strike w:val="0"/>
        <w:color w:val="000000"/>
        <w:u w:val="none"/>
        <w:vertAlign w:val="baseline"/>
      </w:rPr>
    </w:lvl>
    <w:lvl w:ilvl="1">
      <w:start w:val="1"/>
      <w:numFmt w:val="decimal"/>
      <w:pStyle w:val="GPSL2numberedclause"/>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720" w:hanging="720"/>
      </w:pPr>
      <w:rPr>
        <w:b w:val="0"/>
        <w:i w:val="0"/>
        <w:smallCaps w:val="0"/>
        <w:strike w:val="0"/>
        <w:color w:val="000000"/>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4833438"/>
    <w:multiLevelType w:val="multilevel"/>
    <w:tmpl w:val="1CA8A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575863"/>
    <w:multiLevelType w:val="multilevel"/>
    <w:tmpl w:val="15467126"/>
    <w:lvl w:ilvl="0">
      <w:start w:val="1"/>
      <w:numFmt w:val="decimal"/>
      <w:pStyle w:val="GPSL2GuidanceNumbered"/>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9D04AA"/>
    <w:multiLevelType w:val="multilevel"/>
    <w:tmpl w:val="215AF4EC"/>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487616"/>
    <w:multiLevelType w:val="multilevel"/>
    <w:tmpl w:val="185270EC"/>
    <w:lvl w:ilvl="0">
      <w:start w:val="1"/>
      <w:numFmt w:val="lowerLetter"/>
      <w:pStyle w:val="ORDERFORML1PraraNo"/>
      <w:lvlText w:val="%1)"/>
      <w:lvlJc w:val="left"/>
      <w:pPr>
        <w:ind w:left="432" w:hanging="262"/>
      </w:pPr>
      <w:rPr>
        <w:sz w:val="22"/>
        <w:szCs w:val="22"/>
      </w:rPr>
    </w:lvl>
    <w:lvl w:ilvl="1">
      <w:start w:val="1"/>
      <w:numFmt w:val="lowerLetter"/>
      <w:pStyle w:val="ORDERFORML2Title"/>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6" w15:restartNumberingAfterBreak="0">
    <w:nsid w:val="4CF22CD9"/>
    <w:multiLevelType w:val="multilevel"/>
    <w:tmpl w:val="6030809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195498"/>
    <w:multiLevelType w:val="multilevel"/>
    <w:tmpl w:val="4490D838"/>
    <w:lvl w:ilvl="0">
      <w:start w:val="1"/>
      <w:numFmt w:val="lowerLetter"/>
      <w:pStyle w:val="GPSDefinitionL4"/>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num w:numId="1">
    <w:abstractNumId w:val="7"/>
  </w:num>
  <w:num w:numId="2">
    <w:abstractNumId w:val="4"/>
  </w:num>
  <w:num w:numId="3">
    <w:abstractNumId w:val="6"/>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32"/>
    <w:rsid w:val="00092DC7"/>
    <w:rsid w:val="003C609A"/>
    <w:rsid w:val="00485572"/>
    <w:rsid w:val="00525778"/>
    <w:rsid w:val="005B7358"/>
    <w:rsid w:val="00704227"/>
    <w:rsid w:val="00870054"/>
    <w:rsid w:val="00876E32"/>
    <w:rsid w:val="009E0128"/>
    <w:rsid w:val="00A40E02"/>
    <w:rsid w:val="00CC3EBD"/>
    <w:rsid w:val="00D61B83"/>
    <w:rsid w:val="00D8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5D038-57CA-424A-9188-CC43FDC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53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styles" Target="styles.xml"/><Relationship Id="rId9" Type="http://schemas.openxmlformats.org/officeDocument/2006/relationships/hyperlink" Target="https://www.gov.uk/guidance/ir35-find-out-if-it-appl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z7kaS4I1GfqWZ0AYB0dMyZ8MFA==">AMUW2mV+Z1a/tKmILINnSE0Y/ikbiX3f+oTgBaFTDEf2ZOAlybqGrMF4UCm4hbX83nxd6Te2NCZa5QY8fn+59NeB1kEuFcpm5okhesKa7ivkOYwOM70c0ATJsdsvujhMsH3oxn1nJ8jbm8OH1dxsutj387RPb7+Gp0PFypmfRETtcigCdwHdsLo=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FE3D43-1234-433A-8D63-F6166B26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9742</Words>
  <Characters>55535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steve hopkins</cp:lastModifiedBy>
  <cp:revision>2</cp:revision>
  <dcterms:created xsi:type="dcterms:W3CDTF">2021-06-08T13:33:00Z</dcterms:created>
  <dcterms:modified xsi:type="dcterms:W3CDTF">2021-06-08T13:33:00Z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