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trHeight w:val="1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pos="3380"/>
              </w:tabs>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w:t>
            </w:r>
            <w:r w:rsidDel="00000000" w:rsidR="00000000" w:rsidRPr="00000000">
              <w:rPr>
                <w:rFonts w:ascii="Arial" w:cs="Arial" w:eastAsia="Arial" w:hAnsi="Arial"/>
                <w:color w:val="000000"/>
                <w:sz w:val="24"/>
                <w:szCs w:val="24"/>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bl>
    <w:bookmarkStart w:colFirst="0" w:colLast="0" w:name="bookmark=id.gjdgxs" w:id="0"/>
    <w:bookmarkEnd w:id="0"/>
    <w:p w:rsidR="00000000" w:rsidDel="00000000" w:rsidP="00000000" w:rsidRDefault="00000000" w:rsidRPr="00000000" w14:paraId="00000035">
      <w:pPr>
        <w:tabs>
          <w:tab w:val="left" w:pos="1251"/>
        </w:tabs>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36">
      <w:pPr>
        <w:tabs>
          <w:tab w:val="left" w:pos="1251"/>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2">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7">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Eb5H48yzPl3DuMNmdx0WSwUBQ==">AMUW2mUY+oKbbFHzuVz4ndI82b8OXa/gHqfs7SDU3w1A51V4ggcDG46kMRTPHFt4vuUJ2036RSKvbZhn1AcbnBN3gr6Vl3IYcqhbdUW+UDI9CJrvxW0yKsbRfAnnPghNJXt3Z8qVXgz+yCaCXfULwNhCrXbk3WGRIw==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