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8 (Business Continuity and Disaster Recovery)</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17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7"/>
        <w:gridCol w:w="5075"/>
        <w:tblGridChange w:id="0">
          <w:tblGrid>
            <w:gridCol w:w="3097"/>
            <w:gridCol w:w="5075"/>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"BCDR Plan"</w:t>
            </w:r>
          </w:p>
        </w:tc>
        <w:tc>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2.2 of this Schedule;</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Continuity Plan"</w:t>
            </w:r>
          </w:p>
        </w:tc>
        <w:tc>
          <w:tcPr/>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2.3.2 of this Schedule;</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Deliverables"</w:t>
            </w:r>
          </w:p>
        </w:tc>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embodied in the processes and procedures for restoring the provision of Deliverables following the occurrence of a Disaster;</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Plan"</w:t>
            </w:r>
          </w:p>
        </w:tc>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2.3.3 of this Schedule;</w:t>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System"</w:t>
            </w:r>
          </w:p>
        </w:tc>
        <w:tc>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system embodied in the processes and procedures for restoring the provision of Deliverables following the occurrence of a Disaster;</w:t>
            </w:r>
          </w:p>
        </w:tc>
      </w:tr>
      <w:tr>
        <w:trPr>
          <w:trHeight w:val="567" w:hRule="atLeast"/>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"Related Supplier"</w:t>
            </w:r>
          </w:p>
        </w:tc>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who provides Deliverables to the Buyer which are related to the Deliverables from time to time;</w:t>
            </w:r>
          </w:p>
        </w:tc>
      </w:tr>
      <w:tr>
        <w:trPr>
          <w:trHeight w:val="567" w:hRule="atLeast"/>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Report"</w:t>
            </w:r>
          </w:p>
        </w:tc>
        <w:tc>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6.3 of this Schedule; and</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Proposals"</w:t>
            </w:r>
          </w:p>
        </w:tc>
        <w:tc>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6.3 of this Schedule;</w:t>
            </w:r>
          </w:p>
        </w:tc>
      </w:tr>
    </w:tbl>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BCDR Plan</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8f18thw8yu0"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Schedule 4 (Framework Management), CCS shall have the right to enforce the Buyer's rights under this Schedule.</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sz w:val="24"/>
          <w:szCs w:val="24"/>
          <w:u w:val="none"/>
        </w:rPr>
      </w:pPr>
      <w:bookmarkStart w:colFirst="0" w:colLast="0" w:name="_heading=h.dklgwq9y5c6" w:id="2"/>
      <w:bookmarkEnd w:id="2"/>
      <w:r w:rsidDel="00000000" w:rsidR="00000000" w:rsidRPr="00000000">
        <w:rPr>
          <w:sz w:val="24"/>
          <w:szCs w:val="24"/>
          <w:rtl w:val="0"/>
        </w:rPr>
        <w:t xml:space="preserve">The Buyer recognises that in most cases the Supplier will have in place a BCDR Plan for their services which will meet industry standards and satisfy the Buyer’s requirements. Where this is the case this should be provided to the Customer at the earliest opportunity. It is acknowledged that as these form part of a standard service it may not be possible for a Customer to request adjustments to the plan.</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sz w:val="24"/>
          <w:szCs w:val="24"/>
        </w:rPr>
      </w:pPr>
      <w:bookmarkStart w:colFirst="0" w:colLast="0" w:name="_heading=h.ga3o2btp94z1" w:id="3"/>
      <w:bookmarkEnd w:id="3"/>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ninety (90) Working Days prior to the Start Date the Supplier shall prepare and deliver to the Buyer for the Buyer’s written approval a plan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“BCDR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shall detail the processes and arrangements that the Supplier shall follow to:</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continuity of the business processes and operations supported by the Services following any failure or disruption of any element of the Deliverables; and</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recovery of the Deliverables in the event of a Disaster </w:t>
      </w:r>
    </w:p>
    <w:p w:rsidR="00000000" w:rsidDel="00000000" w:rsidP="00000000" w:rsidRDefault="00000000" w:rsidRPr="00000000" w14:paraId="0000001C">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BCDR Plan shall be divided into three sections:</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which shall set out general principles applicable to the BCDR Plan; </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 which shall relate to business continuity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Continuity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3 which shall relate to disaster recovery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9"/>
      <w:bookmarkEnd w:id="9"/>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General Principles of the BCDR Plan (Section 1)</w:t>
      </w:r>
      <w:r w:rsidDel="00000000" w:rsidR="00000000" w:rsidRPr="00000000">
        <w:rPr>
          <w:rtl w:val="0"/>
        </w:rPr>
      </w:r>
    </w:p>
    <w:p w:rsidR="00000000" w:rsidDel="00000000" w:rsidP="00000000" w:rsidRDefault="00000000" w:rsidRPr="00000000" w14:paraId="00000022">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of the BCDR Plan shall:</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how the business continuity and disaster recovery elements of the BCDR Plan link to each other;</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how the invocation of any element of the BCDR Plan may impact upon the provision of the Deliverables and any goods and/or services provided to the Buyer by a Related Supplier;</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 an obligation upon the Supplier to liaise with the Buyer and any Related Suppliers with respect to business continuity and disaster recovery;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 how the BCDR Plan interoperates with any overarching disaster recovery or business continuity plan of the Buyer and any of its other Related Supplier in each case as notified to the Supplier by the Buyer from time to time;</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028">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 a risk analysis, including:</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or disruption scenarios and assessments of likely frequency of occurrence;</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any single points of failure within the provision of Deliverables and processes for managing those risks;</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risks arising from the interaction of the provision of Deliverables with the goods and/or services provided by a Related Supplier; and</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business impact analysis of different anticipated failures or disruptions;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for documentation of processes, including business processes, and procedures;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key contact details for the Supplier (and any Subcontractors) and for the Buyer;</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procedures for reverting to "normal service";</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method(s) of recovering or updating data collected (or which ought to have been collected) during a failure or disruption to minimise data loss;</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responsibilities (if any) that the Buyer has agreed it will assume in the event of the invocation of the BCDR Plan; and</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for the provision of technical assistance to key contacts at the Buyer as required by the Buyer to inform decisions in support of the Buyer’s business continuity plans.</w:t>
      </w:r>
    </w:p>
    <w:p w:rsidR="00000000" w:rsidDel="00000000" w:rsidP="00000000" w:rsidRDefault="00000000" w:rsidRPr="00000000" w14:paraId="0000003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BCDR Plan shall be designed so as to ensure that:</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provided in accordance with this Contract at all times during and after the invocation of the BCDR Plan;</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adverse impact of any Disaster is minimised as far as reasonably possible; </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complies with the relevant provisions of ISO/IEC 27002; ISO22301/ISO22313   and all other industry standards from time to time in force; and</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details a process for the management of disaster recovery testing.</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BCDR Plan shall be upgradeable and sufficiently flexible to support any changes to the Deliverables and the business operations supported by the provision of Deliverables.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be entitled to any relief from its obligations under the Performance Indicators (PI’s) or Service levels, or to any increase in the Charges to the extent that a Disaster occurs as a consequence of any breach by the Supplier of this Contract.</w:t>
      </w:r>
    </w:p>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Business Continuity (Section 2)</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alternative processes, options and responsibilities that may be adopted in the event of a failure in or disruption to the provision of Deliverables; and</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steps to be taken by the Supplier upon resumption of the provision of Deliverables in order to address the effect of the failure or disruption.</w:t>
      </w:r>
    </w:p>
    <w:p w:rsidR="00000000" w:rsidDel="00000000" w:rsidP="00000000" w:rsidRDefault="00000000" w:rsidRPr="00000000" w14:paraId="0000003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Continuity Plan shall:</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the various possible levels of failures of or disruptions to the provision of Deliverables;</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goods and/or services to be provided and the steps to be taken to remedy the different levels of failures of and disruption to the Deliverables;</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circumstances in which the Business Continuity Plan is invoked.</w:t>
      </w:r>
    </w:p>
    <w:p w:rsidR="00000000" w:rsidDel="00000000" w:rsidP="00000000" w:rsidRDefault="00000000" w:rsidRPr="00000000" w14:paraId="0000004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Disaster Recovery (Section 3)</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000000" w:rsidDel="00000000" w:rsidP="00000000" w:rsidRDefault="00000000" w:rsidRPr="00000000" w14:paraId="0000004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BCDR Plan shall include an approach to business continuity and disaster recovery that addresses the following:</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access to the Buyer Premises;</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utilities to the Buyer Premises;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the Supplier's helpdesk or CAFM system;</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a Subcontractor;</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notification and escalation process;</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lists;</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training and awareness;</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BCDR Plan testing; </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implementation review process; </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how the Supplier shall ensure compliance with security standards ensuring that compliance is maintained for any period during which the Disaster Recovery Plan is invoked;</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controls to any disaster recovery sites used by the Supplier in relation to its obligations pursuant to this Schedule; and</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testing and management arrangements.</w:t>
      </w:r>
    </w:p>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 and changing the BCDR Plan</w:t>
      </w:r>
      <w:r w:rsidDel="00000000" w:rsidR="00000000" w:rsidRPr="00000000">
        <w:rPr>
          <w:rtl w:val="0"/>
        </w:rPr>
      </w:r>
    </w:p>
    <w:p w:rsidR="00000000" w:rsidDel="00000000" w:rsidP="00000000" w:rsidRDefault="00000000" w:rsidRPr="00000000" w14:paraId="0000005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review the BCDR Plan:</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and as a minimum once every six (6) Months;</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three (3) calendar Months of the BCDR Plan (or any part) having been invoked pursuant to Paragraph 7; and</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twenty (20) Working Days of the conclusion of each such review of the BCDR Plan, provide to the Buyer a report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setting out the Supplier's proposals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Proposals"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addressing any changes in the risk profile and its proposals for amendments to the BCDR Plan.</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000000" w:rsidDel="00000000" w:rsidP="00000000" w:rsidRDefault="00000000" w:rsidRPr="00000000" w14:paraId="0000005C">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504" w:right="0" w:hanging="72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z337ya" w:id="20"/>
      <w:bookmarkEnd w:id="2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Testing the BCDR Plan</w:t>
      </w:r>
    </w:p>
    <w:p w:rsidR="00000000" w:rsidDel="00000000" w:rsidP="00000000" w:rsidRDefault="00000000" w:rsidRPr="00000000" w14:paraId="0000005D">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test the BCDR Plan: </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and in any event not less than once in every Contract Year;</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any major reconfiguration of the Deliverables</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where the Buyer considers it necessary (acting in its sole discretion).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000000" w:rsidDel="00000000" w:rsidP="00000000" w:rsidRDefault="00000000" w:rsidRPr="00000000" w14:paraId="0000006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twenty (20) Working Days of the conclusion of each test, provide to the Buyer a report setting out:</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outcome of the test;</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failures in the BCDR Plan (including the BCDR Plan's procedures) revealed by the test; and</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proposals for remedying any such failures.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each test, the Supplier shall take all measures requested by the Buyer to remedy any failures in the BCDR Plan and such remedial activity and re-testing shall be completed by the Supplier, at its own cost, by the date reasonably required by the Buyer.</w:t>
      </w:r>
    </w:p>
    <w:p w:rsidR="00000000" w:rsidDel="00000000" w:rsidP="00000000" w:rsidRDefault="00000000" w:rsidRPr="00000000" w14:paraId="00000069">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2xcytpi" w:id="24"/>
      <w:bookmarkEnd w:id="24"/>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Invoking the BCDR Plan</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000000" w:rsidDel="00000000" w:rsidP="00000000" w:rsidRDefault="00000000" w:rsidRPr="00000000" w14:paraId="0000006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504"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ircumstances beyond your control</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be entitled to relief under Clause 20 (Circumstances beyond your control) if it would not have been impacted by the Force Majeure Event had it not failed to comply with its obligations under this Schedule. </w:t>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513"/>
        <w:tab w:val="right" w:pos="9026"/>
      </w:tabs>
      <w:spacing w:after="0" w:lineRule="auto"/>
      <w:ind w:left="0" w:firstLine="0"/>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RM6194</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w:t>
    </w:r>
    <w:r w:rsidDel="00000000" w:rsidR="00000000" w:rsidRPr="00000000">
      <w:rPr>
        <w:sz w:val="20"/>
        <w:szCs w:val="20"/>
        <w:rtl w:val="0"/>
      </w:rPr>
      <w:t xml:space="preserve">3.2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v2.9</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6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6F">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 2020</w:t>
    </w:r>
  </w:p>
  <w:p w:rsidR="00000000" w:rsidDel="00000000" w:rsidP="00000000" w:rsidRDefault="00000000" w:rsidRPr="00000000" w14:paraId="00000070">
    <w:pPr>
      <w:tabs>
        <w:tab w:val="center" w:pos="4513"/>
        <w:tab w:val="right" w:pos="9026"/>
      </w:tabs>
      <w:spacing w:after="0" w:lineRule="auto"/>
      <w:ind w:lef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cs="Calibri" w:eastAsia="Calibri" w:hAnsi="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ind w:left="360" w:hanging="36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clear" w:pos="720"/>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440"/>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rPr>
      <w:rFonts w:ascii="Arial" w:cs="Arial" w:eastAsia="Times New Roman" w:hAnsi="Arial"/>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kfZXbXv/39zDAIJhFwqOOaruA==">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2018-07-19T13:31:00Z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